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0"/>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559"/>
        <w:gridCol w:w="504"/>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Align w:val="center"/>
          </w:tcPr>
          <w:p w14:paraId="0A270147">
            <w:pPr>
              <w:spacing w:line="240" w:lineRule="atLeast"/>
              <w:jc w:val="center"/>
              <w:rPr>
                <w:color w:val="000000"/>
                <w:szCs w:val="21"/>
              </w:rPr>
            </w:pPr>
            <w:r>
              <w:rPr>
                <w:color w:val="000000"/>
                <w:szCs w:val="21"/>
              </w:rPr>
              <w:t>编号</w:t>
            </w:r>
          </w:p>
        </w:tc>
        <w:tc>
          <w:tcPr>
            <w:tcW w:w="559" w:type="dxa"/>
            <w:vAlign w:val="center"/>
          </w:tcPr>
          <w:p w14:paraId="6EA36EB0">
            <w:pPr>
              <w:spacing w:line="240" w:lineRule="atLeast"/>
              <w:jc w:val="center"/>
              <w:rPr>
                <w:color w:val="000000"/>
                <w:szCs w:val="21"/>
              </w:rPr>
            </w:pPr>
            <w:r>
              <w:rPr>
                <w:color w:val="000000"/>
                <w:szCs w:val="21"/>
              </w:rPr>
              <w:t>项目名称</w:t>
            </w:r>
          </w:p>
        </w:tc>
        <w:tc>
          <w:tcPr>
            <w:tcW w:w="504"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95" w:type="dxa"/>
            <w:vAlign w:val="center"/>
          </w:tcPr>
          <w:p w14:paraId="5AA6E65F">
            <w:pPr>
              <w:spacing w:line="240" w:lineRule="atLeast"/>
              <w:jc w:val="center"/>
              <w:rPr>
                <w:color w:val="000000"/>
                <w:szCs w:val="21"/>
              </w:rPr>
            </w:pPr>
            <w:r>
              <w:rPr>
                <w:color w:val="000000"/>
                <w:szCs w:val="21"/>
              </w:rPr>
              <w:t>1</w:t>
            </w:r>
          </w:p>
        </w:tc>
        <w:tc>
          <w:tcPr>
            <w:tcW w:w="559" w:type="dxa"/>
            <w:vAlign w:val="center"/>
          </w:tcPr>
          <w:p w14:paraId="719E98D6">
            <w:pPr>
              <w:spacing w:line="600" w:lineRule="exact"/>
              <w:jc w:val="center"/>
              <w:rPr>
                <w:rFonts w:eastAsia="仿宋"/>
                <w:color w:val="000000"/>
              </w:rPr>
            </w:pPr>
            <w:r>
              <w:rPr>
                <w:rFonts w:hint="eastAsia" w:ascii="Times New Roman" w:hAnsi="Times New Roman" w:eastAsia="宋体" w:cs="Times New Roman"/>
                <w:szCs w:val="22"/>
                <w:lang w:eastAsia="zh-CN"/>
              </w:rPr>
              <w:t>鄂尔多斯市天亿和农牧业有限公司生态养殖场</w:t>
            </w:r>
            <w:r>
              <w:rPr>
                <w:rFonts w:hint="eastAsia" w:ascii="Times New Roman" w:hAnsi="Times New Roman" w:eastAsia="宋体" w:cs="Times New Roman"/>
                <w:szCs w:val="22"/>
                <w:lang w:val="en-US" w:eastAsia="zh-CN"/>
              </w:rPr>
              <w:t>扩建项目</w:t>
            </w:r>
          </w:p>
        </w:tc>
        <w:tc>
          <w:tcPr>
            <w:tcW w:w="504" w:type="dxa"/>
            <w:vAlign w:val="center"/>
          </w:tcPr>
          <w:p w14:paraId="53D2BE93">
            <w:pPr>
              <w:spacing w:line="600" w:lineRule="exact"/>
              <w:jc w:val="center"/>
              <w:rPr>
                <w:color w:val="000000"/>
                <w:szCs w:val="21"/>
              </w:rPr>
            </w:pPr>
            <w:r>
              <w:rPr>
                <w:rFonts w:hint="eastAsia"/>
                <w:color w:val="000000"/>
                <w:szCs w:val="21"/>
              </w:rPr>
              <w:t>鄂尔多斯市东胜区泊尔江海子镇城梁村台什梁社</w:t>
            </w:r>
          </w:p>
        </w:tc>
        <w:tc>
          <w:tcPr>
            <w:tcW w:w="465" w:type="dxa"/>
            <w:vAlign w:val="center"/>
          </w:tcPr>
          <w:p w14:paraId="25BCC080">
            <w:pPr>
              <w:spacing w:line="600" w:lineRule="exact"/>
              <w:jc w:val="center"/>
              <w:rPr>
                <w:color w:val="000000"/>
                <w:szCs w:val="21"/>
              </w:rPr>
            </w:pPr>
            <w:r>
              <w:rPr>
                <w:rFonts w:hint="eastAsia"/>
                <w:color w:val="000000"/>
                <w:szCs w:val="21"/>
                <w:lang w:eastAsia="zh-CN"/>
              </w:rPr>
              <w:t>鄂尔多斯市天亿和农牧业有限公司</w:t>
            </w:r>
          </w:p>
        </w:tc>
        <w:tc>
          <w:tcPr>
            <w:tcW w:w="675" w:type="dxa"/>
            <w:vAlign w:val="center"/>
          </w:tcPr>
          <w:p w14:paraId="5D04F640">
            <w:pPr>
              <w:spacing w:line="600" w:lineRule="exact"/>
              <w:jc w:val="center"/>
              <w:rPr>
                <w:color w:val="000000"/>
                <w:szCs w:val="21"/>
              </w:rPr>
            </w:pPr>
            <w:r>
              <w:rPr>
                <w:rFonts w:hint="eastAsia" w:ascii="Times New Roman" w:hAnsi="Times New Roman" w:eastAsia="宋体" w:cs="Times New Roman"/>
                <w:szCs w:val="22"/>
              </w:rPr>
              <w:t>内蒙古峰泰环保有限公司</w:t>
            </w:r>
          </w:p>
        </w:tc>
        <w:tc>
          <w:tcPr>
            <w:tcW w:w="2555" w:type="dxa"/>
            <w:vAlign w:val="center"/>
          </w:tcPr>
          <w:p w14:paraId="3F3E6796">
            <w:pPr>
              <w:spacing w:line="360" w:lineRule="auto"/>
              <w:ind w:firstLine="420" w:firstLineChars="200"/>
              <w:rPr>
                <w:color w:val="000000"/>
                <w:szCs w:val="21"/>
              </w:rPr>
            </w:pPr>
            <w:r>
              <w:rPr>
                <w:rFonts w:hint="eastAsia"/>
                <w:color w:val="000000"/>
                <w:szCs w:val="21"/>
                <w:lang w:val="en-US" w:eastAsia="zh-CN"/>
              </w:rPr>
              <w:t>一、</w:t>
            </w:r>
            <w:r>
              <w:rPr>
                <w:rFonts w:hint="eastAsia"/>
                <w:color w:val="000000"/>
                <w:szCs w:val="21"/>
              </w:rPr>
              <w:t>该项目属于</w:t>
            </w:r>
            <w:r>
              <w:rPr>
                <w:rFonts w:hint="eastAsia"/>
                <w:color w:val="000000"/>
                <w:szCs w:val="21"/>
                <w:lang w:val="en-US" w:eastAsia="zh-CN"/>
              </w:rPr>
              <w:t>扩</w:t>
            </w:r>
            <w:r>
              <w:rPr>
                <w:rFonts w:hint="eastAsia"/>
                <w:color w:val="000000"/>
                <w:szCs w:val="21"/>
              </w:rPr>
              <w:t>建项目</w:t>
            </w:r>
            <w:r>
              <w:rPr>
                <w:rFonts w:hint="eastAsia"/>
                <w:color w:val="000000"/>
                <w:szCs w:val="21"/>
                <w:lang w:val="en-US" w:eastAsia="zh-CN"/>
              </w:rPr>
              <w:t>，位于</w:t>
            </w:r>
            <w:r>
              <w:rPr>
                <w:rFonts w:hint="eastAsia"/>
                <w:color w:val="000000"/>
                <w:szCs w:val="21"/>
              </w:rPr>
              <w:t>鄂尔多斯市东胜区泊尔江海子镇城梁村台什梁社</w:t>
            </w:r>
            <w:r>
              <w:rPr>
                <w:rFonts w:hint="eastAsia"/>
                <w:color w:val="000000"/>
                <w:szCs w:val="21"/>
                <w:lang w:val="en-US" w:eastAsia="zh-CN"/>
              </w:rPr>
              <w:t>。项目总占地面积46577.23平方米，</w:t>
            </w:r>
            <w:r>
              <w:rPr>
                <w:rFonts w:hint="default"/>
                <w:color w:val="000000"/>
                <w:szCs w:val="21"/>
                <w:lang w:val="en-US" w:eastAsia="zh-CN"/>
              </w:rPr>
              <w:t>总投资</w:t>
            </w:r>
            <w:r>
              <w:rPr>
                <w:rFonts w:hint="eastAsia"/>
                <w:color w:val="000000"/>
                <w:szCs w:val="21"/>
                <w:lang w:val="en-US" w:eastAsia="zh-CN"/>
              </w:rPr>
              <w:t>2800万</w:t>
            </w:r>
            <w:r>
              <w:rPr>
                <w:rFonts w:hint="default"/>
                <w:color w:val="000000"/>
                <w:szCs w:val="21"/>
                <w:lang w:val="en-US" w:eastAsia="zh-CN"/>
              </w:rPr>
              <w:t>元，</w:t>
            </w:r>
            <w:r>
              <w:rPr>
                <w:rFonts w:hint="eastAsia"/>
                <w:color w:val="000000"/>
                <w:szCs w:val="21"/>
                <w:lang w:val="en-US" w:eastAsia="zh-CN"/>
              </w:rPr>
              <w:t>其中</w:t>
            </w:r>
            <w:r>
              <w:rPr>
                <w:rFonts w:hint="default"/>
                <w:color w:val="000000"/>
                <w:szCs w:val="21"/>
                <w:lang w:val="en-US" w:eastAsia="zh-CN"/>
              </w:rPr>
              <w:t>环保投资</w:t>
            </w:r>
            <w:r>
              <w:rPr>
                <w:rFonts w:hint="eastAsia"/>
                <w:color w:val="000000"/>
                <w:szCs w:val="21"/>
                <w:lang w:val="en-US" w:eastAsia="zh-CN"/>
              </w:rPr>
              <w:t>134万元。主要建设内容及规模：</w:t>
            </w:r>
            <w:r>
              <w:rPr>
                <w:rFonts w:hint="eastAsia"/>
                <w:color w:val="000000"/>
                <w:szCs w:val="21"/>
              </w:rPr>
              <w:t>在原有猪舍旁扩建</w:t>
            </w:r>
            <w:r>
              <w:rPr>
                <w:rFonts w:hint="eastAsia"/>
                <w:color w:val="000000"/>
                <w:szCs w:val="21"/>
                <w:lang w:val="en-US" w:eastAsia="zh-CN"/>
              </w:rPr>
              <w:t>标准化育肥猪舍</w:t>
            </w:r>
            <w:r>
              <w:rPr>
                <w:rFonts w:hint="eastAsia"/>
                <w:color w:val="000000"/>
                <w:szCs w:val="21"/>
              </w:rPr>
              <w:t>4栋</w:t>
            </w:r>
            <w:r>
              <w:rPr>
                <w:rFonts w:hint="eastAsia"/>
                <w:color w:val="000000"/>
                <w:szCs w:val="21"/>
                <w:lang w:eastAsia="zh-CN"/>
              </w:rPr>
              <w:t>，</w:t>
            </w:r>
            <w:r>
              <w:rPr>
                <w:rFonts w:hint="eastAsia"/>
                <w:color w:val="000000"/>
                <w:szCs w:val="21"/>
              </w:rPr>
              <w:t>每栋猪舍下方设集污池</w:t>
            </w:r>
            <w:r>
              <w:rPr>
                <w:rFonts w:hint="eastAsia"/>
                <w:color w:val="000000"/>
                <w:szCs w:val="21"/>
                <w:lang w:val="en-US" w:eastAsia="zh-CN"/>
              </w:rPr>
              <w:t>；</w:t>
            </w:r>
            <w:r>
              <w:rPr>
                <w:rFonts w:hint="default"/>
                <w:color w:val="000000"/>
                <w:szCs w:val="21"/>
                <w:lang w:val="en-US" w:eastAsia="zh-CN"/>
              </w:rPr>
              <w:t>新建</w:t>
            </w:r>
            <w:r>
              <w:rPr>
                <w:rFonts w:hint="eastAsia"/>
                <w:color w:val="000000"/>
                <w:szCs w:val="21"/>
                <w:lang w:val="en-US" w:eastAsia="zh-CN"/>
              </w:rPr>
              <w:t>1座6</w:t>
            </w:r>
            <w:r>
              <w:rPr>
                <w:rFonts w:hint="default"/>
                <w:color w:val="000000"/>
                <w:szCs w:val="21"/>
                <w:lang w:val="en-US" w:eastAsia="zh-CN"/>
              </w:rPr>
              <w:t>00平方米的全封闭堆肥</w:t>
            </w:r>
            <w:r>
              <w:rPr>
                <w:rFonts w:hint="eastAsia"/>
                <w:color w:val="000000"/>
                <w:szCs w:val="21"/>
                <w:lang w:val="en-US" w:eastAsia="zh-CN"/>
              </w:rPr>
              <w:t>车间</w:t>
            </w:r>
            <w:r>
              <w:rPr>
                <w:rFonts w:hint="default"/>
                <w:color w:val="000000"/>
                <w:szCs w:val="21"/>
                <w:lang w:val="en-US" w:eastAsia="zh-CN"/>
              </w:rPr>
              <w:t>和</w:t>
            </w:r>
            <w:r>
              <w:rPr>
                <w:rFonts w:hint="eastAsia"/>
                <w:color w:val="000000"/>
                <w:szCs w:val="21"/>
                <w:lang w:val="en-US" w:eastAsia="zh-CN"/>
              </w:rPr>
              <w:t>1</w:t>
            </w:r>
            <w:r>
              <w:rPr>
                <w:rFonts w:hint="default"/>
                <w:color w:val="000000"/>
                <w:szCs w:val="21"/>
                <w:lang w:val="en-US" w:eastAsia="zh-CN"/>
              </w:rPr>
              <w:t>座10000立方米覆膜氧化塘</w:t>
            </w:r>
            <w:r>
              <w:rPr>
                <w:rFonts w:hint="eastAsia"/>
                <w:color w:val="000000"/>
                <w:szCs w:val="21"/>
                <w:lang w:val="en-US" w:eastAsia="zh-CN"/>
              </w:rPr>
              <w:t>;</w:t>
            </w:r>
            <w:r>
              <w:rPr>
                <w:rFonts w:hint="default"/>
                <w:color w:val="000000"/>
                <w:szCs w:val="21"/>
                <w:lang w:val="en-US" w:eastAsia="zh-CN"/>
              </w:rPr>
              <w:t>新建1间16.6平方米的危废暂存间，并配套建设相关公辅工程和环保工程。项目建成后，</w:t>
            </w:r>
            <w:r>
              <w:rPr>
                <w:rFonts w:hint="eastAsia"/>
                <w:color w:val="000000"/>
                <w:szCs w:val="21"/>
              </w:rPr>
              <w:t>设计</w:t>
            </w:r>
            <w:r>
              <w:rPr>
                <w:rFonts w:hint="default"/>
                <w:color w:val="000000"/>
                <w:szCs w:val="21"/>
                <w:lang w:val="en-US" w:eastAsia="zh-CN"/>
              </w:rPr>
              <w:t>年存栏生猪8800头。</w:t>
            </w:r>
          </w:p>
        </w:tc>
        <w:tc>
          <w:tcPr>
            <w:tcW w:w="4877" w:type="dxa"/>
            <w:vAlign w:val="center"/>
          </w:tcPr>
          <w:p w14:paraId="5558E1B4">
            <w:pPr>
              <w:spacing w:line="360" w:lineRule="auto"/>
              <w:jc w:val="left"/>
              <w:rPr>
                <w:rFonts w:hint="eastAsia"/>
                <w:color w:val="000000"/>
                <w:szCs w:val="21"/>
              </w:rPr>
            </w:pPr>
            <w:r>
              <w:rPr>
                <w:rFonts w:hint="eastAsia"/>
                <w:color w:val="000000"/>
                <w:szCs w:val="21"/>
              </w:rPr>
              <w:t>《</w:t>
            </w:r>
            <w:r>
              <w:rPr>
                <w:rFonts w:hint="eastAsia"/>
                <w:color w:val="000000"/>
                <w:szCs w:val="21"/>
                <w:lang w:eastAsia="zh-CN"/>
              </w:rPr>
              <w:t>报告书</w:t>
            </w:r>
            <w:r>
              <w:rPr>
                <w:rFonts w:hint="eastAsia"/>
                <w:color w:val="000000"/>
                <w:szCs w:val="21"/>
              </w:rPr>
              <w:t>》认为，在全面落实各项生态环境保护和环境污染防治措施的前提下，项目建设对环境的不利影响能够得到一定的缓解和控制。因此，我局原则同意你单位按照《</w:t>
            </w:r>
            <w:r>
              <w:rPr>
                <w:rFonts w:hint="eastAsia"/>
                <w:color w:val="000000"/>
                <w:szCs w:val="21"/>
                <w:lang w:eastAsia="zh-CN"/>
              </w:rPr>
              <w:t>报告书</w:t>
            </w:r>
            <w:r>
              <w:rPr>
                <w:rFonts w:hint="eastAsia"/>
                <w:color w:val="000000"/>
                <w:szCs w:val="21"/>
              </w:rPr>
              <w:t>》中所列的建设项目性质、规模、地点、环境保护措施进行建设。</w:t>
            </w:r>
          </w:p>
          <w:p w14:paraId="0B38643B">
            <w:pPr>
              <w:spacing w:line="360" w:lineRule="auto"/>
              <w:jc w:val="left"/>
              <w:rPr>
                <w:rFonts w:hint="eastAsia"/>
                <w:color w:val="000000"/>
                <w:szCs w:val="21"/>
                <w:lang w:val="en-US"/>
              </w:rPr>
            </w:pPr>
            <w:r>
              <w:rPr>
                <w:rFonts w:hint="eastAsia"/>
                <w:color w:val="000000"/>
                <w:szCs w:val="21"/>
                <w:lang w:val="en-US" w:eastAsia="zh-CN"/>
              </w:rPr>
              <w:t>二、在项目工程设计、建设和环境管理中，你单位必须严格落实</w:t>
            </w:r>
            <w:r>
              <w:rPr>
                <w:rFonts w:hint="eastAsia"/>
                <w:color w:val="000000"/>
                <w:szCs w:val="21"/>
              </w:rPr>
              <w:t>《</w:t>
            </w:r>
            <w:r>
              <w:rPr>
                <w:rFonts w:hint="eastAsia"/>
                <w:color w:val="000000"/>
                <w:szCs w:val="21"/>
                <w:lang w:eastAsia="zh-CN"/>
              </w:rPr>
              <w:t>报告书</w:t>
            </w:r>
            <w:r>
              <w:rPr>
                <w:rFonts w:hint="eastAsia"/>
                <w:color w:val="000000"/>
                <w:szCs w:val="21"/>
              </w:rPr>
              <w:t>》</w:t>
            </w:r>
            <w:r>
              <w:rPr>
                <w:rFonts w:hint="eastAsia"/>
                <w:color w:val="000000"/>
                <w:szCs w:val="21"/>
                <w:lang w:val="en-US" w:eastAsia="zh-CN"/>
              </w:rPr>
              <w:t>中提出的各项环保措施和要求，确保各项污染物稳定达标排放，并须着重做好以下工作：</w:t>
            </w:r>
          </w:p>
          <w:p w14:paraId="20B7BFCF">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2158138F">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加强施工期环境管理，</w:t>
            </w:r>
            <w:r>
              <w:rPr>
                <w:rFonts w:hint="eastAsia"/>
                <w:color w:val="000000"/>
                <w:szCs w:val="21"/>
                <w:lang w:val="en-US" w:eastAsia="zh-CN"/>
              </w:rPr>
              <w:t>施工单位在土石方开挖及设备安装过程中应严格按照设计要求施工，施工场地四周须建立围挡，定期进行洒水和清扫</w:t>
            </w:r>
            <w:r>
              <w:rPr>
                <w:rFonts w:hint="eastAsia"/>
                <w:color w:val="000000"/>
                <w:szCs w:val="21"/>
                <w:lang w:eastAsia="zh-CN"/>
              </w:rPr>
              <w:t>。</w:t>
            </w:r>
            <w:r>
              <w:rPr>
                <w:rFonts w:hint="eastAsia"/>
                <w:color w:val="000000"/>
                <w:szCs w:val="21"/>
              </w:rPr>
              <w:t>施工期大气污染物排放执行《大气污染物综合排放标准》（GB</w:t>
            </w:r>
            <w:r>
              <w:rPr>
                <w:rFonts w:hint="eastAsia"/>
                <w:color w:val="000000"/>
                <w:szCs w:val="21"/>
                <w:lang w:val="en-US" w:eastAsia="zh-CN"/>
              </w:rPr>
              <w:t xml:space="preserve"> </w:t>
            </w:r>
            <w:r>
              <w:rPr>
                <w:rFonts w:hint="eastAsia"/>
                <w:color w:val="000000"/>
                <w:szCs w:val="21"/>
              </w:rPr>
              <w:t>16297-1996）表2中无组织排放监控浓度限值。</w:t>
            </w:r>
          </w:p>
          <w:p w14:paraId="499EBBEC">
            <w:pPr>
              <w:spacing w:line="360" w:lineRule="auto"/>
              <w:jc w:val="left"/>
              <w:rPr>
                <w:rFonts w:hint="eastAsia"/>
                <w:color w:val="000000"/>
                <w:szCs w:val="21"/>
                <w:lang w:val="en-US" w:eastAsia="zh-CN"/>
              </w:rPr>
            </w:pPr>
            <w:r>
              <w:rPr>
                <w:rFonts w:hint="eastAsia"/>
                <w:color w:val="000000"/>
                <w:szCs w:val="21"/>
                <w:lang w:val="en-US" w:eastAsia="zh-CN"/>
              </w:rPr>
              <w:t>2、施工人员生活污水排至现有集粪池，罐车拉至当地污水处理厂处理。</w:t>
            </w:r>
          </w:p>
          <w:p w14:paraId="387DEF3F">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3、选用低噪声施工设备，合理安排作业时间，避免夜间施工，控制车辆时速。施工期噪声执行《建筑施工场界环境噪声排放标准》（GB 12523-2011）。</w:t>
            </w:r>
          </w:p>
          <w:p w14:paraId="3CA7C510">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6D5CC562">
            <w:pPr>
              <w:spacing w:line="360" w:lineRule="auto"/>
              <w:jc w:val="left"/>
              <w:rPr>
                <w:rFonts w:hint="eastAsia"/>
                <w:color w:val="000000"/>
                <w:szCs w:val="21"/>
                <w:lang w:val="en-US" w:eastAsia="zh-CN"/>
              </w:rPr>
            </w:pPr>
            <w:r>
              <w:rPr>
                <w:rFonts w:hint="eastAsia"/>
                <w:color w:val="000000"/>
                <w:szCs w:val="21"/>
                <w:lang w:val="en-US" w:eastAsia="zh-CN"/>
              </w:rPr>
              <w:t>5、严格控制施工范围，施工场地、设施等均置于永久占地范围内，减少施工期水土流失。</w:t>
            </w:r>
          </w:p>
          <w:p w14:paraId="1B46B150">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51F0BD05">
            <w:pPr>
              <w:spacing w:line="360" w:lineRule="auto"/>
              <w:jc w:val="left"/>
              <w:rPr>
                <w:rFonts w:hint="eastAsia"/>
                <w:color w:val="000000"/>
                <w:szCs w:val="21"/>
                <w:lang w:val="en-US" w:eastAsia="zh-CN"/>
              </w:rPr>
            </w:pPr>
            <w:r>
              <w:rPr>
                <w:rFonts w:hint="eastAsia"/>
                <w:color w:val="000000"/>
                <w:szCs w:val="21"/>
                <w:lang w:val="en-US" w:eastAsia="zh-CN"/>
              </w:rPr>
              <w:t>1、大气污染防治措施。猪舍保持通风，采用干清粪方式，及时清理猪粪，合理设计日粮；堆肥车间全封闭；氧化塘进行覆膜并设置一套活性炭吸附装置；猪舍、堆肥车间、氧化塘等定时喷洒除臭剂。厂界氨、硫化氢无组织排放执行《恶臭污染物排放标准》（GB 14554-1993）表1中恶臭污染物厂界二级新扩改建标准限值；臭气浓度执行《畜禽养殖业污染物排放标准》（GB 18596-2001）表7排放标准限值。</w:t>
            </w:r>
          </w:p>
          <w:p w14:paraId="28955AEE">
            <w:pPr>
              <w:spacing w:line="360" w:lineRule="auto"/>
              <w:jc w:val="left"/>
              <w:rPr>
                <w:rFonts w:hint="eastAsia"/>
                <w:color w:val="000000"/>
                <w:szCs w:val="21"/>
                <w:lang w:val="en-US" w:eastAsia="zh-CN"/>
              </w:rPr>
            </w:pPr>
            <w:r>
              <w:rPr>
                <w:rFonts w:hint="eastAsia"/>
                <w:color w:val="000000"/>
                <w:szCs w:val="21"/>
                <w:lang w:val="en-US" w:eastAsia="zh-CN"/>
              </w:rPr>
              <w:t>2、水污染防治措施。按照“雨污分流、清污分流、分质处理、回收利用”原则设计给排水。锅炉废水和软水装置废水作为猪舍冲洗用水；养殖废水和生活污水经集粪池收集后送至固液分离池，经固液分离后进入氧化塘处理，最终作为底肥还田；初期雨水收集至初期雨水池，不外排。</w:t>
            </w:r>
          </w:p>
          <w:p w14:paraId="50A1F860">
            <w:pPr>
              <w:spacing w:line="360" w:lineRule="auto"/>
              <w:jc w:val="left"/>
              <w:rPr>
                <w:rFonts w:hint="eastAsia"/>
                <w:color w:val="000000"/>
                <w:szCs w:val="21"/>
              </w:rPr>
            </w:pPr>
            <w:r>
              <w:rPr>
                <w:rFonts w:hint="eastAsia"/>
                <w:color w:val="000000"/>
                <w:szCs w:val="21"/>
                <w:lang w:val="en-US" w:eastAsia="zh-CN"/>
              </w:rPr>
              <w:t>3、噪声污染防治措施。通过选用低噪声设备，合理布局，基础减振和厂房隔声等措施，确保</w:t>
            </w:r>
            <w:r>
              <w:rPr>
                <w:rFonts w:hint="eastAsia"/>
                <w:color w:val="000000"/>
                <w:szCs w:val="21"/>
              </w:rPr>
              <w:t>运营期厂界噪声</w:t>
            </w:r>
            <w:r>
              <w:rPr>
                <w:rFonts w:hint="eastAsia"/>
                <w:color w:val="000000"/>
                <w:szCs w:val="21"/>
                <w:lang w:val="en-US" w:eastAsia="zh-CN"/>
              </w:rPr>
              <w:t>满足</w:t>
            </w:r>
            <w:r>
              <w:rPr>
                <w:rFonts w:hint="eastAsia"/>
                <w:color w:val="000000"/>
                <w:szCs w:val="21"/>
              </w:rPr>
              <w:t>《工业企业厂界环境噪声排放</w:t>
            </w:r>
            <w:r>
              <w:rPr>
                <w:rFonts w:hint="eastAsia"/>
                <w:color w:val="000000"/>
                <w:szCs w:val="21"/>
                <w:lang w:val="en-US" w:eastAsia="zh-CN"/>
              </w:rPr>
              <w:t>标</w:t>
            </w:r>
            <w:r>
              <w:rPr>
                <w:rFonts w:hint="eastAsia"/>
                <w:color w:val="000000"/>
                <w:szCs w:val="21"/>
              </w:rPr>
              <w:t>准》（GB</w:t>
            </w:r>
            <w:r>
              <w:rPr>
                <w:rFonts w:hint="eastAsia"/>
                <w:color w:val="000000"/>
                <w:szCs w:val="21"/>
                <w:lang w:val="en-US" w:eastAsia="zh-CN"/>
              </w:rPr>
              <w:t xml:space="preserve"> </w:t>
            </w:r>
            <w:r>
              <w:rPr>
                <w:rFonts w:hint="eastAsia"/>
                <w:color w:val="000000"/>
                <w:szCs w:val="21"/>
              </w:rPr>
              <w:t>12348-2008）中</w:t>
            </w:r>
            <w:r>
              <w:rPr>
                <w:rFonts w:hint="eastAsia"/>
                <w:color w:val="000000"/>
                <w:szCs w:val="21"/>
                <w:lang w:val="en-US" w:eastAsia="zh-CN"/>
              </w:rPr>
              <w:t>1</w:t>
            </w:r>
            <w:r>
              <w:rPr>
                <w:rFonts w:hint="eastAsia"/>
                <w:color w:val="000000"/>
                <w:szCs w:val="21"/>
              </w:rPr>
              <w:t>类标准。</w:t>
            </w:r>
          </w:p>
          <w:p w14:paraId="35AD9DAB">
            <w:pPr>
              <w:spacing w:line="360" w:lineRule="auto"/>
              <w:jc w:val="left"/>
              <w:rPr>
                <w:rFonts w:hint="eastAsia"/>
                <w:color w:val="000000"/>
                <w:szCs w:val="21"/>
              </w:rPr>
            </w:pPr>
            <w:r>
              <w:rPr>
                <w:rFonts w:hint="eastAsia"/>
                <w:color w:val="000000"/>
                <w:szCs w:val="21"/>
                <w:lang w:val="en-US" w:eastAsia="zh-CN"/>
              </w:rPr>
              <w:t>4、固废污染防治措施。妥善处置各类固体废弃物。建设单位须严格按照《一般工业固体废物贮存和填埋污染控制标准》（GB 18599-2020）处置一般固废，不得乱弃。猪粪、污泥运至堆肥车间堆肥后还田。病死猪暂存于冷库，定期委托有资质单位清运处理。危废暂存间须严格按照《危险废物贮存污染控制标准》（GB 18597-2023）进行设计、建设和管理，诊疗废物、过期药品暂存于危废暂存间，定期委托有资质单位处置。危险废物收集和运输等均按照《危险废物收集 贮存 运输技术规范》(HJ2025-2012)要求执行。</w:t>
            </w:r>
          </w:p>
          <w:p w14:paraId="201B5C80">
            <w:pPr>
              <w:spacing w:line="360" w:lineRule="auto"/>
              <w:jc w:val="left"/>
              <w:rPr>
                <w:rFonts w:hint="eastAsia"/>
                <w:color w:val="000000"/>
                <w:szCs w:val="21"/>
                <w:lang w:val="en-US" w:eastAsia="zh-CN"/>
              </w:rPr>
            </w:pPr>
            <w:r>
              <w:rPr>
                <w:rFonts w:hint="eastAsia"/>
                <w:color w:val="000000"/>
                <w:szCs w:val="21"/>
                <w:lang w:val="en-US" w:eastAsia="zh-CN"/>
              </w:rPr>
              <w:t>5、切实落实土壤和地下水污染防治措施。严格按照《环境影响评价技术导则地下水》(HJ 610-2016)等要求，对厂区采取分区防渗措施，加强防渗设施的日常维护，确保防渗设施牢固安全。依据《地下水环境监测技术规范》(HJ 164-2020)、《排污单位自行监测技术指南畜禽养殖行业》(HJ 1252-2022)中的要求，建立完善的土壤和地下水监测制度，确保及时发现并处理厂区渗漏情况。</w:t>
            </w:r>
          </w:p>
          <w:p w14:paraId="1020D2AC">
            <w:pPr>
              <w:spacing w:line="360" w:lineRule="auto"/>
              <w:jc w:val="left"/>
              <w:rPr>
                <w:rFonts w:hint="eastAsia"/>
                <w:color w:val="000000"/>
                <w:szCs w:val="21"/>
              </w:rPr>
            </w:pPr>
            <w:r>
              <w:rPr>
                <w:rFonts w:hint="eastAsia"/>
                <w:color w:val="000000"/>
                <w:szCs w:val="21"/>
                <w:lang w:val="en-US" w:eastAsia="zh-CN"/>
              </w:rPr>
              <w:t>6、强化环境风险防范，制定突发环境事件应急预案，落实环境风险事故防范措施，提高事故风险防范和污染控制能力。</w:t>
            </w:r>
          </w:p>
          <w:p w14:paraId="59C98554">
            <w:pPr>
              <w:spacing w:line="360" w:lineRule="auto"/>
              <w:jc w:val="left"/>
              <w:rPr>
                <w:rFonts w:hint="eastAsia"/>
                <w:color w:val="000000"/>
                <w:szCs w:val="21"/>
                <w:lang w:val="en-US" w:eastAsia="zh-CN"/>
              </w:rPr>
            </w:pPr>
            <w:r>
              <w:rPr>
                <w:rFonts w:hint="eastAsia"/>
                <w:color w:val="000000"/>
                <w:szCs w:val="21"/>
                <w:lang w:val="en-US" w:eastAsia="zh-CN"/>
              </w:rPr>
              <w:t>7、按照《排污口规范化整治技术要求》（环监〔1996〕470号）规范设置排污口。</w:t>
            </w:r>
          </w:p>
          <w:p w14:paraId="62757874">
            <w:pPr>
              <w:spacing w:line="360" w:lineRule="auto"/>
              <w:jc w:val="left"/>
              <w:rPr>
                <w:rFonts w:hint="eastAsia"/>
                <w:color w:val="000000"/>
                <w:szCs w:val="21"/>
              </w:rPr>
            </w:pPr>
            <w:r>
              <w:rPr>
                <w:rFonts w:hint="eastAsia"/>
                <w:color w:val="000000"/>
                <w:szCs w:val="21"/>
                <w:lang w:val="en-US" w:eastAsia="zh-CN"/>
              </w:rPr>
              <w:t>三、你单位应委托有相应资质的设计单位对建设项目重点环保设施进行设计，并在项目施工及运行过程中严格落实环保设施安全生产工作要求。</w:t>
            </w:r>
          </w:p>
          <w:p w14:paraId="38F9DEE3">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w:t>
            </w:r>
            <w:r>
              <w:rPr>
                <w:rFonts w:hint="eastAsia"/>
                <w:color w:val="000000"/>
                <w:szCs w:val="21"/>
                <w:lang w:val="en-US" w:eastAsia="zh-CN"/>
              </w:rPr>
              <w:t>在实施过程中发现文物古迹应立即停止施工并报告有关部门进行妥善处理。</w:t>
            </w:r>
            <w:r>
              <w:rPr>
                <w:rFonts w:hint="eastAsia"/>
                <w:color w:val="000000"/>
                <w:szCs w:val="21"/>
              </w:rPr>
              <w:t>项目建设必须严格执行环境保护“三同时”制度。项目竣工后，须按照规定程序实施竣工环境保护验收。</w:t>
            </w:r>
          </w:p>
          <w:p w14:paraId="36AEA542">
            <w:pPr>
              <w:spacing w:line="360" w:lineRule="auto"/>
              <w:jc w:val="left"/>
              <w:rPr>
                <w:rFonts w:hint="eastAsia"/>
                <w:color w:val="000000"/>
                <w:szCs w:val="21"/>
              </w:rPr>
            </w:pPr>
            <w:r>
              <w:rPr>
                <w:rFonts w:hint="eastAsia"/>
                <w:color w:val="000000"/>
                <w:szCs w:val="21"/>
                <w:lang w:val="en-US" w:eastAsia="zh-CN"/>
              </w:rPr>
              <w:t>五、</w:t>
            </w:r>
            <w:r>
              <w:rPr>
                <w:rFonts w:hint="eastAsia"/>
                <w:color w:val="000000"/>
                <w:szCs w:val="21"/>
              </w:rPr>
              <w:t>该项目事中事后监管由鄂尔多斯市生态环境综合行政执法支队东胜区大队负责</w:t>
            </w:r>
            <w:r>
              <w:rPr>
                <w:rFonts w:hint="eastAsia"/>
                <w:color w:val="000000"/>
                <w:szCs w:val="21"/>
                <w:lang w:eastAsia="zh-CN"/>
              </w:rPr>
              <w:t>。</w:t>
            </w:r>
          </w:p>
          <w:p w14:paraId="31D66976">
            <w:pPr>
              <w:spacing w:line="360" w:lineRule="auto"/>
              <w:jc w:val="left"/>
              <w:rPr>
                <w:color w:val="000000"/>
                <w:szCs w:val="21"/>
              </w:rPr>
            </w:pPr>
            <w:r>
              <w:rPr>
                <w:rFonts w:hint="eastAsia"/>
                <w:color w:val="000000"/>
                <w:szCs w:val="21"/>
                <w:lang w:val="en-US" w:eastAsia="zh-CN"/>
              </w:rPr>
              <w:t>六、</w:t>
            </w:r>
            <w:bookmarkStart w:id="0" w:name="_GoBack"/>
            <w:bookmarkEnd w:id="0"/>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23194483"/>
    <w:rsid w:val="2B637525"/>
    <w:rsid w:val="3E062DA7"/>
    <w:rsid w:val="497150DD"/>
    <w:rsid w:val="4AD11E12"/>
    <w:rsid w:val="4DE41872"/>
    <w:rsid w:val="54973A8B"/>
    <w:rsid w:val="5E371149"/>
    <w:rsid w:val="641136E8"/>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semiHidden/>
    <w:unhideWhenUsed/>
    <w:qFormat/>
    <w:uiPriority w:val="99"/>
    <w:pPr>
      <w:ind w:firstLine="420" w:firstLineChars="200"/>
    </w:pPr>
  </w:style>
  <w:style w:type="paragraph" w:styleId="3">
    <w:name w:val="Body Text First Indent 2"/>
    <w:basedOn w:val="4"/>
    <w:next w:val="1"/>
    <w:qFormat/>
    <w:uiPriority w:val="99"/>
    <w:pPr>
      <w:spacing w:line="240" w:lineRule="auto"/>
      <w:ind w:firstLine="420"/>
    </w:pPr>
  </w:style>
  <w:style w:type="paragraph" w:styleId="4">
    <w:name w:val="Body Text Indent"/>
    <w:basedOn w:val="1"/>
    <w:next w:val="1"/>
    <w:qFormat/>
    <w:uiPriority w:val="99"/>
    <w:pPr>
      <w:ind w:left="420" w:leftChars="200"/>
    </w:pPr>
  </w:style>
  <w:style w:type="paragraph" w:styleId="5">
    <w:name w:val="Body Text"/>
    <w:basedOn w:val="1"/>
    <w:qFormat/>
    <w:uiPriority w:val="99"/>
    <w:pPr>
      <w:spacing w:after="120"/>
    </w:pPr>
    <w:rPr>
      <w:rFonts w:ascii="Calibri" w:hAnsi="Calibri"/>
      <w:szCs w:val="22"/>
    </w:rPr>
  </w:style>
  <w:style w:type="paragraph" w:styleId="6">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ind w:left="420" w:leftChars="200"/>
    </w:pPr>
  </w:style>
  <w:style w:type="paragraph" w:styleId="9">
    <w:name w:val="Body Text 2"/>
    <w:basedOn w:val="1"/>
    <w:next w:val="1"/>
    <w:qFormat/>
    <w:uiPriority w:val="0"/>
    <w:pPr>
      <w:spacing w:after="120" w:line="480" w:lineRule="auto"/>
    </w:pPr>
  </w:style>
  <w:style w:type="character" w:customStyle="1" w:styleId="12">
    <w:name w:val="页眉 字符"/>
    <w:basedOn w:val="11"/>
    <w:link w:val="7"/>
    <w:autoRedefine/>
    <w:qFormat/>
    <w:uiPriority w:val="99"/>
    <w:rPr>
      <w:sz w:val="18"/>
      <w:szCs w:val="18"/>
    </w:rPr>
  </w:style>
  <w:style w:type="character" w:customStyle="1" w:styleId="13">
    <w:name w:val="页脚 字符"/>
    <w:basedOn w:val="11"/>
    <w:link w:val="6"/>
    <w:autoRedefine/>
    <w:qFormat/>
    <w:uiPriority w:val="99"/>
    <w:rPr>
      <w:sz w:val="18"/>
      <w:szCs w:val="18"/>
    </w:rPr>
  </w:style>
  <w:style w:type="character" w:customStyle="1" w:styleId="14">
    <w:name w:val="NormalCharacter"/>
    <w:autoRedefine/>
    <w:semiHidden/>
    <w:qFormat/>
    <w:uiPriority w:val="99"/>
  </w:style>
  <w:style w:type="paragraph" w:customStyle="1" w:styleId="15">
    <w:name w:val="图表"/>
    <w:basedOn w:val="4"/>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16">
    <w:name w:val="正文01"/>
    <w:basedOn w:val="1"/>
    <w:qFormat/>
    <w:uiPriority w:val="0"/>
    <w:pPr>
      <w:adjustRightInd w:val="0"/>
      <w:snapToGrid w:val="0"/>
      <w:spacing w:line="360" w:lineRule="auto"/>
      <w:ind w:firstLine="200" w:firstLineChars="200"/>
    </w:pPr>
    <w:rPr>
      <w:rFonts w:ascii="Times New Roman" w:hAnsi="Times New Roman" w:cs="Times New Roman"/>
      <w:kern w:val="56"/>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2100</Words>
  <Characters>2248</Characters>
  <Lines>11</Lines>
  <Paragraphs>3</Paragraphs>
  <TotalTime>1</TotalTime>
  <ScaleCrop>false</ScaleCrop>
  <LinksUpToDate>false</LinksUpToDate>
  <CharactersWithSpaces>2311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2025-04-18T08:31:56Z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8A8837DC28804F048B97D671515894C8_12</vt:lpwstr>
  </property>
  <property fmtid="{D5CDD505-2E9C-101B-9397-08002B2CF9AE}" pid="4" name="KSOTemplateDocerSaveRecord">
    <vt:lpwstr>eyJoZGlkIjoiZGMyN2E2MTRmYjM2NzM2N2YwMzQyOWU3MDQxMjhiZDciLCJ1c2VySWQiOiIzMzQyNjE5NjcifQ==</vt:lpwstr>
  </property>
</Properties>
</file>