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CA8B22">
      <w:pPr>
        <w:rPr>
          <w:rFonts w:eastAsia="仿宋_GB2312"/>
          <w:color w:val="000000" w:themeColor="text1"/>
          <w:sz w:val="36"/>
          <w:szCs w:val="36"/>
          <w:highlight w:val="none"/>
          <w14:textFill>
            <w14:solidFill>
              <w14:schemeClr w14:val="tx1"/>
            </w14:solidFill>
          </w14:textFill>
        </w:rPr>
      </w:pPr>
    </w:p>
    <w:p w14:paraId="56592920">
      <w:pPr>
        <w:rPr>
          <w:rFonts w:eastAsia="仿宋_GB2312"/>
          <w:color w:val="000000" w:themeColor="text1"/>
          <w:sz w:val="36"/>
          <w:szCs w:val="36"/>
          <w:highlight w:val="none"/>
          <w14:textFill>
            <w14:solidFill>
              <w14:schemeClr w14:val="tx1"/>
            </w14:solidFill>
          </w14:textFill>
        </w:rPr>
      </w:pPr>
    </w:p>
    <w:p w14:paraId="324EFE44">
      <w:pPr>
        <w:rPr>
          <w:rFonts w:eastAsia="仿宋_GB2312"/>
          <w:color w:val="000000" w:themeColor="text1"/>
          <w:sz w:val="36"/>
          <w:szCs w:val="36"/>
          <w:highlight w:val="none"/>
          <w14:textFill>
            <w14:solidFill>
              <w14:schemeClr w14:val="tx1"/>
            </w14:solidFill>
          </w14:textFill>
        </w:rPr>
      </w:pPr>
    </w:p>
    <w:p w14:paraId="52EE27CF">
      <w:pPr>
        <w:rPr>
          <w:rFonts w:eastAsia="仿宋_GB2312"/>
          <w:color w:val="000000" w:themeColor="text1"/>
          <w:sz w:val="36"/>
          <w:szCs w:val="36"/>
          <w:highlight w:val="none"/>
          <w14:textFill>
            <w14:solidFill>
              <w14:schemeClr w14:val="tx1"/>
            </w14:solidFill>
          </w14:textFill>
        </w:rPr>
      </w:pPr>
    </w:p>
    <w:p w14:paraId="423CA5A5">
      <w:pPr>
        <w:adjustRightInd w:val="0"/>
        <w:snapToGrid w:val="0"/>
        <w:ind w:firstLine="0" w:firstLineChars="0"/>
        <w:jc w:val="center"/>
        <w:outlineLvl w:val="0"/>
        <w:rPr>
          <w:rFonts w:eastAsia="方正小标宋_GBK"/>
          <w:bCs/>
          <w:color w:val="000000" w:themeColor="text1"/>
          <w:sz w:val="72"/>
          <w:szCs w:val="72"/>
          <w:highlight w:val="none"/>
          <w14:textFill>
            <w14:solidFill>
              <w14:schemeClr w14:val="tx1"/>
            </w14:solidFill>
          </w14:textFill>
        </w:rPr>
      </w:pPr>
      <w:r>
        <w:rPr>
          <w:rFonts w:eastAsia="方正小标宋_GBK"/>
          <w:bCs/>
          <w:color w:val="000000" w:themeColor="text1"/>
          <w:sz w:val="72"/>
          <w:szCs w:val="72"/>
          <w:highlight w:val="none"/>
          <w14:textFill>
            <w14:solidFill>
              <w14:schemeClr w14:val="tx1"/>
            </w14:solidFill>
          </w14:textFill>
        </w:rPr>
        <w:t>建设项目环境影响报告表</w:t>
      </w:r>
    </w:p>
    <w:p w14:paraId="2B6505D4">
      <w:pPr>
        <w:adjustRightInd w:val="0"/>
        <w:snapToGrid w:val="0"/>
        <w:spacing w:before="192" w:beforeLines="80"/>
        <w:ind w:firstLine="0" w:firstLineChars="0"/>
        <w:jc w:val="center"/>
        <w:rPr>
          <w:rFonts w:eastAsia="楷体_GB2312"/>
          <w:bCs/>
          <w:color w:val="000000" w:themeColor="text1"/>
          <w:sz w:val="48"/>
          <w:szCs w:val="48"/>
          <w:highlight w:val="none"/>
          <w14:textFill>
            <w14:solidFill>
              <w14:schemeClr w14:val="tx1"/>
            </w14:solidFill>
          </w14:textFill>
        </w:rPr>
      </w:pPr>
      <w:r>
        <w:rPr>
          <w:rFonts w:eastAsia="楷体_GB2312"/>
          <w:bCs/>
          <w:color w:val="000000" w:themeColor="text1"/>
          <w:sz w:val="48"/>
          <w:szCs w:val="48"/>
          <w:highlight w:val="none"/>
          <w14:textFill>
            <w14:solidFill>
              <w14:schemeClr w14:val="tx1"/>
            </w14:solidFill>
          </w14:textFill>
        </w:rPr>
        <w:t>（污染影响类）</w:t>
      </w:r>
    </w:p>
    <w:p w14:paraId="5D690692">
      <w:pPr>
        <w:adjustRightInd w:val="0"/>
        <w:snapToGrid w:val="0"/>
        <w:spacing w:line="288" w:lineRule="auto"/>
        <w:ind w:firstLine="880"/>
        <w:jc w:val="center"/>
        <w:outlineLvl w:val="0"/>
        <w:rPr>
          <w:rFonts w:eastAsia="华文仿宋"/>
          <w:color w:val="000000" w:themeColor="text1"/>
          <w:kern w:val="44"/>
          <w:sz w:val="44"/>
          <w:szCs w:val="44"/>
          <w:highlight w:val="none"/>
          <w14:textFill>
            <w14:solidFill>
              <w14:schemeClr w14:val="tx1"/>
            </w14:solidFill>
          </w14:textFill>
        </w:rPr>
      </w:pPr>
    </w:p>
    <w:p w14:paraId="156869E9">
      <w:pPr>
        <w:ind w:firstLine="1040"/>
        <w:jc w:val="center"/>
        <w:rPr>
          <w:rFonts w:eastAsia="仿宋"/>
          <w:color w:val="000000" w:themeColor="text1"/>
          <w:sz w:val="52"/>
          <w:szCs w:val="52"/>
          <w:highlight w:val="none"/>
          <w14:textFill>
            <w14:solidFill>
              <w14:schemeClr w14:val="tx1"/>
            </w14:solidFill>
          </w14:textFill>
        </w:rPr>
      </w:pPr>
    </w:p>
    <w:p w14:paraId="530B3890">
      <w:pPr>
        <w:ind w:firstLine="880"/>
        <w:jc w:val="center"/>
        <w:rPr>
          <w:rFonts w:eastAsia="仿宋"/>
          <w:color w:val="000000" w:themeColor="text1"/>
          <w:sz w:val="44"/>
          <w:szCs w:val="44"/>
          <w:highlight w:val="none"/>
          <w14:textFill>
            <w14:solidFill>
              <w14:schemeClr w14:val="tx1"/>
            </w14:solidFill>
          </w14:textFill>
        </w:rPr>
      </w:pPr>
    </w:p>
    <w:p w14:paraId="6BB4C616">
      <w:pPr>
        <w:ind w:firstLine="880"/>
        <w:jc w:val="center"/>
        <w:rPr>
          <w:rFonts w:eastAsia="仿宋"/>
          <w:color w:val="000000" w:themeColor="text1"/>
          <w:sz w:val="44"/>
          <w:szCs w:val="44"/>
          <w:highlight w:val="none"/>
          <w14:textFill>
            <w14:solidFill>
              <w14:schemeClr w14:val="tx1"/>
            </w14:solidFill>
          </w14:textFill>
        </w:rPr>
      </w:pPr>
    </w:p>
    <w:p w14:paraId="732A4F3C">
      <w:pPr>
        <w:ind w:firstLine="880"/>
        <w:jc w:val="center"/>
        <w:rPr>
          <w:rFonts w:eastAsia="仿宋"/>
          <w:color w:val="000000" w:themeColor="text1"/>
          <w:sz w:val="44"/>
          <w:szCs w:val="44"/>
          <w:highlight w:val="none"/>
          <w14:textFill>
            <w14:solidFill>
              <w14:schemeClr w14:val="tx1"/>
            </w14:solidFill>
          </w14:textFill>
        </w:rPr>
      </w:pPr>
    </w:p>
    <w:p w14:paraId="239000F8">
      <w:pPr>
        <w:adjustRightInd w:val="0"/>
        <w:snapToGrid w:val="0"/>
        <w:spacing w:line="288" w:lineRule="auto"/>
        <w:ind w:firstLine="0" w:firstLineChars="0"/>
        <w:jc w:val="center"/>
        <w:rPr>
          <w:rFonts w:hint="eastAsia" w:eastAsia="仿宋_GB2312"/>
          <w:b/>
          <w:bCs/>
          <w:color w:val="000000" w:themeColor="text1"/>
          <w:sz w:val="32"/>
          <w:szCs w:val="32"/>
          <w:highlight w:val="none"/>
          <w:u w:val="single"/>
          <w:lang w:eastAsia="zh-CN"/>
          <w14:textFill>
            <w14:solidFill>
              <w14:schemeClr w14:val="tx1"/>
            </w14:solidFill>
          </w14:textFill>
        </w:rPr>
      </w:pPr>
      <w:r>
        <w:rPr>
          <w:rFonts w:eastAsia="仿宋_GB2312"/>
          <w:b/>
          <w:bCs/>
          <w:color w:val="000000" w:themeColor="text1"/>
          <w:sz w:val="32"/>
          <w:szCs w:val="32"/>
          <w:highlight w:val="none"/>
          <w14:textFill>
            <w14:solidFill>
              <w14:schemeClr w14:val="tx1"/>
            </w14:solidFill>
          </w14:textFill>
        </w:rPr>
        <w:t>项目名称：</w:t>
      </w:r>
      <w:r>
        <w:rPr>
          <w:rFonts w:hint="eastAsia" w:eastAsia="仿宋_GB2312"/>
          <w:b/>
          <w:bCs/>
          <w:color w:val="000000" w:themeColor="text1"/>
          <w:sz w:val="32"/>
          <w:szCs w:val="32"/>
          <w:highlight w:val="none"/>
          <w:u w:val="single"/>
          <w:lang w:eastAsia="zh-CN"/>
          <w14:textFill>
            <w14:solidFill>
              <w14:schemeClr w14:val="tx1"/>
            </w14:solidFill>
          </w14:textFill>
        </w:rPr>
        <w:t>鄂尔多斯市宇驰顺捷汽车销售服务有限公司</w:t>
      </w:r>
    </w:p>
    <w:p w14:paraId="42093342">
      <w:pPr>
        <w:adjustRightInd w:val="0"/>
        <w:snapToGrid w:val="0"/>
        <w:spacing w:line="288" w:lineRule="auto"/>
        <w:ind w:firstLine="0" w:firstLineChars="0"/>
        <w:jc w:val="center"/>
        <w:rPr>
          <w:rFonts w:eastAsia="仿宋_GB2312"/>
          <w:b/>
          <w:bCs/>
          <w:color w:val="000000" w:themeColor="text1"/>
          <w:sz w:val="32"/>
          <w:szCs w:val="32"/>
          <w:highlight w:val="none"/>
          <w:u w:val="single"/>
          <w14:textFill>
            <w14:solidFill>
              <w14:schemeClr w14:val="tx1"/>
            </w14:solidFill>
          </w14:textFill>
        </w:rPr>
      </w:pPr>
      <w:r>
        <w:rPr>
          <w:rFonts w:hint="eastAsia" w:eastAsia="仿宋_GB2312"/>
          <w:b/>
          <w:bCs/>
          <w:color w:val="000000" w:themeColor="text1"/>
          <w:sz w:val="32"/>
          <w:szCs w:val="32"/>
          <w:highlight w:val="none"/>
          <w:u w:val="single"/>
          <w14:textFill>
            <w14:solidFill>
              <w14:schemeClr w14:val="tx1"/>
            </w14:solidFill>
          </w14:textFill>
        </w:rPr>
        <w:t>危险废物贮存库建设项目</w:t>
      </w:r>
      <w:bookmarkStart w:id="9" w:name="_GoBack"/>
      <w:bookmarkEnd w:id="9"/>
    </w:p>
    <w:p w14:paraId="1C542C9A">
      <w:pPr>
        <w:adjustRightInd w:val="0"/>
        <w:snapToGrid w:val="0"/>
        <w:spacing w:line="288" w:lineRule="auto"/>
        <w:ind w:firstLine="0" w:firstLineChars="0"/>
        <w:jc w:val="center"/>
        <w:rPr>
          <w:rFonts w:eastAsia="仿宋_GB2312"/>
          <w:b/>
          <w:bCs/>
          <w:color w:val="000000" w:themeColor="text1"/>
          <w:sz w:val="32"/>
          <w:szCs w:val="32"/>
          <w:highlight w:val="none"/>
          <w14:textFill>
            <w14:solidFill>
              <w14:schemeClr w14:val="tx1"/>
            </w14:solidFill>
          </w14:textFill>
        </w:rPr>
      </w:pPr>
    </w:p>
    <w:p w14:paraId="4123F95D">
      <w:pPr>
        <w:adjustRightInd w:val="0"/>
        <w:snapToGrid w:val="0"/>
        <w:spacing w:line="288" w:lineRule="auto"/>
        <w:ind w:firstLine="0" w:firstLineChars="0"/>
        <w:jc w:val="center"/>
        <w:rPr>
          <w:rFonts w:hint="eastAsia" w:eastAsia="仿宋_GB2312"/>
          <w:b/>
          <w:bCs/>
          <w:color w:val="000000" w:themeColor="text1"/>
          <w:sz w:val="32"/>
          <w:szCs w:val="32"/>
          <w:highlight w:val="none"/>
          <w:u w:val="single"/>
          <w:lang w:eastAsia="zh-CN"/>
          <w14:textFill>
            <w14:solidFill>
              <w14:schemeClr w14:val="tx1"/>
            </w14:solidFill>
          </w14:textFill>
        </w:rPr>
      </w:pPr>
      <w:r>
        <w:rPr>
          <w:rFonts w:eastAsia="仿宋_GB2312"/>
          <w:b/>
          <w:bCs/>
          <w:color w:val="000000" w:themeColor="text1"/>
          <w:sz w:val="32"/>
          <w:szCs w:val="32"/>
          <w:highlight w:val="none"/>
          <w14:textFill>
            <w14:solidFill>
              <w14:schemeClr w14:val="tx1"/>
            </w14:solidFill>
          </w14:textFill>
        </w:rPr>
        <w:t>建设单位（盖章）：</w:t>
      </w:r>
      <w:r>
        <w:rPr>
          <w:rFonts w:hint="eastAsia" w:eastAsia="仿宋_GB2312"/>
          <w:b/>
          <w:bCs/>
          <w:color w:val="000000" w:themeColor="text1"/>
          <w:sz w:val="32"/>
          <w:szCs w:val="32"/>
          <w:highlight w:val="none"/>
          <w:u w:val="single"/>
          <w:lang w:eastAsia="zh-CN"/>
          <w14:textFill>
            <w14:solidFill>
              <w14:schemeClr w14:val="tx1"/>
            </w14:solidFill>
          </w14:textFill>
        </w:rPr>
        <w:t>鄂尔多斯市宇驰顺捷汽车销售服务有限公司</w:t>
      </w:r>
    </w:p>
    <w:p w14:paraId="79BAFC94">
      <w:pPr>
        <w:adjustRightInd w:val="0"/>
        <w:snapToGrid w:val="0"/>
        <w:spacing w:line="288" w:lineRule="auto"/>
        <w:ind w:firstLine="0" w:firstLineChars="0"/>
        <w:jc w:val="center"/>
        <w:rPr>
          <w:rFonts w:eastAsia="仿宋_GB2312"/>
          <w:b/>
          <w:bCs/>
          <w:color w:val="000000" w:themeColor="text1"/>
          <w:sz w:val="32"/>
          <w:szCs w:val="32"/>
          <w:highlight w:val="none"/>
          <w:u w:val="single"/>
          <w14:textFill>
            <w14:solidFill>
              <w14:schemeClr w14:val="tx1"/>
            </w14:solidFill>
          </w14:textFill>
        </w:rPr>
      </w:pPr>
    </w:p>
    <w:p w14:paraId="70D57DCE">
      <w:pPr>
        <w:adjustRightInd w:val="0"/>
        <w:snapToGrid w:val="0"/>
        <w:spacing w:line="288" w:lineRule="auto"/>
        <w:ind w:firstLine="0" w:firstLineChars="0"/>
        <w:jc w:val="center"/>
        <w:rPr>
          <w:rFonts w:hint="eastAsia" w:eastAsia="仿宋_GB2312"/>
          <w:b/>
          <w:bCs/>
          <w:color w:val="000000" w:themeColor="text1"/>
          <w:sz w:val="32"/>
          <w:szCs w:val="32"/>
          <w:highlight w:val="none"/>
          <w:u w:val="single"/>
          <w14:textFill>
            <w14:solidFill>
              <w14:schemeClr w14:val="tx1"/>
            </w14:solidFill>
          </w14:textFill>
        </w:rPr>
      </w:pPr>
      <w:r>
        <w:rPr>
          <w:rFonts w:eastAsia="仿宋_GB2312"/>
          <w:b/>
          <w:bCs/>
          <w:color w:val="000000" w:themeColor="text1"/>
          <w:sz w:val="32"/>
          <w:szCs w:val="32"/>
          <w:highlight w:val="none"/>
          <w:u w:val="none"/>
          <w14:textFill>
            <w14:solidFill>
              <w14:schemeClr w14:val="tx1"/>
            </w14:solidFill>
          </w14:textFill>
        </w:rPr>
        <w:t>编制日期：</w:t>
      </w:r>
      <w:r>
        <w:rPr>
          <w:rFonts w:eastAsia="仿宋_GB2312"/>
          <w:b/>
          <w:bCs/>
          <w:color w:val="000000" w:themeColor="text1"/>
          <w:sz w:val="32"/>
          <w:szCs w:val="32"/>
          <w:highlight w:val="none"/>
          <w:u w:val="single"/>
          <w14:textFill>
            <w14:solidFill>
              <w14:schemeClr w14:val="tx1"/>
            </w14:solidFill>
          </w14:textFill>
        </w:rPr>
        <w:t>202</w:t>
      </w:r>
      <w:r>
        <w:rPr>
          <w:rFonts w:hint="eastAsia" w:eastAsia="仿宋_GB2312"/>
          <w:b/>
          <w:bCs/>
          <w:color w:val="000000" w:themeColor="text1"/>
          <w:sz w:val="32"/>
          <w:szCs w:val="32"/>
          <w:highlight w:val="none"/>
          <w:u w:val="single"/>
          <w:lang w:val="en-US" w:eastAsia="zh-CN"/>
          <w14:textFill>
            <w14:solidFill>
              <w14:schemeClr w14:val="tx1"/>
            </w14:solidFill>
          </w14:textFill>
        </w:rPr>
        <w:t>5</w:t>
      </w:r>
      <w:r>
        <w:rPr>
          <w:rFonts w:eastAsia="仿宋_GB2312"/>
          <w:b/>
          <w:bCs/>
          <w:color w:val="000000" w:themeColor="text1"/>
          <w:sz w:val="32"/>
          <w:szCs w:val="32"/>
          <w:highlight w:val="none"/>
          <w:u w:val="single"/>
          <w14:textFill>
            <w14:solidFill>
              <w14:schemeClr w14:val="tx1"/>
            </w14:solidFill>
          </w14:textFill>
        </w:rPr>
        <w:t>年</w:t>
      </w:r>
      <w:r>
        <w:rPr>
          <w:rFonts w:hint="eastAsia" w:eastAsia="仿宋_GB2312"/>
          <w:b/>
          <w:bCs/>
          <w:color w:val="000000" w:themeColor="text1"/>
          <w:sz w:val="32"/>
          <w:szCs w:val="32"/>
          <w:highlight w:val="none"/>
          <w:u w:val="single"/>
          <w:lang w:val="en-US" w:eastAsia="zh-CN"/>
          <w14:textFill>
            <w14:solidFill>
              <w14:schemeClr w14:val="tx1"/>
            </w14:solidFill>
          </w14:textFill>
        </w:rPr>
        <w:t>4</w:t>
      </w:r>
      <w:r>
        <w:rPr>
          <w:rFonts w:eastAsia="仿宋_GB2312"/>
          <w:b/>
          <w:bCs/>
          <w:color w:val="000000" w:themeColor="text1"/>
          <w:sz w:val="32"/>
          <w:szCs w:val="32"/>
          <w:highlight w:val="none"/>
          <w:u w:val="single"/>
          <w14:textFill>
            <w14:solidFill>
              <w14:schemeClr w14:val="tx1"/>
            </w14:solidFill>
          </w14:textFill>
        </w:rPr>
        <w:t>月</w:t>
      </w:r>
    </w:p>
    <w:p w14:paraId="0043AF5A">
      <w:pPr>
        <w:adjustRightInd w:val="0"/>
        <w:snapToGrid w:val="0"/>
        <w:spacing w:line="288" w:lineRule="auto"/>
        <w:jc w:val="center"/>
        <w:rPr>
          <w:rFonts w:eastAsia="仿宋_GB2312"/>
          <w:color w:val="000000" w:themeColor="text1"/>
          <w:sz w:val="36"/>
          <w:szCs w:val="36"/>
          <w:highlight w:val="none"/>
          <w:u w:val="single"/>
          <w14:textFill>
            <w14:solidFill>
              <w14:schemeClr w14:val="tx1"/>
            </w14:solidFill>
          </w14:textFill>
        </w:rPr>
      </w:pPr>
      <w:bookmarkStart w:id="0" w:name="_Hlk57884087"/>
    </w:p>
    <w:p w14:paraId="0A2EE8FE">
      <w:pPr>
        <w:pStyle w:val="4"/>
        <w:ind w:left="480" w:firstLine="720"/>
        <w:jc w:val="center"/>
        <w:rPr>
          <w:rFonts w:eastAsia="仿宋_GB2312"/>
          <w:color w:val="000000" w:themeColor="text1"/>
          <w:sz w:val="36"/>
          <w:szCs w:val="36"/>
          <w:highlight w:val="none"/>
          <w:u w:val="single"/>
          <w14:textFill>
            <w14:solidFill>
              <w14:schemeClr w14:val="tx1"/>
            </w14:solidFill>
          </w14:textFill>
        </w:rPr>
      </w:pPr>
    </w:p>
    <w:bookmarkEnd w:id="0"/>
    <w:p w14:paraId="46CF9CAA">
      <w:pPr>
        <w:adjustRightInd w:val="0"/>
        <w:snapToGrid w:val="0"/>
        <w:spacing w:line="288" w:lineRule="auto"/>
        <w:ind w:firstLine="0" w:firstLineChars="0"/>
        <w:jc w:val="center"/>
        <w:rPr>
          <w:rFonts w:eastAsia="楷体_GB2312"/>
          <w:color w:val="000000" w:themeColor="text1"/>
          <w:sz w:val="36"/>
          <w:szCs w:val="36"/>
          <w:highlight w:val="none"/>
          <w14:textFill>
            <w14:solidFill>
              <w14:schemeClr w14:val="tx1"/>
            </w14:solidFill>
          </w14:textFill>
        </w:rPr>
      </w:pPr>
      <w:r>
        <w:rPr>
          <w:rFonts w:eastAsia="楷体_GB2312"/>
          <w:color w:val="000000" w:themeColor="text1"/>
          <w:sz w:val="36"/>
          <w:szCs w:val="36"/>
          <w:highlight w:val="none"/>
          <w14:textFill>
            <w14:solidFill>
              <w14:schemeClr w14:val="tx1"/>
            </w14:solidFill>
          </w14:textFill>
        </w:rPr>
        <w:t>中华人民共和国生态环境部制</w:t>
      </w:r>
    </w:p>
    <w:p w14:paraId="2B524585">
      <w:pPr>
        <w:adjustRightInd w:val="0"/>
        <w:snapToGrid w:val="0"/>
        <w:spacing w:line="288" w:lineRule="auto"/>
        <w:rPr>
          <w:rFonts w:eastAsia="仿宋_GB2312"/>
          <w:color w:val="000000" w:themeColor="text1"/>
          <w:sz w:val="36"/>
          <w:szCs w:val="36"/>
          <w:highlight w:val="none"/>
          <w14:textFill>
            <w14:solidFill>
              <w14:schemeClr w14:val="tx1"/>
            </w14:solidFill>
          </w14:textFill>
        </w:rPr>
      </w:pPr>
    </w:p>
    <w:p w14:paraId="7DA55E44">
      <w:pPr>
        <w:pStyle w:val="7"/>
        <w:rPr>
          <w:color w:val="000000" w:themeColor="text1"/>
          <w14:textFill>
            <w14:solidFill>
              <w14:schemeClr w14:val="tx1"/>
            </w14:solidFill>
          </w14:textFill>
        </w:rPr>
        <w:sectPr>
          <w:headerReference r:id="rId5" w:type="default"/>
          <w:footerReference r:id="rId6" w:type="default"/>
          <w:footerReference r:id="rId7" w:type="even"/>
          <w:pgSz w:w="11906" w:h="16838"/>
          <w:pgMar w:top="1701" w:right="1531" w:bottom="1701" w:left="1531" w:header="851" w:footer="1077" w:gutter="0"/>
          <w:pgNumType w:fmt="numberInDash" w:start="3"/>
          <w:cols w:space="720" w:num="1"/>
          <w:docGrid w:linePitch="312" w:charSpace="0"/>
        </w:sectPr>
      </w:pPr>
    </w:p>
    <w:p w14:paraId="5928E610">
      <w:pPr>
        <w:pStyle w:val="12"/>
        <w:ind w:firstLine="600"/>
        <w:jc w:val="center"/>
        <w:outlineLvl w:val="0"/>
        <w:rPr>
          <w:rFonts w:ascii="Times New Roman" w:hAnsi="Times New Roman" w:eastAsia="黑体"/>
          <w:snapToGrid w:val="0"/>
          <w:color w:val="000000" w:themeColor="text1"/>
          <w:sz w:val="30"/>
          <w:szCs w:val="30"/>
          <w:highlight w:val="none"/>
          <w14:textFill>
            <w14:solidFill>
              <w14:schemeClr w14:val="tx1"/>
            </w14:solidFill>
          </w14:textFill>
        </w:rPr>
      </w:pPr>
      <w:r>
        <w:rPr>
          <w:rFonts w:ascii="Times New Roman" w:hAnsi="Times New Roman" w:eastAsia="黑体"/>
          <w:snapToGrid w:val="0"/>
          <w:color w:val="000000" w:themeColor="text1"/>
          <w:sz w:val="30"/>
          <w:szCs w:val="30"/>
          <w:highlight w:val="none"/>
          <w14:textFill>
            <w14:solidFill>
              <w14:schemeClr w14:val="tx1"/>
            </w14:solidFill>
          </w14:textFill>
        </w:rPr>
        <w:t>一、建设项目基本情况</w:t>
      </w:r>
    </w:p>
    <w:tbl>
      <w:tblPr>
        <w:tblStyle w:val="1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215"/>
        <w:gridCol w:w="1667"/>
        <w:gridCol w:w="1917"/>
        <w:gridCol w:w="3071"/>
      </w:tblGrid>
      <w:tr w14:paraId="336CE06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215" w:type="dxa"/>
            <w:noWrap w:val="0"/>
            <w:tcMar>
              <w:top w:w="16" w:type="dxa"/>
              <w:left w:w="16" w:type="dxa"/>
              <w:right w:w="16" w:type="dxa"/>
            </w:tcMar>
            <w:vAlign w:val="center"/>
          </w:tcPr>
          <w:p w14:paraId="14AD5348">
            <w:pPr>
              <w:adjustRightInd w:val="0"/>
              <w:snapToGrid w:val="0"/>
              <w:spacing w:line="240" w:lineRule="auto"/>
              <w:ind w:firstLine="0" w:firstLineChars="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建设项目名称</w:t>
            </w:r>
          </w:p>
        </w:tc>
        <w:tc>
          <w:tcPr>
            <w:tcW w:w="6655" w:type="dxa"/>
            <w:gridSpan w:val="3"/>
            <w:noWrap w:val="0"/>
            <w:vAlign w:val="center"/>
          </w:tcPr>
          <w:p w14:paraId="45F0E795">
            <w:pPr>
              <w:adjustRightInd w:val="0"/>
              <w:snapToGrid w:val="0"/>
              <w:spacing w:line="240" w:lineRule="auto"/>
              <w:ind w:firstLine="0" w:firstLineChars="0"/>
              <w:jc w:val="center"/>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鄂尔多斯市宇驰顺捷汽车销售服务有限公司</w:t>
            </w:r>
          </w:p>
          <w:p w14:paraId="619F55B2">
            <w:pPr>
              <w:adjustRightInd w:val="0"/>
              <w:snapToGrid w:val="0"/>
              <w:spacing w:line="240" w:lineRule="auto"/>
              <w:ind w:firstLine="0" w:firstLineChars="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危险废物</w:t>
            </w:r>
            <w:r>
              <w:rPr>
                <w:rFonts w:hint="eastAsia"/>
                <w:color w:val="000000" w:themeColor="text1"/>
                <w:highlight w:val="none"/>
                <w14:textFill>
                  <w14:solidFill>
                    <w14:schemeClr w14:val="tx1"/>
                  </w14:solidFill>
                </w14:textFill>
              </w:rPr>
              <w:t>贮存库</w:t>
            </w:r>
            <w:r>
              <w:rPr>
                <w:color w:val="000000" w:themeColor="text1"/>
                <w:highlight w:val="none"/>
                <w14:textFill>
                  <w14:solidFill>
                    <w14:schemeClr w14:val="tx1"/>
                  </w14:solidFill>
                </w14:textFill>
              </w:rPr>
              <w:t>建设项目</w:t>
            </w:r>
          </w:p>
        </w:tc>
      </w:tr>
      <w:tr w14:paraId="5004C7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1" w:hRule="atLeast"/>
          <w:jc w:val="center"/>
        </w:trPr>
        <w:tc>
          <w:tcPr>
            <w:tcW w:w="2215" w:type="dxa"/>
            <w:noWrap w:val="0"/>
            <w:tcMar>
              <w:top w:w="16" w:type="dxa"/>
              <w:left w:w="16" w:type="dxa"/>
              <w:right w:w="16" w:type="dxa"/>
            </w:tcMar>
            <w:vAlign w:val="center"/>
          </w:tcPr>
          <w:p w14:paraId="1A046E9B">
            <w:pPr>
              <w:adjustRightInd w:val="0"/>
              <w:snapToGrid w:val="0"/>
              <w:spacing w:line="240" w:lineRule="auto"/>
              <w:ind w:firstLine="0" w:firstLineChars="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项目代码</w:t>
            </w:r>
          </w:p>
        </w:tc>
        <w:tc>
          <w:tcPr>
            <w:tcW w:w="6655" w:type="dxa"/>
            <w:gridSpan w:val="3"/>
            <w:noWrap w:val="0"/>
            <w:vAlign w:val="center"/>
          </w:tcPr>
          <w:p w14:paraId="07A2A383">
            <w:pPr>
              <w:adjustRightInd w:val="0"/>
              <w:snapToGrid w:val="0"/>
              <w:spacing w:line="240" w:lineRule="auto"/>
              <w:ind w:firstLine="0" w:firstLineChars="0"/>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无</w:t>
            </w:r>
          </w:p>
        </w:tc>
      </w:tr>
      <w:tr w14:paraId="011A26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215" w:type="dxa"/>
            <w:noWrap w:val="0"/>
            <w:tcMar>
              <w:top w:w="16" w:type="dxa"/>
              <w:left w:w="16" w:type="dxa"/>
              <w:right w:w="16" w:type="dxa"/>
            </w:tcMar>
            <w:vAlign w:val="center"/>
          </w:tcPr>
          <w:p w14:paraId="65CBC479">
            <w:pPr>
              <w:adjustRightInd w:val="0"/>
              <w:snapToGrid w:val="0"/>
              <w:spacing w:line="240" w:lineRule="auto"/>
              <w:ind w:firstLine="0" w:firstLineChars="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建设单位联系人</w:t>
            </w:r>
          </w:p>
        </w:tc>
        <w:tc>
          <w:tcPr>
            <w:tcW w:w="1667" w:type="dxa"/>
            <w:noWrap w:val="0"/>
            <w:vAlign w:val="center"/>
          </w:tcPr>
          <w:p w14:paraId="26B57A70">
            <w:pPr>
              <w:adjustRightInd w:val="0"/>
              <w:snapToGrid w:val="0"/>
              <w:spacing w:line="240" w:lineRule="auto"/>
              <w:ind w:firstLine="0" w:firstLineChars="0"/>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张东东</w:t>
            </w:r>
          </w:p>
        </w:tc>
        <w:tc>
          <w:tcPr>
            <w:tcW w:w="1917" w:type="dxa"/>
            <w:noWrap w:val="0"/>
            <w:vAlign w:val="center"/>
          </w:tcPr>
          <w:p w14:paraId="08B041BA">
            <w:pPr>
              <w:adjustRightInd w:val="0"/>
              <w:snapToGrid w:val="0"/>
              <w:spacing w:line="240" w:lineRule="auto"/>
              <w:ind w:firstLine="0" w:firstLineChars="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联系方式</w:t>
            </w:r>
          </w:p>
        </w:tc>
        <w:tc>
          <w:tcPr>
            <w:tcW w:w="3071" w:type="dxa"/>
            <w:noWrap w:val="0"/>
            <w:vAlign w:val="center"/>
          </w:tcPr>
          <w:p w14:paraId="659A607F">
            <w:pPr>
              <w:adjustRightInd w:val="0"/>
              <w:snapToGrid w:val="0"/>
              <w:spacing w:line="240" w:lineRule="auto"/>
              <w:ind w:firstLine="0" w:firstLineChars="0"/>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17698075160</w:t>
            </w:r>
            <w:r>
              <w:rPr>
                <w:color w:val="000000" w:themeColor="text1"/>
                <w:highlight w:val="none"/>
                <w14:textFill>
                  <w14:solidFill>
                    <w14:schemeClr w14:val="tx1"/>
                  </w14:solidFill>
                </w14:textFill>
              </w:rPr>
              <w:t> </w:t>
            </w:r>
          </w:p>
        </w:tc>
      </w:tr>
      <w:tr w14:paraId="702C5F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215" w:type="dxa"/>
            <w:noWrap w:val="0"/>
            <w:tcMar>
              <w:top w:w="16" w:type="dxa"/>
              <w:left w:w="16" w:type="dxa"/>
              <w:right w:w="16" w:type="dxa"/>
            </w:tcMar>
            <w:vAlign w:val="center"/>
          </w:tcPr>
          <w:p w14:paraId="1F14110F">
            <w:pPr>
              <w:adjustRightInd w:val="0"/>
              <w:snapToGrid w:val="0"/>
              <w:spacing w:line="240" w:lineRule="auto"/>
              <w:ind w:firstLine="0" w:firstLineChars="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建设地点</w:t>
            </w:r>
          </w:p>
        </w:tc>
        <w:tc>
          <w:tcPr>
            <w:tcW w:w="6655" w:type="dxa"/>
            <w:gridSpan w:val="3"/>
            <w:noWrap w:val="0"/>
            <w:vAlign w:val="center"/>
          </w:tcPr>
          <w:p w14:paraId="67759304">
            <w:pPr>
              <w:adjustRightInd w:val="0"/>
              <w:snapToGrid w:val="0"/>
              <w:spacing w:line="240" w:lineRule="auto"/>
              <w:ind w:firstLine="0" w:firstLineChars="0"/>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内蒙古自治区鄂尔多斯市东胜区天骄南路42号客运中心后院5号商铺，</w:t>
            </w:r>
            <w:r>
              <w:rPr>
                <w:rFonts w:hint="eastAsia"/>
                <w:color w:val="000000" w:themeColor="text1"/>
                <w:highlight w:val="none"/>
                <w:lang w:eastAsia="zh-CN"/>
                <w14:textFill>
                  <w14:solidFill>
                    <w14:schemeClr w14:val="tx1"/>
                  </w14:solidFill>
                </w14:textFill>
              </w:rPr>
              <w:t>鄂尔多斯市宇驰顺捷汽车销售服务有限公司现有</w:t>
            </w:r>
            <w:r>
              <w:rPr>
                <w:color w:val="000000" w:themeColor="text1"/>
                <w:highlight w:val="none"/>
                <w14:textFill>
                  <w14:solidFill>
                    <w14:schemeClr w14:val="tx1"/>
                  </w14:solidFill>
                </w14:textFill>
              </w:rPr>
              <w:t>厂区内</w:t>
            </w:r>
          </w:p>
        </w:tc>
      </w:tr>
      <w:tr w14:paraId="4D9F4C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215" w:type="dxa"/>
            <w:noWrap w:val="0"/>
            <w:tcMar>
              <w:top w:w="16" w:type="dxa"/>
              <w:left w:w="16" w:type="dxa"/>
              <w:right w:w="16" w:type="dxa"/>
            </w:tcMar>
            <w:vAlign w:val="center"/>
          </w:tcPr>
          <w:p w14:paraId="2EB50341">
            <w:pPr>
              <w:adjustRightInd w:val="0"/>
              <w:snapToGrid w:val="0"/>
              <w:spacing w:line="240" w:lineRule="auto"/>
              <w:ind w:firstLine="0" w:firstLineChars="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地理坐标</w:t>
            </w:r>
          </w:p>
        </w:tc>
        <w:tc>
          <w:tcPr>
            <w:tcW w:w="6655" w:type="dxa"/>
            <w:gridSpan w:val="3"/>
            <w:noWrap w:val="0"/>
            <w:vAlign w:val="center"/>
          </w:tcPr>
          <w:p w14:paraId="6903EB0E">
            <w:pPr>
              <w:spacing w:line="240" w:lineRule="auto"/>
              <w:ind w:firstLine="0" w:firstLineChars="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09</w:t>
            </w:r>
            <w:r>
              <w:rPr>
                <w:color w:val="000000" w:themeColor="text1"/>
                <w:highlight w:val="none"/>
                <w14:textFill>
                  <w14:solidFill>
                    <w14:schemeClr w14:val="tx1"/>
                  </w14:solidFill>
                </w14:textFill>
              </w:rPr>
              <w:t>度</w:t>
            </w:r>
            <w:r>
              <w:rPr>
                <w:rFonts w:hint="eastAsia"/>
                <w:color w:val="000000" w:themeColor="text1"/>
                <w:highlight w:val="none"/>
                <w:lang w:val="en-US" w:eastAsia="zh-CN"/>
                <w14:textFill>
                  <w14:solidFill>
                    <w14:schemeClr w14:val="tx1"/>
                  </w14:solidFill>
                </w14:textFill>
              </w:rPr>
              <w:t>58</w:t>
            </w:r>
            <w:r>
              <w:rPr>
                <w:color w:val="000000" w:themeColor="text1"/>
                <w:highlight w:val="none"/>
                <w14:textFill>
                  <w14:solidFill>
                    <w14:schemeClr w14:val="tx1"/>
                  </w14:solidFill>
                </w14:textFill>
              </w:rPr>
              <w:t>分</w:t>
            </w:r>
            <w:r>
              <w:rPr>
                <w:rFonts w:hint="eastAsia"/>
                <w:color w:val="000000" w:themeColor="text1"/>
                <w:highlight w:val="none"/>
                <w:lang w:val="en-US" w:eastAsia="zh-CN"/>
                <w14:textFill>
                  <w14:solidFill>
                    <w14:schemeClr w14:val="tx1"/>
                  </w14:solidFill>
                </w14:textFill>
              </w:rPr>
              <w:t>12.011</w:t>
            </w:r>
            <w:r>
              <w:rPr>
                <w:color w:val="000000" w:themeColor="text1"/>
                <w:highlight w:val="none"/>
                <w14:textFill>
                  <w14:solidFill>
                    <w14:schemeClr w14:val="tx1"/>
                  </w14:solidFill>
                </w14:textFill>
              </w:rPr>
              <w:t>秒，39度4</w:t>
            </w:r>
            <w:r>
              <w:rPr>
                <w:rFonts w:hint="eastAsia"/>
                <w:color w:val="000000" w:themeColor="text1"/>
                <w:highlight w:val="none"/>
                <w:lang w:val="en-US" w:eastAsia="zh-CN"/>
                <w14:textFill>
                  <w14:solidFill>
                    <w14:schemeClr w14:val="tx1"/>
                  </w14:solidFill>
                </w14:textFill>
              </w:rPr>
              <w:t>7</w:t>
            </w:r>
            <w:r>
              <w:rPr>
                <w:color w:val="000000" w:themeColor="text1"/>
                <w:highlight w:val="none"/>
                <w14:textFill>
                  <w14:solidFill>
                    <w14:schemeClr w14:val="tx1"/>
                  </w14:solidFill>
                </w14:textFill>
              </w:rPr>
              <w:t>分3</w:t>
            </w:r>
            <w:r>
              <w:rPr>
                <w:rFonts w:hint="eastAsia"/>
                <w:color w:val="000000" w:themeColor="text1"/>
                <w:highlight w:val="none"/>
                <w:lang w:val="en-US" w:eastAsia="zh-CN"/>
                <w14:textFill>
                  <w14:solidFill>
                    <w14:schemeClr w14:val="tx1"/>
                  </w14:solidFill>
                </w14:textFill>
              </w:rPr>
              <w:t>6.438</w:t>
            </w:r>
            <w:r>
              <w:rPr>
                <w:color w:val="000000" w:themeColor="text1"/>
                <w:highlight w:val="none"/>
                <w14:textFill>
                  <w14:solidFill>
                    <w14:schemeClr w14:val="tx1"/>
                  </w14:solidFill>
                </w14:textFill>
              </w:rPr>
              <w:t>秒）</w:t>
            </w:r>
          </w:p>
        </w:tc>
      </w:tr>
      <w:tr w14:paraId="588596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2215" w:type="dxa"/>
            <w:noWrap w:val="0"/>
            <w:tcMar>
              <w:top w:w="16" w:type="dxa"/>
              <w:left w:w="16" w:type="dxa"/>
              <w:right w:w="16" w:type="dxa"/>
            </w:tcMar>
            <w:vAlign w:val="center"/>
          </w:tcPr>
          <w:p w14:paraId="7F5C9771">
            <w:pPr>
              <w:adjustRightInd w:val="0"/>
              <w:snapToGrid w:val="0"/>
              <w:spacing w:line="240" w:lineRule="auto"/>
              <w:ind w:firstLine="0" w:firstLineChars="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国民经济</w:t>
            </w:r>
          </w:p>
          <w:p w14:paraId="5C30C6CF">
            <w:pPr>
              <w:adjustRightInd w:val="0"/>
              <w:snapToGrid w:val="0"/>
              <w:spacing w:line="240" w:lineRule="auto"/>
              <w:ind w:firstLine="0" w:firstLineChars="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行业类别</w:t>
            </w:r>
          </w:p>
        </w:tc>
        <w:tc>
          <w:tcPr>
            <w:tcW w:w="1667" w:type="dxa"/>
            <w:noWrap w:val="0"/>
            <w:vAlign w:val="center"/>
          </w:tcPr>
          <w:p w14:paraId="31F83602">
            <w:pPr>
              <w:adjustRightInd w:val="0"/>
              <w:snapToGrid w:val="0"/>
              <w:spacing w:line="240" w:lineRule="auto"/>
              <w:ind w:firstLine="0" w:firstLineChars="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N7724危险废物治理</w:t>
            </w:r>
          </w:p>
        </w:tc>
        <w:tc>
          <w:tcPr>
            <w:tcW w:w="1917" w:type="dxa"/>
            <w:noWrap w:val="0"/>
            <w:vAlign w:val="center"/>
          </w:tcPr>
          <w:p w14:paraId="1167B057">
            <w:pPr>
              <w:adjustRightInd w:val="0"/>
              <w:snapToGrid w:val="0"/>
              <w:spacing w:line="240" w:lineRule="auto"/>
              <w:ind w:firstLine="0" w:firstLineChars="0"/>
              <w:jc w:val="center"/>
              <w:rPr>
                <w:color w:val="000000" w:themeColor="text1"/>
                <w:highlight w:val="none"/>
                <w14:textFill>
                  <w14:solidFill>
                    <w14:schemeClr w14:val="tx1"/>
                  </w14:solidFill>
                </w14:textFill>
              </w:rPr>
            </w:pPr>
            <w:bookmarkStart w:id="1" w:name="_Hlk49843745"/>
            <w:r>
              <w:rPr>
                <w:color w:val="000000" w:themeColor="text1"/>
                <w:highlight w:val="none"/>
                <w14:textFill>
                  <w14:solidFill>
                    <w14:schemeClr w14:val="tx1"/>
                  </w14:solidFill>
                </w14:textFill>
              </w:rPr>
              <w:t>建设项目</w:t>
            </w:r>
          </w:p>
          <w:p w14:paraId="208CE5BC">
            <w:pPr>
              <w:adjustRightInd w:val="0"/>
              <w:snapToGrid w:val="0"/>
              <w:spacing w:line="240" w:lineRule="auto"/>
              <w:ind w:firstLine="0" w:firstLineChars="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行业类别</w:t>
            </w:r>
            <w:bookmarkEnd w:id="1"/>
          </w:p>
        </w:tc>
        <w:tc>
          <w:tcPr>
            <w:tcW w:w="3071" w:type="dxa"/>
            <w:noWrap w:val="0"/>
            <w:vAlign w:val="center"/>
          </w:tcPr>
          <w:p w14:paraId="49C6CF0D">
            <w:pPr>
              <w:adjustRightInd w:val="0"/>
              <w:snapToGrid w:val="0"/>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四十七、生态保护和环境治理业，101、危险废物（不含医疗废物）利用及处置，其他</w:t>
            </w:r>
          </w:p>
        </w:tc>
      </w:tr>
      <w:tr w14:paraId="31E325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2215" w:type="dxa"/>
            <w:noWrap w:val="0"/>
            <w:tcMar>
              <w:top w:w="16" w:type="dxa"/>
              <w:left w:w="16" w:type="dxa"/>
              <w:right w:w="16" w:type="dxa"/>
            </w:tcMar>
            <w:vAlign w:val="center"/>
          </w:tcPr>
          <w:p w14:paraId="3DC1E37D">
            <w:pPr>
              <w:adjustRightInd w:val="0"/>
              <w:snapToGrid w:val="0"/>
              <w:spacing w:line="240" w:lineRule="auto"/>
              <w:ind w:firstLine="0" w:firstLineChars="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建设性质</w:t>
            </w:r>
          </w:p>
        </w:tc>
        <w:tc>
          <w:tcPr>
            <w:tcW w:w="1667" w:type="dxa"/>
            <w:noWrap w:val="0"/>
            <w:vAlign w:val="center"/>
          </w:tcPr>
          <w:p w14:paraId="43147099">
            <w:pPr>
              <w:spacing w:line="240" w:lineRule="auto"/>
              <w:ind w:firstLine="0" w:firstLineChars="0"/>
              <w:jc w:val="left"/>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新建（迁建）</w:t>
            </w:r>
          </w:p>
          <w:p w14:paraId="19B6D171">
            <w:pPr>
              <w:spacing w:line="240" w:lineRule="auto"/>
              <w:ind w:firstLine="0" w:firstLineChars="0"/>
              <w:jc w:val="left"/>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改建</w:t>
            </w:r>
          </w:p>
          <w:p w14:paraId="4B76044B">
            <w:pPr>
              <w:spacing w:line="240" w:lineRule="auto"/>
              <w:ind w:firstLine="0" w:firstLineChars="0"/>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扩建</w:t>
            </w:r>
          </w:p>
          <w:p w14:paraId="2371A993">
            <w:pPr>
              <w:spacing w:line="240" w:lineRule="auto"/>
              <w:ind w:firstLine="0" w:firstLineChars="0"/>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技术改造</w:t>
            </w:r>
          </w:p>
        </w:tc>
        <w:tc>
          <w:tcPr>
            <w:tcW w:w="1917" w:type="dxa"/>
            <w:noWrap w:val="0"/>
            <w:vAlign w:val="center"/>
          </w:tcPr>
          <w:p w14:paraId="0679ECD0">
            <w:pPr>
              <w:adjustRightInd w:val="0"/>
              <w:snapToGrid w:val="0"/>
              <w:spacing w:line="240" w:lineRule="auto"/>
              <w:ind w:firstLine="0" w:firstLineChars="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建设项目</w:t>
            </w:r>
          </w:p>
          <w:p w14:paraId="60CA328A">
            <w:pPr>
              <w:adjustRightInd w:val="0"/>
              <w:snapToGrid w:val="0"/>
              <w:spacing w:line="240" w:lineRule="auto"/>
              <w:ind w:firstLine="0" w:firstLineChars="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申报情形</w:t>
            </w:r>
          </w:p>
        </w:tc>
        <w:tc>
          <w:tcPr>
            <w:tcW w:w="3071" w:type="dxa"/>
            <w:noWrap w:val="0"/>
            <w:vAlign w:val="center"/>
          </w:tcPr>
          <w:p w14:paraId="0AA3E7FE">
            <w:pPr>
              <w:spacing w:line="240" w:lineRule="auto"/>
              <w:ind w:firstLine="0" w:firstLineChars="0"/>
              <w:jc w:val="left"/>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首次申报项目</w:t>
            </w:r>
          </w:p>
          <w:p w14:paraId="32F11F70">
            <w:pPr>
              <w:spacing w:line="240" w:lineRule="auto"/>
              <w:ind w:firstLine="0" w:firstLineChars="0"/>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不予批准后再次申报项目</w:t>
            </w:r>
          </w:p>
          <w:p w14:paraId="661A6667">
            <w:pPr>
              <w:spacing w:line="240" w:lineRule="auto"/>
              <w:ind w:firstLine="0" w:firstLineChars="0"/>
              <w:jc w:val="left"/>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超五年重新审核项目</w:t>
            </w:r>
          </w:p>
          <w:p w14:paraId="322D09C3">
            <w:pPr>
              <w:spacing w:line="240" w:lineRule="auto"/>
              <w:ind w:firstLine="0" w:firstLineChars="0"/>
              <w:jc w:val="left"/>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重大变动重新报批项目</w:t>
            </w:r>
          </w:p>
        </w:tc>
      </w:tr>
      <w:tr w14:paraId="519C6E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2215" w:type="dxa"/>
            <w:noWrap w:val="0"/>
            <w:tcMar>
              <w:top w:w="16" w:type="dxa"/>
              <w:left w:w="16" w:type="dxa"/>
              <w:right w:w="16" w:type="dxa"/>
            </w:tcMar>
            <w:vAlign w:val="center"/>
          </w:tcPr>
          <w:p w14:paraId="702FD8C4">
            <w:pPr>
              <w:adjustRightInd w:val="0"/>
              <w:snapToGrid w:val="0"/>
              <w:spacing w:line="240" w:lineRule="auto"/>
              <w:ind w:firstLine="0" w:firstLineChars="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项目审批（核准/备案）部门（选填）</w:t>
            </w:r>
          </w:p>
        </w:tc>
        <w:tc>
          <w:tcPr>
            <w:tcW w:w="1667" w:type="dxa"/>
            <w:noWrap w:val="0"/>
            <w:vAlign w:val="center"/>
          </w:tcPr>
          <w:p w14:paraId="40DCAFED">
            <w:pPr>
              <w:adjustRightInd w:val="0"/>
              <w:snapToGrid w:val="0"/>
              <w:spacing w:line="240" w:lineRule="auto"/>
              <w:ind w:firstLine="0" w:firstLineChars="0"/>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c>
          <w:tcPr>
            <w:tcW w:w="1917" w:type="dxa"/>
            <w:noWrap w:val="0"/>
            <w:vAlign w:val="center"/>
          </w:tcPr>
          <w:p w14:paraId="79F1CC5A">
            <w:pPr>
              <w:adjustRightInd w:val="0"/>
              <w:snapToGrid w:val="0"/>
              <w:spacing w:line="240" w:lineRule="auto"/>
              <w:ind w:firstLine="0" w:firstLineChars="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项目审批（核准/</w:t>
            </w:r>
          </w:p>
          <w:p w14:paraId="442B5E51">
            <w:pPr>
              <w:adjustRightInd w:val="0"/>
              <w:snapToGrid w:val="0"/>
              <w:spacing w:line="240" w:lineRule="auto"/>
              <w:ind w:firstLine="0" w:firstLineChars="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备案）文号（选填）</w:t>
            </w:r>
          </w:p>
        </w:tc>
        <w:tc>
          <w:tcPr>
            <w:tcW w:w="3071" w:type="dxa"/>
            <w:noWrap w:val="0"/>
            <w:vAlign w:val="center"/>
          </w:tcPr>
          <w:p w14:paraId="111A83BA">
            <w:pPr>
              <w:adjustRightInd w:val="0"/>
              <w:snapToGrid w:val="0"/>
              <w:spacing w:line="240" w:lineRule="auto"/>
              <w:ind w:firstLine="0" w:firstLineChars="0"/>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r>
      <w:tr w14:paraId="220A9E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215" w:type="dxa"/>
            <w:noWrap w:val="0"/>
            <w:tcMar>
              <w:top w:w="16" w:type="dxa"/>
              <w:left w:w="16" w:type="dxa"/>
              <w:right w:w="16" w:type="dxa"/>
            </w:tcMar>
            <w:vAlign w:val="center"/>
          </w:tcPr>
          <w:p w14:paraId="255DC9AD">
            <w:pPr>
              <w:adjustRightInd w:val="0"/>
              <w:snapToGrid w:val="0"/>
              <w:spacing w:line="240" w:lineRule="auto"/>
              <w:ind w:firstLine="0" w:firstLineChars="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总投资（万元）</w:t>
            </w:r>
          </w:p>
        </w:tc>
        <w:tc>
          <w:tcPr>
            <w:tcW w:w="1667" w:type="dxa"/>
            <w:noWrap w:val="0"/>
            <w:vAlign w:val="center"/>
          </w:tcPr>
          <w:p w14:paraId="7396B621">
            <w:pPr>
              <w:adjustRightInd w:val="0"/>
              <w:snapToGrid w:val="0"/>
              <w:spacing w:line="240" w:lineRule="auto"/>
              <w:ind w:firstLine="0" w:firstLineChars="0"/>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10</w:t>
            </w:r>
          </w:p>
        </w:tc>
        <w:tc>
          <w:tcPr>
            <w:tcW w:w="1917" w:type="dxa"/>
            <w:noWrap w:val="0"/>
            <w:tcMar>
              <w:top w:w="16" w:type="dxa"/>
              <w:left w:w="16" w:type="dxa"/>
              <w:right w:w="16" w:type="dxa"/>
            </w:tcMar>
            <w:vAlign w:val="center"/>
          </w:tcPr>
          <w:p w14:paraId="799233F6">
            <w:pPr>
              <w:adjustRightInd w:val="0"/>
              <w:snapToGrid w:val="0"/>
              <w:spacing w:line="240" w:lineRule="auto"/>
              <w:ind w:firstLine="0" w:firstLineChars="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环保投资（万元）</w:t>
            </w:r>
          </w:p>
        </w:tc>
        <w:tc>
          <w:tcPr>
            <w:tcW w:w="3071" w:type="dxa"/>
            <w:noWrap w:val="0"/>
            <w:vAlign w:val="center"/>
          </w:tcPr>
          <w:p w14:paraId="5CE8F49A">
            <w:pPr>
              <w:adjustRightInd w:val="0"/>
              <w:snapToGrid w:val="0"/>
              <w:spacing w:line="240" w:lineRule="auto"/>
              <w:ind w:firstLine="0" w:firstLineChars="0"/>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10</w:t>
            </w:r>
          </w:p>
        </w:tc>
      </w:tr>
      <w:tr w14:paraId="6B4941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215" w:type="dxa"/>
            <w:noWrap w:val="0"/>
            <w:tcMar>
              <w:top w:w="16" w:type="dxa"/>
              <w:left w:w="16" w:type="dxa"/>
              <w:right w:w="16" w:type="dxa"/>
            </w:tcMar>
            <w:vAlign w:val="center"/>
          </w:tcPr>
          <w:p w14:paraId="1CD2F08C">
            <w:pPr>
              <w:adjustRightInd w:val="0"/>
              <w:snapToGrid w:val="0"/>
              <w:spacing w:line="240" w:lineRule="auto"/>
              <w:ind w:firstLine="0" w:firstLineChars="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环保投资占比（%）</w:t>
            </w:r>
          </w:p>
        </w:tc>
        <w:tc>
          <w:tcPr>
            <w:tcW w:w="1667" w:type="dxa"/>
            <w:noWrap w:val="0"/>
            <w:vAlign w:val="center"/>
          </w:tcPr>
          <w:p w14:paraId="7C34639A">
            <w:pPr>
              <w:adjustRightInd w:val="0"/>
              <w:snapToGrid w:val="0"/>
              <w:spacing w:line="240" w:lineRule="auto"/>
              <w:ind w:firstLine="0" w:firstLineChars="0"/>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100</w:t>
            </w:r>
          </w:p>
        </w:tc>
        <w:tc>
          <w:tcPr>
            <w:tcW w:w="1917" w:type="dxa"/>
            <w:noWrap w:val="0"/>
            <w:tcMar>
              <w:top w:w="16" w:type="dxa"/>
              <w:left w:w="16" w:type="dxa"/>
              <w:right w:w="16" w:type="dxa"/>
            </w:tcMar>
            <w:vAlign w:val="center"/>
          </w:tcPr>
          <w:p w14:paraId="7ED77682">
            <w:pPr>
              <w:adjustRightInd w:val="0"/>
              <w:snapToGrid w:val="0"/>
              <w:spacing w:line="240" w:lineRule="auto"/>
              <w:ind w:firstLine="0" w:firstLineChars="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施工工期</w:t>
            </w:r>
          </w:p>
        </w:tc>
        <w:tc>
          <w:tcPr>
            <w:tcW w:w="3071" w:type="dxa"/>
            <w:noWrap w:val="0"/>
            <w:vAlign w:val="center"/>
          </w:tcPr>
          <w:p w14:paraId="727514D1">
            <w:pPr>
              <w:adjustRightInd w:val="0"/>
              <w:snapToGrid w:val="0"/>
              <w:spacing w:line="240" w:lineRule="auto"/>
              <w:ind w:firstLine="0" w:firstLineChars="0"/>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1个月</w:t>
            </w:r>
          </w:p>
        </w:tc>
      </w:tr>
      <w:tr w14:paraId="084959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215" w:type="dxa"/>
            <w:noWrap w:val="0"/>
            <w:tcMar>
              <w:top w:w="16" w:type="dxa"/>
              <w:left w:w="16" w:type="dxa"/>
              <w:right w:w="16" w:type="dxa"/>
            </w:tcMar>
            <w:vAlign w:val="center"/>
          </w:tcPr>
          <w:p w14:paraId="6D440278">
            <w:pPr>
              <w:adjustRightInd w:val="0"/>
              <w:snapToGrid w:val="0"/>
              <w:spacing w:line="240" w:lineRule="auto"/>
              <w:ind w:firstLine="0" w:firstLineChars="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是否开工建设</w:t>
            </w:r>
          </w:p>
        </w:tc>
        <w:tc>
          <w:tcPr>
            <w:tcW w:w="1667" w:type="dxa"/>
            <w:noWrap w:val="0"/>
            <w:vAlign w:val="center"/>
          </w:tcPr>
          <w:p w14:paraId="20FF8B62">
            <w:pPr>
              <w:adjustRightInd w:val="0"/>
              <w:snapToGrid w:val="0"/>
              <w:spacing w:line="240" w:lineRule="auto"/>
              <w:ind w:firstLine="0" w:firstLineChars="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否</w:t>
            </w:r>
          </w:p>
          <w:p w14:paraId="34C7DBAB">
            <w:pPr>
              <w:adjustRightInd w:val="0"/>
              <w:snapToGrid w:val="0"/>
              <w:spacing w:line="240" w:lineRule="auto"/>
              <w:ind w:firstLine="0" w:firstLineChars="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是：</w:t>
            </w:r>
          </w:p>
        </w:tc>
        <w:tc>
          <w:tcPr>
            <w:tcW w:w="1917" w:type="dxa"/>
            <w:noWrap w:val="0"/>
            <w:tcMar>
              <w:top w:w="16" w:type="dxa"/>
              <w:left w:w="16" w:type="dxa"/>
              <w:right w:w="16" w:type="dxa"/>
            </w:tcMar>
            <w:vAlign w:val="center"/>
          </w:tcPr>
          <w:p w14:paraId="395306DA">
            <w:pPr>
              <w:adjustRightInd w:val="0"/>
              <w:snapToGrid w:val="0"/>
              <w:spacing w:line="240" w:lineRule="auto"/>
              <w:ind w:firstLine="0" w:firstLineChars="0"/>
              <w:jc w:val="center"/>
              <w:rPr>
                <w:color w:val="000000" w:themeColor="text1"/>
                <w:highlight w:val="none"/>
                <w14:textFill>
                  <w14:solidFill>
                    <w14:schemeClr w14:val="tx1"/>
                  </w14:solidFill>
                </w14:textFill>
              </w:rPr>
            </w:pPr>
            <w:r>
              <w:rPr>
                <w:color w:val="000000" w:themeColor="text1"/>
                <w:spacing w:val="-6"/>
                <w:highlight w:val="none"/>
                <w14:textFill>
                  <w14:solidFill>
                    <w14:schemeClr w14:val="tx1"/>
                  </w14:solidFill>
                </w14:textFill>
              </w:rPr>
              <w:t>用地面积（</w:t>
            </w:r>
            <w:r>
              <w:rPr>
                <w:rFonts w:hint="eastAsia"/>
                <w:color w:val="000000" w:themeColor="text1"/>
                <w:spacing w:val="-6"/>
                <w:highlight w:val="none"/>
                <w14:textFill>
                  <w14:solidFill>
                    <w14:schemeClr w14:val="tx1"/>
                  </w14:solidFill>
                </w14:textFill>
              </w:rPr>
              <w:t>㎡</w:t>
            </w:r>
            <w:r>
              <w:rPr>
                <w:color w:val="000000" w:themeColor="text1"/>
                <w:spacing w:val="-6"/>
                <w:highlight w:val="none"/>
                <w14:textFill>
                  <w14:solidFill>
                    <w14:schemeClr w14:val="tx1"/>
                  </w14:solidFill>
                </w14:textFill>
              </w:rPr>
              <w:t>）</w:t>
            </w:r>
          </w:p>
        </w:tc>
        <w:tc>
          <w:tcPr>
            <w:tcW w:w="3071" w:type="dxa"/>
            <w:noWrap w:val="0"/>
            <w:vAlign w:val="center"/>
          </w:tcPr>
          <w:p w14:paraId="69185053">
            <w:pPr>
              <w:adjustRightInd w:val="0"/>
              <w:snapToGrid w:val="0"/>
              <w:spacing w:line="240" w:lineRule="auto"/>
              <w:ind w:firstLine="0" w:firstLineChars="0"/>
              <w:jc w:val="center"/>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7</w:t>
            </w:r>
          </w:p>
        </w:tc>
      </w:tr>
      <w:tr w14:paraId="02C3F0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3" w:hRule="atLeast"/>
          <w:jc w:val="center"/>
        </w:trPr>
        <w:tc>
          <w:tcPr>
            <w:tcW w:w="2215" w:type="dxa"/>
            <w:noWrap w:val="0"/>
            <w:vAlign w:val="center"/>
          </w:tcPr>
          <w:p w14:paraId="255F4657">
            <w:pPr>
              <w:autoSpaceDE w:val="0"/>
              <w:autoSpaceDN w:val="0"/>
              <w:adjustRightInd w:val="0"/>
              <w:snapToGrid w:val="0"/>
              <w:spacing w:line="240" w:lineRule="auto"/>
              <w:ind w:firstLine="0" w:firstLineChars="0"/>
              <w:jc w:val="center"/>
              <w:rPr>
                <w:color w:val="000000" w:themeColor="text1"/>
                <w:kern w:val="0"/>
                <w:highlight w:val="none"/>
                <w14:textFill>
                  <w14:solidFill>
                    <w14:schemeClr w14:val="tx1"/>
                  </w14:solidFill>
                </w14:textFill>
              </w:rPr>
            </w:pPr>
            <w:r>
              <w:rPr>
                <w:color w:val="000000" w:themeColor="text1"/>
                <w:kern w:val="0"/>
                <w:highlight w:val="none"/>
                <w14:textFill>
                  <w14:solidFill>
                    <w14:schemeClr w14:val="tx1"/>
                  </w14:solidFill>
                </w14:textFill>
              </w:rPr>
              <w:t>专项评价设置情况</w:t>
            </w:r>
          </w:p>
        </w:tc>
        <w:tc>
          <w:tcPr>
            <w:tcW w:w="6655" w:type="dxa"/>
            <w:gridSpan w:val="3"/>
            <w:noWrap w:val="0"/>
            <w:vAlign w:val="center"/>
          </w:tcPr>
          <w:p w14:paraId="4ACA9051">
            <w:pPr>
              <w:bidi w:val="0"/>
              <w:ind w:left="0" w:leftChars="0" w:firstLine="0" w:firstLineChars="0"/>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无</w:t>
            </w:r>
          </w:p>
        </w:tc>
      </w:tr>
      <w:tr w14:paraId="2270FF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2215" w:type="dxa"/>
            <w:noWrap w:val="0"/>
            <w:vAlign w:val="center"/>
          </w:tcPr>
          <w:p w14:paraId="0DB7B410">
            <w:pPr>
              <w:autoSpaceDE w:val="0"/>
              <w:autoSpaceDN w:val="0"/>
              <w:adjustRightInd w:val="0"/>
              <w:snapToGrid w:val="0"/>
              <w:spacing w:line="240" w:lineRule="auto"/>
              <w:ind w:firstLine="0" w:firstLineChars="0"/>
              <w:jc w:val="center"/>
              <w:rPr>
                <w:color w:val="000000" w:themeColor="text1"/>
                <w:kern w:val="0"/>
                <w:highlight w:val="none"/>
                <w14:textFill>
                  <w14:solidFill>
                    <w14:schemeClr w14:val="tx1"/>
                  </w14:solidFill>
                </w14:textFill>
              </w:rPr>
            </w:pPr>
            <w:r>
              <w:rPr>
                <w:color w:val="000000" w:themeColor="text1"/>
                <w:highlight w:val="none"/>
                <w14:textFill>
                  <w14:solidFill>
                    <w14:schemeClr w14:val="tx1"/>
                  </w14:solidFill>
                </w14:textFill>
              </w:rPr>
              <w:t>规划情况</w:t>
            </w:r>
          </w:p>
        </w:tc>
        <w:tc>
          <w:tcPr>
            <w:tcW w:w="6655" w:type="dxa"/>
            <w:gridSpan w:val="3"/>
            <w:noWrap w:val="0"/>
            <w:vAlign w:val="center"/>
          </w:tcPr>
          <w:p w14:paraId="0EC6BD59">
            <w:pPr>
              <w:autoSpaceDE w:val="0"/>
              <w:autoSpaceDN w:val="0"/>
              <w:adjustRightInd w:val="0"/>
              <w:snapToGrid w:val="0"/>
              <w:spacing w:line="240" w:lineRule="auto"/>
              <w:ind w:firstLine="0" w:firstLineChars="0"/>
              <w:jc w:val="center"/>
              <w:rPr>
                <w:rFonts w:hint="eastAsia"/>
                <w:color w:val="000000" w:themeColor="text1"/>
                <w:kern w:val="0"/>
                <w:highlight w:val="none"/>
                <w14:textFill>
                  <w14:solidFill>
                    <w14:schemeClr w14:val="tx1"/>
                  </w14:solidFill>
                </w14:textFill>
              </w:rPr>
            </w:pPr>
            <w:r>
              <w:rPr>
                <w:rFonts w:hint="eastAsia"/>
                <w:color w:val="000000" w:themeColor="text1"/>
                <w:kern w:val="0"/>
                <w:highlight w:val="none"/>
                <w14:textFill>
                  <w14:solidFill>
                    <w14:schemeClr w14:val="tx1"/>
                  </w14:solidFill>
                </w14:textFill>
              </w:rPr>
              <w:t>无</w:t>
            </w:r>
          </w:p>
        </w:tc>
      </w:tr>
      <w:tr w14:paraId="3E3EEEB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0" w:hRule="atLeast"/>
          <w:jc w:val="center"/>
        </w:trPr>
        <w:tc>
          <w:tcPr>
            <w:tcW w:w="2215" w:type="dxa"/>
            <w:noWrap w:val="0"/>
            <w:vAlign w:val="center"/>
          </w:tcPr>
          <w:p w14:paraId="3047612D">
            <w:pPr>
              <w:adjustRightInd w:val="0"/>
              <w:snapToGrid w:val="0"/>
              <w:spacing w:line="240" w:lineRule="auto"/>
              <w:ind w:firstLine="0" w:firstLineChars="0"/>
              <w:jc w:val="center"/>
              <w:rPr>
                <w:color w:val="000000" w:themeColor="text1"/>
                <w:kern w:val="0"/>
                <w:highlight w:val="none"/>
                <w14:textFill>
                  <w14:solidFill>
                    <w14:schemeClr w14:val="tx1"/>
                  </w14:solidFill>
                </w14:textFill>
              </w:rPr>
            </w:pPr>
            <w:r>
              <w:rPr>
                <w:color w:val="000000" w:themeColor="text1"/>
                <w:highlight w:val="none"/>
                <w14:textFill>
                  <w14:solidFill>
                    <w14:schemeClr w14:val="tx1"/>
                  </w14:solidFill>
                </w14:textFill>
              </w:rPr>
              <w:t>规划环境影响评价情况</w:t>
            </w:r>
          </w:p>
        </w:tc>
        <w:tc>
          <w:tcPr>
            <w:tcW w:w="6655" w:type="dxa"/>
            <w:gridSpan w:val="3"/>
            <w:noWrap w:val="0"/>
            <w:vAlign w:val="center"/>
          </w:tcPr>
          <w:p w14:paraId="3A447F08">
            <w:pPr>
              <w:autoSpaceDE w:val="0"/>
              <w:autoSpaceDN w:val="0"/>
              <w:adjustRightInd w:val="0"/>
              <w:snapToGrid w:val="0"/>
              <w:spacing w:line="240" w:lineRule="auto"/>
              <w:ind w:firstLine="0" w:firstLineChars="0"/>
              <w:jc w:val="center"/>
              <w:rPr>
                <w:color w:val="000000" w:themeColor="text1"/>
                <w:kern w:val="0"/>
                <w:highlight w:val="none"/>
                <w14:textFill>
                  <w14:solidFill>
                    <w14:schemeClr w14:val="tx1"/>
                  </w14:solidFill>
                </w14:textFill>
              </w:rPr>
            </w:pPr>
            <w:r>
              <w:rPr>
                <w:rFonts w:hint="eastAsia"/>
                <w:color w:val="000000" w:themeColor="text1"/>
                <w:kern w:val="0"/>
                <w:highlight w:val="none"/>
                <w14:textFill>
                  <w14:solidFill>
                    <w14:schemeClr w14:val="tx1"/>
                  </w14:solidFill>
                </w14:textFill>
              </w:rPr>
              <w:t>无</w:t>
            </w:r>
          </w:p>
        </w:tc>
      </w:tr>
      <w:tr w14:paraId="0F51675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12" w:hRule="atLeast"/>
          <w:jc w:val="center"/>
        </w:trPr>
        <w:tc>
          <w:tcPr>
            <w:tcW w:w="2215" w:type="dxa"/>
            <w:noWrap w:val="0"/>
            <w:vAlign w:val="center"/>
          </w:tcPr>
          <w:p w14:paraId="78783869">
            <w:pPr>
              <w:autoSpaceDE w:val="0"/>
              <w:autoSpaceDN w:val="0"/>
              <w:adjustRightInd w:val="0"/>
              <w:snapToGrid w:val="0"/>
              <w:spacing w:line="240" w:lineRule="auto"/>
              <w:ind w:firstLine="0" w:firstLineChars="0"/>
              <w:jc w:val="center"/>
              <w:rPr>
                <w:color w:val="000000" w:themeColor="text1"/>
                <w:kern w:val="0"/>
                <w:highlight w:val="none"/>
                <w14:textFill>
                  <w14:solidFill>
                    <w14:schemeClr w14:val="tx1"/>
                  </w14:solidFill>
                </w14:textFill>
              </w:rPr>
            </w:pPr>
            <w:r>
              <w:rPr>
                <w:color w:val="000000" w:themeColor="text1"/>
                <w:kern w:val="0"/>
                <w:highlight w:val="none"/>
                <w14:textFill>
                  <w14:solidFill>
                    <w14:schemeClr w14:val="tx1"/>
                  </w14:solidFill>
                </w14:textFill>
              </w:rPr>
              <w:t>规划及规划环境影响评价符合性分析</w:t>
            </w:r>
          </w:p>
        </w:tc>
        <w:tc>
          <w:tcPr>
            <w:tcW w:w="6655" w:type="dxa"/>
            <w:gridSpan w:val="3"/>
            <w:noWrap w:val="0"/>
            <w:vAlign w:val="center"/>
          </w:tcPr>
          <w:p w14:paraId="7F68CDF7">
            <w:pPr>
              <w:autoSpaceDE w:val="0"/>
              <w:autoSpaceDN w:val="0"/>
              <w:adjustRightInd w:val="0"/>
              <w:snapToGrid w:val="0"/>
              <w:spacing w:line="240" w:lineRule="auto"/>
              <w:ind w:firstLine="0" w:firstLineChars="0"/>
              <w:jc w:val="center"/>
              <w:rPr>
                <w:rFonts w:hint="eastAsia"/>
                <w:color w:val="000000" w:themeColor="text1"/>
                <w:kern w:val="0"/>
                <w:highlight w:val="none"/>
                <w14:textFill>
                  <w14:solidFill>
                    <w14:schemeClr w14:val="tx1"/>
                  </w14:solidFill>
                </w14:textFill>
              </w:rPr>
            </w:pPr>
            <w:r>
              <w:rPr>
                <w:rFonts w:hint="eastAsia"/>
                <w:color w:val="000000" w:themeColor="text1"/>
                <w:kern w:val="0"/>
                <w:highlight w:val="none"/>
                <w14:textFill>
                  <w14:solidFill>
                    <w14:schemeClr w14:val="tx1"/>
                  </w14:solidFill>
                </w14:textFill>
              </w:rPr>
              <w:t>无</w:t>
            </w:r>
          </w:p>
        </w:tc>
      </w:tr>
      <w:tr w14:paraId="3FFFE8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73" w:hRule="atLeast"/>
          <w:jc w:val="center"/>
        </w:trPr>
        <w:tc>
          <w:tcPr>
            <w:tcW w:w="2215" w:type="dxa"/>
            <w:noWrap w:val="0"/>
            <w:vAlign w:val="center"/>
          </w:tcPr>
          <w:p w14:paraId="45D6F987">
            <w:pPr>
              <w:autoSpaceDE w:val="0"/>
              <w:autoSpaceDN w:val="0"/>
              <w:adjustRightInd w:val="0"/>
              <w:snapToGrid w:val="0"/>
              <w:spacing w:line="240" w:lineRule="auto"/>
              <w:ind w:firstLine="0" w:firstLineChars="0"/>
              <w:jc w:val="center"/>
              <w:rPr>
                <w:color w:val="000000" w:themeColor="text1"/>
                <w:kern w:val="0"/>
                <w:highlight w:val="none"/>
                <w14:textFill>
                  <w14:solidFill>
                    <w14:schemeClr w14:val="tx1"/>
                  </w14:solidFill>
                </w14:textFill>
              </w:rPr>
            </w:pPr>
            <w:r>
              <w:rPr>
                <w:color w:val="000000" w:themeColor="text1"/>
                <w:kern w:val="0"/>
                <w:highlight w:val="none"/>
                <w14:textFill>
                  <w14:solidFill>
                    <w14:schemeClr w14:val="tx1"/>
                  </w14:solidFill>
                </w14:textFill>
              </w:rPr>
              <w:t>其他符合性分析</w:t>
            </w:r>
          </w:p>
        </w:tc>
        <w:tc>
          <w:tcPr>
            <w:tcW w:w="6655" w:type="dxa"/>
            <w:gridSpan w:val="3"/>
            <w:noWrap w:val="0"/>
            <w:vAlign w:val="center"/>
          </w:tcPr>
          <w:p w14:paraId="63C7B829">
            <w:pPr>
              <w:adjustRightInd w:val="0"/>
              <w:snapToGrid w:val="0"/>
              <w:ind w:firstLine="482"/>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1、产业政策符合性分析</w:t>
            </w:r>
          </w:p>
          <w:p w14:paraId="576DE550">
            <w:pPr>
              <w:widowControl/>
              <w:snapToGrid w:val="0"/>
              <w:spacing w:line="360" w:lineRule="auto"/>
              <w:ind w:firstLine="480" w:firstLineChars="200"/>
              <w:jc w:val="left"/>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本项目为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危险废物暂存库项目</w:t>
            </w:r>
            <w:r>
              <w:rPr>
                <w:rFonts w:hint="default" w:ascii="Times New Roman" w:hAnsi="Times New Roman" w:eastAsia="宋体" w:cs="Times New Roman"/>
                <w:color w:val="000000" w:themeColor="text1"/>
                <w:sz w:val="24"/>
                <w:szCs w:val="24"/>
                <w14:textFill>
                  <w14:solidFill>
                    <w14:schemeClr w14:val="tx1"/>
                  </w14:solidFill>
                </w14:textFill>
              </w:rPr>
              <w:t>，建设内容为在</w:t>
            </w:r>
            <w:r>
              <w:rPr>
                <w:rFonts w:hint="eastAsia" w:eastAsia="宋体" w:cs="Times New Roman"/>
                <w:color w:val="000000" w:themeColor="text1"/>
                <w:sz w:val="24"/>
                <w:szCs w:val="24"/>
                <w:lang w:val="en-US" w:eastAsia="zh-CN"/>
                <w14:textFill>
                  <w14:solidFill>
                    <w14:schemeClr w14:val="tx1"/>
                  </w14:solidFill>
                </w14:textFill>
              </w:rPr>
              <w:t>现有</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厂区</w:t>
            </w:r>
            <w:r>
              <w:rPr>
                <w:rFonts w:hint="default" w:ascii="Times New Roman" w:hAnsi="Times New Roman" w:eastAsia="宋体" w:cs="Times New Roman"/>
                <w:color w:val="000000" w:themeColor="text1"/>
                <w:sz w:val="24"/>
                <w:szCs w:val="24"/>
                <w14:textFill>
                  <w14:solidFill>
                    <w14:schemeClr w14:val="tx1"/>
                  </w14:solidFill>
                </w14:textFill>
              </w:rPr>
              <w:t>内</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新建</w:t>
            </w:r>
            <w:r>
              <w:rPr>
                <w:rFonts w:hint="eastAsia" w:cs="Times New Roman"/>
                <w:color w:val="000000" w:themeColor="text1"/>
                <w:sz w:val="24"/>
                <w:szCs w:val="24"/>
                <w:lang w:val="en-US" w:eastAsia="zh-CN"/>
                <w14:textFill>
                  <w14:solidFill>
                    <w14:schemeClr w14:val="tx1"/>
                  </w14:solidFill>
                </w14:textFill>
              </w:rPr>
              <w:t>1座</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危险废物暂存库</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本</w:t>
            </w:r>
            <w:r>
              <w:rPr>
                <w:rFonts w:hint="default" w:ascii="Times New Roman" w:hAnsi="Times New Roman" w:eastAsia="宋体" w:cs="Times New Roman"/>
                <w:color w:val="000000" w:themeColor="text1"/>
                <w:sz w:val="24"/>
                <w:szCs w:val="24"/>
                <w14:textFill>
                  <w14:solidFill>
                    <w14:schemeClr w14:val="tx1"/>
                  </w14:solidFill>
                </w14:textFill>
              </w:rPr>
              <w:t>项目不属于</w:t>
            </w:r>
            <w:r>
              <w:rPr>
                <w:rFonts w:hint="default" w:ascii="Times New Roman" w:hAnsi="Times New Roman" w:eastAsia="宋体" w:cs="Times New Roman"/>
                <w:color w:val="000000" w:themeColor="text1"/>
                <w:spacing w:val="10"/>
                <w:sz w:val="24"/>
                <w:szCs w:val="24"/>
                <w14:textFill>
                  <w14:solidFill>
                    <w14:schemeClr w14:val="tx1"/>
                  </w14:solidFill>
                </w14:textFill>
              </w:rPr>
              <w:t>《</w:t>
            </w:r>
            <w:r>
              <w:rPr>
                <w:rFonts w:hint="default" w:ascii="Times New Roman" w:hAnsi="Times New Roman" w:eastAsia="宋体" w:cs="Times New Roman"/>
                <w:color w:val="000000" w:themeColor="text1"/>
                <w:spacing w:val="9"/>
                <w:sz w:val="24"/>
                <w:szCs w:val="24"/>
                <w14:textFill>
                  <w14:solidFill>
                    <w14:schemeClr w14:val="tx1"/>
                  </w14:solidFill>
                </w14:textFill>
              </w:rPr>
              <w:t>产</w:t>
            </w:r>
            <w:r>
              <w:rPr>
                <w:rFonts w:hint="default" w:ascii="Times New Roman" w:hAnsi="Times New Roman" w:eastAsia="宋体" w:cs="Times New Roman"/>
                <w:color w:val="000000" w:themeColor="text1"/>
                <w:spacing w:val="5"/>
                <w:sz w:val="24"/>
                <w:szCs w:val="24"/>
                <w14:textFill>
                  <w14:solidFill>
                    <w14:schemeClr w14:val="tx1"/>
                  </w14:solidFill>
                </w14:textFill>
              </w:rPr>
              <w:t>业结构调整指导目录</w:t>
            </w:r>
            <w:r>
              <w:rPr>
                <w:rFonts w:hint="eastAsia" w:ascii="Times New Roman" w:hAnsi="Times New Roman" w:eastAsia="宋体" w:cs="Times New Roman"/>
                <w:color w:val="000000" w:themeColor="text1"/>
                <w:spacing w:val="5"/>
                <w:sz w:val="24"/>
                <w:szCs w:val="24"/>
                <w:lang w:eastAsia="zh-CN"/>
                <w14:textFill>
                  <w14:solidFill>
                    <w14:schemeClr w14:val="tx1"/>
                  </w14:solidFill>
                </w14:textFill>
              </w:rPr>
              <w:t>（</w:t>
            </w:r>
            <w:r>
              <w:rPr>
                <w:rFonts w:hint="eastAsia" w:ascii="Times New Roman" w:hAnsi="Times New Roman" w:eastAsia="宋体" w:cs="Times New Roman"/>
                <w:color w:val="000000" w:themeColor="text1"/>
                <w:spacing w:val="5"/>
                <w:sz w:val="24"/>
                <w:szCs w:val="24"/>
                <w:lang w:val="en-US" w:eastAsia="zh-CN"/>
                <w14:textFill>
                  <w14:solidFill>
                    <w14:schemeClr w14:val="tx1"/>
                  </w14:solidFill>
                </w14:textFill>
              </w:rPr>
              <w:t>2024年本</w:t>
            </w:r>
            <w:r>
              <w:rPr>
                <w:rFonts w:hint="eastAsia" w:ascii="Times New Roman" w:hAnsi="Times New Roman" w:eastAsia="宋体" w:cs="Times New Roman"/>
                <w:color w:val="000000" w:themeColor="text1"/>
                <w:spacing w:val="5"/>
                <w:sz w:val="24"/>
                <w:szCs w:val="24"/>
                <w:lang w:eastAsia="zh-CN"/>
                <w14:textFill>
                  <w14:solidFill>
                    <w14:schemeClr w14:val="tx1"/>
                  </w14:solidFill>
                </w14:textFill>
              </w:rPr>
              <w:t>）</w:t>
            </w:r>
            <w:r>
              <w:rPr>
                <w:rFonts w:hint="default" w:ascii="Times New Roman" w:hAnsi="Times New Roman" w:eastAsia="宋体" w:cs="Times New Roman"/>
                <w:color w:val="000000" w:themeColor="text1"/>
                <w:spacing w:val="5"/>
                <w:sz w:val="24"/>
                <w:szCs w:val="24"/>
                <w14:textFill>
                  <w14:solidFill>
                    <w14:schemeClr w14:val="tx1"/>
                  </w14:solidFill>
                </w14:textFill>
              </w:rPr>
              <w:t>》</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中华人民共和国国家发展和改革委员会令第7号</w:t>
            </w:r>
            <w:r>
              <w:rPr>
                <w:rFonts w:hint="default" w:ascii="Times New Roman" w:hAnsi="Times New Roman" w:eastAsia="宋体" w:cs="Times New Roman"/>
                <w:color w:val="000000" w:themeColor="text1"/>
                <w:sz w:val="24"/>
                <w:szCs w:val="24"/>
                <w14:textFill>
                  <w14:solidFill>
                    <w14:schemeClr w14:val="tx1"/>
                  </w14:solidFill>
                </w14:textFill>
              </w:rPr>
              <w:t>）中鼓励类、限制类、淘汰类，因此，本项目建设符合国家产业政策的要求。</w:t>
            </w:r>
          </w:p>
          <w:p w14:paraId="5FCCBE1C">
            <w:pPr>
              <w:pStyle w:val="19"/>
              <w:spacing w:line="360" w:lineRule="auto"/>
              <w:ind w:firstLine="482" w:firstLineChars="200"/>
              <w:rPr>
                <w:rFonts w:cs="Times New Roman"/>
                <w:color w:val="000000" w:themeColor="text1"/>
                <w:kern w:val="2"/>
                <w:sz w:val="24"/>
                <w:szCs w:val="24"/>
                <w:highlight w:val="none"/>
                <w14:textFill>
                  <w14:solidFill>
                    <w14:schemeClr w14:val="tx1"/>
                  </w14:solidFill>
                </w14:textFill>
              </w:rPr>
            </w:pPr>
            <w:r>
              <w:rPr>
                <w:rFonts w:cs="Times New Roman"/>
                <w:color w:val="000000" w:themeColor="text1"/>
                <w:kern w:val="2"/>
                <w:sz w:val="24"/>
                <w:szCs w:val="24"/>
                <w:highlight w:val="none"/>
                <w14:textFill>
                  <w14:solidFill>
                    <w14:schemeClr w14:val="tx1"/>
                  </w14:solidFill>
                </w14:textFill>
              </w:rPr>
              <w:t>2、项目与危险废物相关技术规范的相符性分析</w:t>
            </w:r>
          </w:p>
          <w:p w14:paraId="141D5107">
            <w:pPr>
              <w:adjustRightInd w:val="0"/>
              <w:snapToGrid w:val="0"/>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项目建设与《危险废物贮存污染控制标准》（GB18597-2023）对比分析情况，具体对照见下表。</w:t>
            </w:r>
          </w:p>
          <w:p w14:paraId="6DF1FDEE">
            <w:pPr>
              <w:pStyle w:val="21"/>
              <w:ind w:firstLine="0" w:firstLineChars="0"/>
              <w:rPr>
                <w:b w:val="0"/>
                <w:color w:val="000000" w:themeColor="text1"/>
                <w:sz w:val="20"/>
                <w:szCs w:val="20"/>
                <w:highlight w:val="none"/>
                <w14:textFill>
                  <w14:solidFill>
                    <w14:schemeClr w14:val="tx1"/>
                  </w14:solidFill>
                </w14:textFill>
              </w:rPr>
            </w:pPr>
            <w:r>
              <w:rPr>
                <w:bCs/>
                <w:color w:val="000000" w:themeColor="text1"/>
                <w:sz w:val="20"/>
                <w:szCs w:val="20"/>
                <w:highlight w:val="none"/>
                <w14:textFill>
                  <w14:solidFill>
                    <w14:schemeClr w14:val="tx1"/>
                  </w14:solidFill>
                </w14:textFill>
              </w:rPr>
              <w:t>表1-</w:t>
            </w:r>
            <w:r>
              <w:rPr>
                <w:rFonts w:hint="eastAsia"/>
                <w:bCs/>
                <w:color w:val="000000" w:themeColor="text1"/>
                <w:sz w:val="20"/>
                <w:szCs w:val="20"/>
                <w:highlight w:val="none"/>
                <w:lang w:val="en-US" w:eastAsia="zh-CN"/>
                <w14:textFill>
                  <w14:solidFill>
                    <w14:schemeClr w14:val="tx1"/>
                  </w14:solidFill>
                </w14:textFill>
              </w:rPr>
              <w:t>2</w:t>
            </w:r>
            <w:r>
              <w:rPr>
                <w:bCs/>
                <w:color w:val="000000" w:themeColor="text1"/>
                <w:sz w:val="20"/>
                <w:szCs w:val="20"/>
                <w:highlight w:val="none"/>
                <w14:textFill>
                  <w14:solidFill>
                    <w14:schemeClr w14:val="tx1"/>
                  </w14:solidFill>
                </w14:textFill>
              </w:rPr>
              <w:t>《危险废物贮存污染控制标准》（GB18597-2023）相符性分析表</w:t>
            </w:r>
          </w:p>
          <w:tbl>
            <w:tblPr>
              <w:tblStyle w:val="14"/>
              <w:tblW w:w="65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
              <w:gridCol w:w="428"/>
              <w:gridCol w:w="2191"/>
              <w:gridCol w:w="2889"/>
              <w:gridCol w:w="564"/>
            </w:tblGrid>
            <w:tr w14:paraId="62EE7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86" w:type="dxa"/>
                  <w:gridSpan w:val="3"/>
                  <w:noWrap w:val="0"/>
                  <w:vAlign w:val="center"/>
                </w:tcPr>
                <w:p w14:paraId="4AD30175">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GB18597-2023要求</w:t>
                  </w:r>
                </w:p>
              </w:tc>
              <w:tc>
                <w:tcPr>
                  <w:tcW w:w="2889" w:type="dxa"/>
                  <w:noWrap w:val="0"/>
                  <w:vAlign w:val="center"/>
                </w:tcPr>
                <w:p w14:paraId="2930ED19">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本项目情况</w:t>
                  </w:r>
                </w:p>
              </w:tc>
              <w:tc>
                <w:tcPr>
                  <w:tcW w:w="564" w:type="dxa"/>
                  <w:noWrap w:val="0"/>
                  <w:vAlign w:val="center"/>
                </w:tcPr>
                <w:p w14:paraId="792D9586">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符合性</w:t>
                  </w:r>
                </w:p>
              </w:tc>
            </w:tr>
            <w:tr w14:paraId="2258F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5" w:hRule="atLeast"/>
                <w:jc w:val="center"/>
              </w:trPr>
              <w:tc>
                <w:tcPr>
                  <w:tcW w:w="467" w:type="dxa"/>
                  <w:vMerge w:val="restart"/>
                  <w:noWrap w:val="0"/>
                  <w:vAlign w:val="center"/>
                </w:tcPr>
                <w:p w14:paraId="7714384D">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总体要求</w:t>
                  </w:r>
                </w:p>
              </w:tc>
              <w:tc>
                <w:tcPr>
                  <w:tcW w:w="2619" w:type="dxa"/>
                  <w:gridSpan w:val="2"/>
                  <w:noWrap w:val="0"/>
                  <w:vAlign w:val="center"/>
                </w:tcPr>
                <w:p w14:paraId="26036A69">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产生、收集、贮存、利用、处置危险废物的单位应建造危险废物贮存设施或设置贮存场所，并根据需要选择贮存设施类型。</w:t>
                  </w:r>
                </w:p>
              </w:tc>
              <w:tc>
                <w:tcPr>
                  <w:tcW w:w="2889" w:type="dxa"/>
                  <w:noWrap w:val="0"/>
                  <w:vAlign w:val="center"/>
                </w:tcPr>
                <w:p w14:paraId="645F7E40">
                  <w:pPr>
                    <w:spacing w:line="240" w:lineRule="auto"/>
                    <w:ind w:firstLine="0" w:firstLineChars="0"/>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鄂尔多斯市宇驰顺捷汽车销售服务有限公司</w:t>
                  </w:r>
                  <w:r>
                    <w:rPr>
                      <w:rFonts w:hint="eastAsia"/>
                      <w:color w:val="000000" w:themeColor="text1"/>
                      <w:highlight w:val="none"/>
                      <w14:textFill>
                        <w14:solidFill>
                          <w14:schemeClr w14:val="tx1"/>
                        </w14:solidFill>
                      </w14:textFill>
                    </w:rPr>
                    <w:t>在日常的车辆维修过程中会产生少量的</w:t>
                  </w:r>
                  <w:r>
                    <w:rPr>
                      <w:rFonts w:hint="eastAsia"/>
                      <w:color w:val="000000" w:themeColor="text1"/>
                      <w:highlight w:val="none"/>
                      <w:lang w:eastAsia="zh-CN"/>
                      <w14:textFill>
                        <w14:solidFill>
                          <w14:schemeClr w14:val="tx1"/>
                        </w14:solidFill>
                      </w14:textFill>
                    </w:rPr>
                    <w:t>废润滑油、</w:t>
                  </w:r>
                  <w:r>
                    <w:rPr>
                      <w:rFonts w:hint="eastAsia"/>
                      <w:color w:val="000000" w:themeColor="text1"/>
                      <w:highlight w:val="none"/>
                      <w14:textFill>
                        <w14:solidFill>
                          <w14:schemeClr w14:val="tx1"/>
                        </w14:solidFill>
                      </w14:textFill>
                    </w:rPr>
                    <w:t>废油桶</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废机油，均为</w:t>
                  </w:r>
                  <w:r>
                    <w:rPr>
                      <w:rFonts w:hint="eastAsia"/>
                      <w:color w:val="000000" w:themeColor="text1"/>
                      <w:highlight w:val="none"/>
                      <w14:textFill>
                        <w14:solidFill>
                          <w14:schemeClr w14:val="tx1"/>
                        </w14:solidFill>
                      </w14:textFill>
                    </w:rPr>
                    <w:t>危险废物，拟新建</w:t>
                  </w:r>
                  <w:r>
                    <w:rPr>
                      <w:rFonts w:hint="eastAsia"/>
                      <w:color w:val="000000" w:themeColor="text1"/>
                      <w:highlight w:val="none"/>
                      <w:lang w:eastAsia="zh-CN"/>
                      <w14:textFill>
                        <w14:solidFill>
                          <w14:schemeClr w14:val="tx1"/>
                        </w14:solidFill>
                      </w14:textFill>
                    </w:rPr>
                    <w:t>7㎡</w:t>
                  </w:r>
                  <w:r>
                    <w:rPr>
                      <w:rFonts w:hint="eastAsia"/>
                      <w:color w:val="000000" w:themeColor="text1"/>
                      <w:highlight w:val="none"/>
                      <w14:textFill>
                        <w14:solidFill>
                          <w14:schemeClr w14:val="tx1"/>
                        </w14:solidFill>
                      </w14:textFill>
                    </w:rPr>
                    <w:t>的</w:t>
                  </w:r>
                  <w:r>
                    <w:rPr>
                      <w:rFonts w:hint="eastAsia"/>
                      <w:color w:val="000000" w:themeColor="text1"/>
                      <w:highlight w:val="none"/>
                      <w:lang w:eastAsia="zh-CN"/>
                      <w14:textFill>
                        <w14:solidFill>
                          <w14:schemeClr w14:val="tx1"/>
                        </w14:solidFill>
                      </w14:textFill>
                    </w:rPr>
                    <w:t>全封闭危险废物贮存库</w:t>
                  </w:r>
                  <w:r>
                    <w:rPr>
                      <w:rFonts w:hint="eastAsia"/>
                      <w:color w:val="000000" w:themeColor="text1"/>
                      <w:highlight w:val="none"/>
                      <w14:textFill>
                        <w14:solidFill>
                          <w14:schemeClr w14:val="tx1"/>
                        </w14:solidFill>
                      </w14:textFill>
                    </w:rPr>
                    <w:t>，用于贮存</w:t>
                  </w:r>
                  <w:r>
                    <w:rPr>
                      <w:rFonts w:hint="eastAsia"/>
                      <w:color w:val="000000" w:themeColor="text1"/>
                      <w:highlight w:val="none"/>
                      <w:lang w:eastAsia="zh-CN"/>
                      <w14:textFill>
                        <w14:solidFill>
                          <w14:schemeClr w14:val="tx1"/>
                        </w14:solidFill>
                      </w14:textFill>
                    </w:rPr>
                    <w:t>鄂尔多斯市宇驰顺捷汽车销售服务有限公司</w:t>
                  </w:r>
                  <w:r>
                    <w:rPr>
                      <w:rFonts w:hint="eastAsia"/>
                      <w:color w:val="000000" w:themeColor="text1"/>
                      <w:highlight w:val="none"/>
                      <w14:textFill>
                        <w14:solidFill>
                          <w14:schemeClr w14:val="tx1"/>
                        </w14:solidFill>
                      </w14:textFill>
                    </w:rPr>
                    <w:t>设备维修过程中产生的危险废物。</w:t>
                  </w:r>
                </w:p>
              </w:tc>
              <w:tc>
                <w:tcPr>
                  <w:tcW w:w="564" w:type="dxa"/>
                  <w:noWrap w:val="0"/>
                  <w:vAlign w:val="center"/>
                </w:tcPr>
                <w:p w14:paraId="7D8FB376">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符合</w:t>
                  </w:r>
                </w:p>
              </w:tc>
            </w:tr>
            <w:tr w14:paraId="36FB0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9" w:hRule="atLeast"/>
                <w:jc w:val="center"/>
              </w:trPr>
              <w:tc>
                <w:tcPr>
                  <w:tcW w:w="467" w:type="dxa"/>
                  <w:vMerge w:val="continue"/>
                  <w:noWrap w:val="0"/>
                  <w:vAlign w:val="center"/>
                </w:tcPr>
                <w:p w14:paraId="6853A3E4">
                  <w:pPr>
                    <w:spacing w:line="240" w:lineRule="auto"/>
                    <w:ind w:firstLine="0" w:firstLineChars="0"/>
                    <w:rPr>
                      <w:color w:val="000000" w:themeColor="text1"/>
                      <w:highlight w:val="none"/>
                      <w14:textFill>
                        <w14:solidFill>
                          <w14:schemeClr w14:val="tx1"/>
                        </w14:solidFill>
                      </w14:textFill>
                    </w:rPr>
                  </w:pPr>
                </w:p>
              </w:tc>
              <w:tc>
                <w:tcPr>
                  <w:tcW w:w="2619" w:type="dxa"/>
                  <w:gridSpan w:val="2"/>
                  <w:noWrap w:val="0"/>
                  <w:vAlign w:val="center"/>
                </w:tcPr>
                <w:p w14:paraId="4AA33425">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贮存危险废物应根据危险废物的类别、数量、形态、物理化学性质和环境风险等因素，确定贮存设施或场所类型和规模</w:t>
                  </w:r>
                </w:p>
              </w:tc>
              <w:tc>
                <w:tcPr>
                  <w:tcW w:w="2889" w:type="dxa"/>
                  <w:noWrap w:val="0"/>
                  <w:vAlign w:val="center"/>
                </w:tcPr>
                <w:p w14:paraId="195C32A0">
                  <w:pPr>
                    <w:spacing w:line="240" w:lineRule="auto"/>
                    <w:ind w:firstLine="0" w:firstLineChars="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鄂尔多斯市宇驰顺捷汽车销售服务有限公司现有</w:t>
                  </w:r>
                  <w:r>
                    <w:rPr>
                      <w:rFonts w:hint="eastAsia" w:ascii="Times New Roman" w:hAnsi="Times New Roman" w:eastAsia="宋体" w:cs="Times New Roman"/>
                      <w:color w:val="000000" w:themeColor="text1"/>
                      <w:highlight w:val="none"/>
                      <w14:textFill>
                        <w14:solidFill>
                          <w14:schemeClr w14:val="tx1"/>
                        </w14:solidFill>
                      </w14:textFill>
                    </w:rPr>
                    <w:t>车辆维修过程中会产生</w:t>
                  </w:r>
                  <w:r>
                    <w:rPr>
                      <w:rFonts w:hint="eastAsia" w:cs="Times New Roman"/>
                      <w:color w:val="000000" w:themeColor="text1"/>
                      <w:highlight w:val="none"/>
                      <w:lang w:eastAsia="zh-CN"/>
                      <w14:textFill>
                        <w14:solidFill>
                          <w14:schemeClr w14:val="tx1"/>
                        </w14:solidFill>
                      </w14:textFill>
                    </w:rPr>
                    <w:t>废润滑油（</w:t>
                  </w:r>
                  <w:r>
                    <w:rPr>
                      <w:rFonts w:hint="eastAsia" w:ascii="Times New Roman" w:hAnsi="Times New Roman" w:eastAsia="宋体" w:cs="Times New Roman"/>
                      <w:color w:val="000000" w:themeColor="text1"/>
                      <w:highlight w:val="none"/>
                      <w:lang w:eastAsia="zh-CN"/>
                      <w14:textFill>
                        <w14:solidFill>
                          <w14:schemeClr w14:val="tx1"/>
                        </w14:solidFill>
                      </w14:textFill>
                    </w:rPr>
                    <w:t>液态</w:t>
                  </w:r>
                  <w:r>
                    <w:rPr>
                      <w:rFonts w:hint="eastAsia" w:cs="Times New Roman"/>
                      <w:color w:val="000000" w:themeColor="text1"/>
                      <w:highlight w:val="none"/>
                      <w:lang w:val="en-US" w:eastAsia="zh-CN"/>
                      <w14:textFill>
                        <w14:solidFill>
                          <w14:schemeClr w14:val="tx1"/>
                        </w14:solidFill>
                      </w14:textFill>
                    </w:rPr>
                    <w:t>，年产生量为5t/a</w:t>
                  </w: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废机油</w:t>
                  </w:r>
                  <w:r>
                    <w:rPr>
                      <w:rFonts w:hint="eastAsia" w:cs="Times New Roman"/>
                      <w:color w:val="000000" w:themeColor="text1"/>
                      <w:highlight w:val="none"/>
                      <w:lang w:eastAsia="zh-CN"/>
                      <w14:textFill>
                        <w14:solidFill>
                          <w14:schemeClr w14:val="tx1"/>
                        </w14:solidFill>
                      </w14:textFill>
                    </w:rPr>
                    <w:t>（</w:t>
                  </w:r>
                  <w:r>
                    <w:rPr>
                      <w:rFonts w:hint="eastAsia" w:ascii="Times New Roman" w:hAnsi="Times New Roman" w:eastAsia="宋体" w:cs="Times New Roman"/>
                      <w:color w:val="000000" w:themeColor="text1"/>
                      <w:highlight w:val="none"/>
                      <w:lang w:eastAsia="zh-CN"/>
                      <w14:textFill>
                        <w14:solidFill>
                          <w14:schemeClr w14:val="tx1"/>
                        </w14:solidFill>
                      </w14:textFill>
                    </w:rPr>
                    <w:t>液态</w:t>
                  </w:r>
                  <w:r>
                    <w:rPr>
                      <w:rFonts w:hint="eastAsia" w:cs="Times New Roman"/>
                      <w:color w:val="000000" w:themeColor="text1"/>
                      <w:highlight w:val="none"/>
                      <w:lang w:val="en-US" w:eastAsia="zh-CN"/>
                      <w14:textFill>
                        <w14:solidFill>
                          <w14:schemeClr w14:val="tx1"/>
                        </w14:solidFill>
                      </w14:textFill>
                    </w:rPr>
                    <w:t>，年产生量为3t/a</w:t>
                  </w:r>
                  <w:r>
                    <w:rPr>
                      <w:rFonts w:hint="eastAsia" w:cs="Times New Roman"/>
                      <w:color w:val="000000" w:themeColor="text1"/>
                      <w:highlight w:val="none"/>
                      <w:lang w:eastAsia="zh-CN"/>
                      <w14:textFill>
                        <w14:solidFill>
                          <w14:schemeClr w14:val="tx1"/>
                        </w14:solidFill>
                      </w14:textFill>
                    </w:rPr>
                    <w:t>）</w:t>
                  </w:r>
                  <w:r>
                    <w:rPr>
                      <w:rFonts w:hint="eastAsia" w:ascii="Times New Roman" w:hAnsi="Times New Roman" w:eastAsia="宋体" w:cs="Times New Roman"/>
                      <w:color w:val="000000" w:themeColor="text1"/>
                      <w:highlight w:val="none"/>
                      <w14:textFill>
                        <w14:solidFill>
                          <w14:schemeClr w14:val="tx1"/>
                        </w14:solidFill>
                      </w14:textFill>
                    </w:rPr>
                    <w:t>，废油桶</w:t>
                  </w: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固态，年产生量为0.08t/a</w:t>
                  </w:r>
                  <w:r>
                    <w:rPr>
                      <w:rFonts w:hint="eastAsia"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含油废抹布、废手套（固态，年产生量为0.01t/a）厂区内设置3个分区，分区一用于贮存废润滑油，最大暂存量为1.5t，分区二用于贮存废机油，最大暂存量为0.5t，分区三用于贮存废油桶、含油废抹布、废手套，最大暂存量为0.005t。</w:t>
                  </w:r>
                  <w:r>
                    <w:rPr>
                      <w:rFonts w:hint="eastAsia" w:ascii="Times New Roman" w:hAnsi="Times New Roman" w:eastAsia="宋体" w:cs="Times New Roman"/>
                      <w:color w:val="000000" w:themeColor="text1"/>
                      <w:highlight w:val="none"/>
                      <w14:textFill>
                        <w14:solidFill>
                          <w14:schemeClr w14:val="tx1"/>
                        </w14:solidFill>
                      </w14:textFill>
                    </w:rPr>
                    <w:t>上述物</w:t>
                  </w:r>
                  <w:r>
                    <w:rPr>
                      <w:rFonts w:hint="eastAsia" w:ascii="Times New Roman" w:hAnsi="Times New Roman" w:eastAsia="宋体" w:cs="Times New Roman"/>
                      <w:color w:val="000000" w:themeColor="text1"/>
                      <w:highlight w:val="none"/>
                      <w:lang w:eastAsia="zh-CN"/>
                      <w14:textFill>
                        <w14:solidFill>
                          <w14:schemeClr w14:val="tx1"/>
                        </w14:solidFill>
                      </w14:textFill>
                    </w:rPr>
                    <w:t>质的</w:t>
                  </w:r>
                  <w:r>
                    <w:rPr>
                      <w:rFonts w:hint="eastAsia" w:ascii="Times New Roman" w:hAnsi="Times New Roman" w:eastAsia="宋体" w:cs="Times New Roman"/>
                      <w:color w:val="000000" w:themeColor="text1"/>
                      <w:highlight w:val="none"/>
                      <w14:textFill>
                        <w14:solidFill>
                          <w14:schemeClr w14:val="tx1"/>
                        </w14:solidFill>
                      </w14:textFill>
                    </w:rPr>
                    <w:t>物理化学性质均具有毒性，</w:t>
                  </w:r>
                  <w:r>
                    <w:rPr>
                      <w:rFonts w:hint="eastAsia" w:cs="Times New Roman"/>
                      <w:color w:val="000000" w:themeColor="text1"/>
                      <w:highlight w:val="none"/>
                      <w:lang w:val="en-US" w:eastAsia="zh-CN"/>
                      <w14:textFill>
                        <w14:solidFill>
                          <w14:schemeClr w14:val="tx1"/>
                        </w14:solidFill>
                      </w14:textFill>
                    </w:rPr>
                    <w:t>废润滑油、废机油、沾染油污的废抹布、废手套使用密封桶存储，废油桶加盖密封</w:t>
                  </w:r>
                  <w:r>
                    <w:rPr>
                      <w:rFonts w:hint="eastAsia"/>
                      <w:color w:val="000000" w:themeColor="text1"/>
                      <w:highlight w:val="none"/>
                      <w14:textFill>
                        <w14:solidFill>
                          <w14:schemeClr w14:val="tx1"/>
                        </w14:solidFill>
                      </w14:textFill>
                    </w:rPr>
                    <w:t>。</w:t>
                  </w:r>
                </w:p>
              </w:tc>
              <w:tc>
                <w:tcPr>
                  <w:tcW w:w="564" w:type="dxa"/>
                  <w:noWrap w:val="0"/>
                  <w:vAlign w:val="center"/>
                </w:tcPr>
                <w:p w14:paraId="733B8C9C">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符合</w:t>
                  </w:r>
                </w:p>
              </w:tc>
            </w:tr>
            <w:tr w14:paraId="1503D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7" w:type="dxa"/>
                  <w:vMerge w:val="continue"/>
                  <w:noWrap w:val="0"/>
                  <w:vAlign w:val="center"/>
                </w:tcPr>
                <w:p w14:paraId="01DC5039">
                  <w:pPr>
                    <w:spacing w:line="240" w:lineRule="auto"/>
                    <w:ind w:firstLine="0" w:firstLineChars="0"/>
                    <w:rPr>
                      <w:color w:val="000000" w:themeColor="text1"/>
                      <w:highlight w:val="none"/>
                      <w14:textFill>
                        <w14:solidFill>
                          <w14:schemeClr w14:val="tx1"/>
                        </w14:solidFill>
                      </w14:textFill>
                    </w:rPr>
                  </w:pPr>
                </w:p>
              </w:tc>
              <w:tc>
                <w:tcPr>
                  <w:tcW w:w="2619" w:type="dxa"/>
                  <w:gridSpan w:val="2"/>
                  <w:noWrap w:val="0"/>
                  <w:vAlign w:val="center"/>
                </w:tcPr>
                <w:p w14:paraId="6641F71C">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贮存危险废物应根据危险废物的类别、形态、物理化学性质和污染防治要求进行分类贮存，且应避免危险废物与不相容的物质或材料接触。</w:t>
                  </w:r>
                </w:p>
              </w:tc>
              <w:tc>
                <w:tcPr>
                  <w:tcW w:w="2889" w:type="dxa"/>
                  <w:noWrap w:val="0"/>
                  <w:vAlign w:val="center"/>
                </w:tcPr>
                <w:p w14:paraId="1A3D4CF4">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本项目贮存的危险废物</w:t>
                  </w:r>
                  <w:r>
                    <w:rPr>
                      <w:rFonts w:hint="eastAsia"/>
                      <w:color w:val="000000" w:themeColor="text1"/>
                      <w:highlight w:val="none"/>
                      <w14:textFill>
                        <w14:solidFill>
                          <w14:schemeClr w14:val="tx1"/>
                        </w14:solidFill>
                      </w14:textFill>
                    </w:rPr>
                    <w:t>分类</w:t>
                  </w:r>
                  <w:r>
                    <w:rPr>
                      <w:color w:val="000000" w:themeColor="text1"/>
                      <w:highlight w:val="none"/>
                      <w14:textFill>
                        <w14:solidFill>
                          <w14:schemeClr w14:val="tx1"/>
                        </w14:solidFill>
                      </w14:textFill>
                    </w:rPr>
                    <w:t>储存，不与不相容的物质或材料接触。</w:t>
                  </w:r>
                </w:p>
              </w:tc>
              <w:tc>
                <w:tcPr>
                  <w:tcW w:w="564" w:type="dxa"/>
                  <w:noWrap w:val="0"/>
                  <w:vAlign w:val="center"/>
                </w:tcPr>
                <w:p w14:paraId="08A81B3B">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符合</w:t>
                  </w:r>
                </w:p>
              </w:tc>
            </w:tr>
            <w:tr w14:paraId="67530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467" w:type="dxa"/>
                  <w:vMerge w:val="continue"/>
                  <w:noWrap w:val="0"/>
                  <w:vAlign w:val="center"/>
                </w:tcPr>
                <w:p w14:paraId="0C325710">
                  <w:pPr>
                    <w:spacing w:line="240" w:lineRule="auto"/>
                    <w:ind w:firstLine="0" w:firstLineChars="0"/>
                    <w:rPr>
                      <w:color w:val="000000" w:themeColor="text1"/>
                      <w:highlight w:val="none"/>
                      <w14:textFill>
                        <w14:solidFill>
                          <w14:schemeClr w14:val="tx1"/>
                        </w14:solidFill>
                      </w14:textFill>
                    </w:rPr>
                  </w:pPr>
                </w:p>
              </w:tc>
              <w:tc>
                <w:tcPr>
                  <w:tcW w:w="2619" w:type="dxa"/>
                  <w:gridSpan w:val="2"/>
                  <w:noWrap w:val="0"/>
                  <w:vAlign w:val="center"/>
                </w:tcPr>
                <w:p w14:paraId="12C42A4A">
                  <w:pPr>
                    <w:spacing w:line="240" w:lineRule="auto"/>
                    <w:ind w:firstLine="0" w:firstLineChars="0"/>
                    <w:rPr>
                      <w:rFonts w:hint="eastAsia"/>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贮存危险废物应根据危险废物的形态、物理化学性质、包装形式和污染物迁移途径，采取措施减少渗滤液及其衍生废物、渗漏的液态废物（简称渗滤液）、粉尘、VOCs、酸雾、有毒有害大气污染物和刺激性气味气体等污染物的产生，防止其污染环境</w:t>
                  </w:r>
                  <w:r>
                    <w:rPr>
                      <w:rFonts w:hint="eastAsia"/>
                      <w:color w:val="000000" w:themeColor="text1"/>
                      <w:highlight w:val="none"/>
                      <w14:textFill>
                        <w14:solidFill>
                          <w14:schemeClr w14:val="tx1"/>
                        </w14:solidFill>
                      </w14:textFill>
                    </w:rPr>
                    <w:t>。</w:t>
                  </w:r>
                </w:p>
              </w:tc>
              <w:tc>
                <w:tcPr>
                  <w:tcW w:w="2889" w:type="dxa"/>
                  <w:noWrap w:val="0"/>
                  <w:vAlign w:val="center"/>
                </w:tcPr>
                <w:p w14:paraId="27FFB7C0">
                  <w:pPr>
                    <w:spacing w:line="240" w:lineRule="auto"/>
                    <w:ind w:firstLine="0" w:firstLineChars="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本项目危险废物在贮存过程中会产生少量的非甲烷总烃，</w:t>
                  </w:r>
                  <w:r>
                    <w:rPr>
                      <w:rFonts w:hint="eastAsia"/>
                      <w:color w:val="000000" w:themeColor="text1"/>
                      <w:highlight w:val="none"/>
                      <w:lang w:eastAsia="zh-CN"/>
                      <w14:textFill>
                        <w14:solidFill>
                          <w14:schemeClr w14:val="tx1"/>
                        </w14:solidFill>
                      </w14:textFill>
                    </w:rPr>
                    <w:t>废润滑油、</w:t>
                  </w:r>
                  <w:r>
                    <w:rPr>
                      <w:rFonts w:hint="eastAsia"/>
                      <w:color w:val="000000" w:themeColor="text1"/>
                      <w:highlight w:val="none"/>
                      <w:lang w:val="en-US" w:eastAsia="zh-CN"/>
                      <w14:textFill>
                        <w14:solidFill>
                          <w14:schemeClr w14:val="tx1"/>
                        </w14:solidFill>
                      </w14:textFill>
                    </w:rPr>
                    <w:t>废机油、含油废抹布、废手套</w:t>
                  </w:r>
                  <w:r>
                    <w:rPr>
                      <w:rFonts w:hint="eastAsia"/>
                      <w:color w:val="000000" w:themeColor="text1"/>
                      <w:highlight w:val="none"/>
                      <w14:textFill>
                        <w14:solidFill>
                          <w14:schemeClr w14:val="tx1"/>
                        </w14:solidFill>
                      </w14:textFill>
                    </w:rPr>
                    <w:t>贮存</w:t>
                  </w:r>
                  <w:r>
                    <w:rPr>
                      <w:rFonts w:hint="eastAsia" w:ascii="Times New Roman" w:hAnsi="Times New Roman" w:eastAsia="宋体" w:cs="Times New Roman"/>
                      <w:color w:val="000000" w:themeColor="text1"/>
                      <w:highlight w:val="none"/>
                      <w14:textFill>
                        <w14:solidFill>
                          <w14:schemeClr w14:val="tx1"/>
                        </w14:solidFill>
                      </w14:textFill>
                    </w:rPr>
                    <w:t>于</w:t>
                  </w:r>
                  <w:r>
                    <w:rPr>
                      <w:rFonts w:hint="eastAsia"/>
                      <w:color w:val="000000" w:themeColor="text1"/>
                      <w:highlight w:val="none"/>
                      <w14:textFill>
                        <w14:solidFill>
                          <w14:schemeClr w14:val="tx1"/>
                        </w14:solidFill>
                      </w14:textFill>
                    </w:rPr>
                    <w:t>全封闭</w:t>
                  </w:r>
                  <w:r>
                    <w:rPr>
                      <w:rFonts w:hint="eastAsia" w:ascii="Times New Roman" w:hAnsi="Times New Roman" w:eastAsia="宋体" w:cs="Times New Roman"/>
                      <w:color w:val="000000" w:themeColor="text1"/>
                      <w:highlight w:val="none"/>
                      <w14:textFill>
                        <w14:solidFill>
                          <w14:schemeClr w14:val="tx1"/>
                        </w14:solidFill>
                      </w14:textFill>
                    </w:rPr>
                    <w:t>密封桶</w:t>
                  </w:r>
                  <w:r>
                    <w:rPr>
                      <w:rFonts w:hint="eastAsia" w:ascii="Times New Roman" w:hAnsi="Times New Roman" w:eastAsia="宋体" w:cs="Times New Roman"/>
                      <w:color w:val="000000" w:themeColor="text1"/>
                      <w:highlight w:val="none"/>
                      <w:lang w:eastAsia="zh-CN"/>
                      <w14:textFill>
                        <w14:solidFill>
                          <w14:schemeClr w14:val="tx1"/>
                        </w14:solidFill>
                      </w14:textFill>
                    </w:rPr>
                    <w:t>桶</w:t>
                  </w:r>
                  <w:r>
                    <w:rPr>
                      <w:rFonts w:hint="eastAsia" w:ascii="Times New Roman" w:hAnsi="Times New Roman" w:eastAsia="宋体" w:cs="Times New Roman"/>
                      <w:color w:val="000000" w:themeColor="text1"/>
                      <w:highlight w:val="none"/>
                      <w14:textFill>
                        <w14:solidFill>
                          <w14:schemeClr w14:val="tx1"/>
                        </w14:solidFill>
                      </w14:textFill>
                    </w:rPr>
                    <w:t>内，废油桶加盖密封堆放，</w:t>
                  </w:r>
                  <w:r>
                    <w:rPr>
                      <w:rFonts w:hint="eastAsia"/>
                      <w:color w:val="000000" w:themeColor="text1"/>
                      <w:highlight w:val="none"/>
                      <w14:textFill>
                        <w14:solidFill>
                          <w14:schemeClr w14:val="tx1"/>
                        </w14:solidFill>
                      </w14:textFill>
                    </w:rPr>
                    <w:t>采取上述措施后非甲烷总烃排放到外环境中的量较少，对周围环境影响较小。</w:t>
                  </w:r>
                  <w:r>
                    <w:rPr>
                      <w:rFonts w:hint="eastAsia" w:cs="Times New Roman"/>
                      <w:color w:val="000000" w:themeColor="text1"/>
                      <w:highlight w:val="none"/>
                      <w:lang w:val="en-US" w:eastAsia="zh-CN"/>
                      <w14:textFill>
                        <w14:solidFill>
                          <w14:schemeClr w14:val="tx1"/>
                        </w14:solidFill>
                      </w14:textFill>
                    </w:rPr>
                    <w:t>本项目贮存过程中不会产生渗滤液。</w:t>
                  </w:r>
                </w:p>
              </w:tc>
              <w:tc>
                <w:tcPr>
                  <w:tcW w:w="564" w:type="dxa"/>
                  <w:noWrap w:val="0"/>
                  <w:vAlign w:val="center"/>
                </w:tcPr>
                <w:p w14:paraId="6735939D">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符合</w:t>
                  </w:r>
                </w:p>
              </w:tc>
            </w:tr>
            <w:tr w14:paraId="63C19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7" w:type="dxa"/>
                  <w:vMerge w:val="continue"/>
                  <w:noWrap w:val="0"/>
                  <w:vAlign w:val="center"/>
                </w:tcPr>
                <w:p w14:paraId="75FE193C">
                  <w:pPr>
                    <w:spacing w:line="240" w:lineRule="auto"/>
                    <w:ind w:firstLine="0" w:firstLineChars="0"/>
                    <w:rPr>
                      <w:color w:val="000000" w:themeColor="text1"/>
                      <w:highlight w:val="none"/>
                      <w14:textFill>
                        <w14:solidFill>
                          <w14:schemeClr w14:val="tx1"/>
                        </w14:solidFill>
                      </w14:textFill>
                    </w:rPr>
                  </w:pPr>
                </w:p>
              </w:tc>
              <w:tc>
                <w:tcPr>
                  <w:tcW w:w="2619" w:type="dxa"/>
                  <w:gridSpan w:val="2"/>
                  <w:noWrap w:val="0"/>
                  <w:vAlign w:val="center"/>
                </w:tcPr>
                <w:p w14:paraId="1CA5985A">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危险废物贮存过程产生的液态废物和固态废物应分类收集，按其环境管理要求妥善处理。</w:t>
                  </w:r>
                </w:p>
              </w:tc>
              <w:tc>
                <w:tcPr>
                  <w:tcW w:w="2889" w:type="dxa"/>
                  <w:noWrap w:val="0"/>
                  <w:vAlign w:val="center"/>
                </w:tcPr>
                <w:p w14:paraId="28BA43C7">
                  <w:pPr>
                    <w:spacing w:line="240" w:lineRule="auto"/>
                    <w:ind w:firstLine="0" w:firstLineChars="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本项目贮存的危险废物分区暂存，定期交由有资质单位进行处置，</w:t>
                  </w:r>
                  <w:r>
                    <w:rPr>
                      <w:color w:val="000000" w:themeColor="text1"/>
                      <w:highlight w:val="none"/>
                      <w14:textFill>
                        <w14:solidFill>
                          <w14:schemeClr w14:val="tx1"/>
                        </w14:solidFill>
                      </w14:textFill>
                    </w:rPr>
                    <w:t>不露天堆放。</w:t>
                  </w:r>
                  <w:r>
                    <w:rPr>
                      <w:rFonts w:hint="eastAsia"/>
                      <w:color w:val="000000" w:themeColor="text1"/>
                      <w:highlight w:val="none"/>
                      <w:lang w:val="en-US" w:eastAsia="zh-CN"/>
                      <w14:textFill>
                        <w14:solidFill>
                          <w14:schemeClr w14:val="tx1"/>
                        </w14:solidFill>
                      </w14:textFill>
                    </w:rPr>
                    <w:t>搬运过程中产生的含油废抹布、废手套暂存于危险废物暂存库内，定期交由有资质单位进行处置。</w:t>
                  </w:r>
                </w:p>
              </w:tc>
              <w:tc>
                <w:tcPr>
                  <w:tcW w:w="564" w:type="dxa"/>
                  <w:noWrap w:val="0"/>
                  <w:vAlign w:val="center"/>
                </w:tcPr>
                <w:p w14:paraId="04D8DDD7">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符合</w:t>
                  </w:r>
                </w:p>
              </w:tc>
            </w:tr>
            <w:tr w14:paraId="6B5D1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4" w:hRule="atLeast"/>
                <w:jc w:val="center"/>
              </w:trPr>
              <w:tc>
                <w:tcPr>
                  <w:tcW w:w="467" w:type="dxa"/>
                  <w:vMerge w:val="continue"/>
                  <w:noWrap w:val="0"/>
                  <w:vAlign w:val="center"/>
                </w:tcPr>
                <w:p w14:paraId="0E254448">
                  <w:pPr>
                    <w:spacing w:line="240" w:lineRule="auto"/>
                    <w:ind w:firstLine="0" w:firstLineChars="0"/>
                    <w:rPr>
                      <w:color w:val="000000" w:themeColor="text1"/>
                      <w:highlight w:val="none"/>
                      <w14:textFill>
                        <w14:solidFill>
                          <w14:schemeClr w14:val="tx1"/>
                        </w14:solidFill>
                      </w14:textFill>
                    </w:rPr>
                  </w:pPr>
                </w:p>
              </w:tc>
              <w:tc>
                <w:tcPr>
                  <w:tcW w:w="2619" w:type="dxa"/>
                  <w:gridSpan w:val="2"/>
                  <w:noWrap w:val="0"/>
                  <w:vAlign w:val="center"/>
                </w:tcPr>
                <w:p w14:paraId="7A3988AA">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贮存设施或场所、容器和包装物应按HJ1276要求设置危险废物贮存设施或场所</w:t>
                  </w:r>
                  <w:r>
                    <w:rPr>
                      <w:rFonts w:hint="eastAsia"/>
                      <w:color w:val="000000" w:themeColor="text1"/>
                      <w:highlight w:val="none"/>
                      <w14:textFill>
                        <w14:solidFill>
                          <w14:schemeClr w14:val="tx1"/>
                        </w14:solidFill>
                      </w14:textFill>
                    </w:rPr>
                    <w:t>标识</w:t>
                  </w:r>
                  <w:r>
                    <w:rPr>
                      <w:color w:val="000000" w:themeColor="text1"/>
                      <w:highlight w:val="none"/>
                      <w14:textFill>
                        <w14:solidFill>
                          <w14:schemeClr w14:val="tx1"/>
                        </w14:solidFill>
                      </w14:textFill>
                    </w:rPr>
                    <w:t>、危险废物贮存分区</w:t>
                  </w:r>
                  <w:r>
                    <w:rPr>
                      <w:rFonts w:hint="eastAsia"/>
                      <w:color w:val="000000" w:themeColor="text1"/>
                      <w:highlight w:val="none"/>
                      <w14:textFill>
                        <w14:solidFill>
                          <w14:schemeClr w14:val="tx1"/>
                        </w14:solidFill>
                      </w14:textFill>
                    </w:rPr>
                    <w:t>标识</w:t>
                  </w:r>
                  <w:r>
                    <w:rPr>
                      <w:color w:val="000000" w:themeColor="text1"/>
                      <w:highlight w:val="none"/>
                      <w14:textFill>
                        <w14:solidFill>
                          <w14:schemeClr w14:val="tx1"/>
                        </w14:solidFill>
                      </w14:textFill>
                    </w:rPr>
                    <w:t>和危险废物标签等危险废物识别</w:t>
                  </w:r>
                  <w:r>
                    <w:rPr>
                      <w:rFonts w:hint="eastAsia"/>
                      <w:color w:val="000000" w:themeColor="text1"/>
                      <w:highlight w:val="none"/>
                      <w14:textFill>
                        <w14:solidFill>
                          <w14:schemeClr w14:val="tx1"/>
                        </w14:solidFill>
                      </w14:textFill>
                    </w:rPr>
                    <w:t>标识</w:t>
                  </w:r>
                  <w:r>
                    <w:rPr>
                      <w:color w:val="000000" w:themeColor="text1"/>
                      <w:highlight w:val="none"/>
                      <w14:textFill>
                        <w14:solidFill>
                          <w14:schemeClr w14:val="tx1"/>
                        </w14:solidFill>
                      </w14:textFill>
                    </w:rPr>
                    <w:t>。</w:t>
                  </w:r>
                </w:p>
              </w:tc>
              <w:tc>
                <w:tcPr>
                  <w:tcW w:w="2889" w:type="dxa"/>
                  <w:noWrap w:val="0"/>
                  <w:vAlign w:val="center"/>
                </w:tcPr>
                <w:p w14:paraId="37164498">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本项目贮存场所、容器和包装物均按《危险废物识别</w:t>
                  </w:r>
                  <w:r>
                    <w:rPr>
                      <w:rFonts w:hint="eastAsia"/>
                      <w:color w:val="000000" w:themeColor="text1"/>
                      <w:highlight w:val="none"/>
                      <w14:textFill>
                        <w14:solidFill>
                          <w14:schemeClr w14:val="tx1"/>
                        </w14:solidFill>
                      </w14:textFill>
                    </w:rPr>
                    <w:t>标识</w:t>
                  </w:r>
                  <w:r>
                    <w:rPr>
                      <w:color w:val="000000" w:themeColor="text1"/>
                      <w:highlight w:val="none"/>
                      <w14:textFill>
                        <w14:solidFill>
                          <w14:schemeClr w14:val="tx1"/>
                        </w14:solidFill>
                      </w14:textFill>
                    </w:rPr>
                    <w:t>设置技术规范》（HJ1276-2022）要求设置危险废物贮存场所</w:t>
                  </w:r>
                  <w:r>
                    <w:rPr>
                      <w:rFonts w:hint="eastAsia"/>
                      <w:color w:val="000000" w:themeColor="text1"/>
                      <w:highlight w:val="none"/>
                      <w14:textFill>
                        <w14:solidFill>
                          <w14:schemeClr w14:val="tx1"/>
                        </w14:solidFill>
                      </w14:textFill>
                    </w:rPr>
                    <w:t>标识</w:t>
                  </w:r>
                  <w:r>
                    <w:rPr>
                      <w:color w:val="000000" w:themeColor="text1"/>
                      <w:highlight w:val="none"/>
                      <w14:textFill>
                        <w14:solidFill>
                          <w14:schemeClr w14:val="tx1"/>
                        </w14:solidFill>
                      </w14:textFill>
                    </w:rPr>
                    <w:t>、危险废物贮存分区</w:t>
                  </w:r>
                  <w:r>
                    <w:rPr>
                      <w:rFonts w:hint="eastAsia"/>
                      <w:color w:val="000000" w:themeColor="text1"/>
                      <w:highlight w:val="none"/>
                      <w14:textFill>
                        <w14:solidFill>
                          <w14:schemeClr w14:val="tx1"/>
                        </w14:solidFill>
                      </w14:textFill>
                    </w:rPr>
                    <w:t>标识</w:t>
                  </w:r>
                  <w:r>
                    <w:rPr>
                      <w:color w:val="000000" w:themeColor="text1"/>
                      <w:highlight w:val="none"/>
                      <w14:textFill>
                        <w14:solidFill>
                          <w14:schemeClr w14:val="tx1"/>
                        </w14:solidFill>
                      </w14:textFill>
                    </w:rPr>
                    <w:t>和危险废物标签等危险废物识别</w:t>
                  </w:r>
                  <w:r>
                    <w:rPr>
                      <w:rFonts w:hint="eastAsia"/>
                      <w:color w:val="000000" w:themeColor="text1"/>
                      <w:highlight w:val="none"/>
                      <w14:textFill>
                        <w14:solidFill>
                          <w14:schemeClr w14:val="tx1"/>
                        </w14:solidFill>
                      </w14:textFill>
                    </w:rPr>
                    <w:t>标识</w:t>
                  </w:r>
                  <w:r>
                    <w:rPr>
                      <w:color w:val="000000" w:themeColor="text1"/>
                      <w:highlight w:val="none"/>
                      <w14:textFill>
                        <w14:solidFill>
                          <w14:schemeClr w14:val="tx1"/>
                        </w14:solidFill>
                      </w14:textFill>
                    </w:rPr>
                    <w:t>。</w:t>
                  </w:r>
                </w:p>
              </w:tc>
              <w:tc>
                <w:tcPr>
                  <w:tcW w:w="564" w:type="dxa"/>
                  <w:noWrap w:val="0"/>
                  <w:vAlign w:val="center"/>
                </w:tcPr>
                <w:p w14:paraId="4A1545FA">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符合</w:t>
                  </w:r>
                </w:p>
              </w:tc>
            </w:tr>
            <w:tr w14:paraId="1B637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7" w:type="dxa"/>
                  <w:vMerge w:val="continue"/>
                  <w:noWrap w:val="0"/>
                  <w:vAlign w:val="center"/>
                </w:tcPr>
                <w:p w14:paraId="0A93956D">
                  <w:pPr>
                    <w:spacing w:line="240" w:lineRule="auto"/>
                    <w:ind w:firstLine="0" w:firstLineChars="0"/>
                    <w:rPr>
                      <w:color w:val="000000" w:themeColor="text1"/>
                      <w:highlight w:val="none"/>
                      <w14:textFill>
                        <w14:solidFill>
                          <w14:schemeClr w14:val="tx1"/>
                        </w14:solidFill>
                      </w14:textFill>
                    </w:rPr>
                  </w:pPr>
                </w:p>
              </w:tc>
              <w:tc>
                <w:tcPr>
                  <w:tcW w:w="2619" w:type="dxa"/>
                  <w:gridSpan w:val="2"/>
                  <w:noWrap w:val="0"/>
                  <w:vAlign w:val="center"/>
                </w:tcPr>
                <w:p w14:paraId="05891CDD">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贮存设施退役时，所有者或运营者应依法履行环境保护责任，退役前应妥善处理处置贮存设施内剩余的危险废物，并对贮存设施进行清理，消除污染；还应依据土壤污染防治相关法律法规履行场地环境风险防控责任。</w:t>
                  </w:r>
                </w:p>
              </w:tc>
              <w:tc>
                <w:tcPr>
                  <w:tcW w:w="2889" w:type="dxa"/>
                  <w:noWrap w:val="0"/>
                  <w:vAlign w:val="center"/>
                </w:tcPr>
                <w:p w14:paraId="2F5BD5AB">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危险废物贮存库退役时，所有者或运营者应依法履行环境保护责任，退役前做到妥善处理处置贮存设施内剩余的危险废物，并对贮存设施进行清理，消除污染；并依据土壤污染防治相关法律法规履行场地环境风险防控责任。</w:t>
                  </w:r>
                </w:p>
              </w:tc>
              <w:tc>
                <w:tcPr>
                  <w:tcW w:w="564" w:type="dxa"/>
                  <w:noWrap w:val="0"/>
                  <w:vAlign w:val="center"/>
                </w:tcPr>
                <w:p w14:paraId="23BB93D3">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符合</w:t>
                  </w:r>
                </w:p>
              </w:tc>
            </w:tr>
            <w:tr w14:paraId="71D8F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7" w:type="dxa"/>
                  <w:vMerge w:val="continue"/>
                  <w:noWrap w:val="0"/>
                  <w:vAlign w:val="center"/>
                </w:tcPr>
                <w:p w14:paraId="5B753BB1">
                  <w:pPr>
                    <w:spacing w:line="240" w:lineRule="auto"/>
                    <w:ind w:firstLine="0" w:firstLineChars="0"/>
                    <w:rPr>
                      <w:color w:val="000000" w:themeColor="text1"/>
                      <w:highlight w:val="none"/>
                      <w14:textFill>
                        <w14:solidFill>
                          <w14:schemeClr w14:val="tx1"/>
                        </w14:solidFill>
                      </w14:textFill>
                    </w:rPr>
                  </w:pPr>
                </w:p>
              </w:tc>
              <w:tc>
                <w:tcPr>
                  <w:tcW w:w="2619" w:type="dxa"/>
                  <w:gridSpan w:val="2"/>
                  <w:noWrap w:val="0"/>
                  <w:vAlign w:val="center"/>
                </w:tcPr>
                <w:p w14:paraId="36E26949">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在常温常压下易爆、易燃及排出有毒气体的危险废物应进行预处理，使之稳定后贮存，否则应按易爆、易燃危险品贮存。</w:t>
                  </w:r>
                </w:p>
              </w:tc>
              <w:tc>
                <w:tcPr>
                  <w:tcW w:w="2889" w:type="dxa"/>
                  <w:noWrap w:val="0"/>
                  <w:vAlign w:val="center"/>
                </w:tcPr>
                <w:p w14:paraId="18FD626B">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本项目危险废物贮存库主要贮存</w:t>
                  </w:r>
                  <w:r>
                    <w:rPr>
                      <w:rFonts w:hint="eastAsia"/>
                      <w:color w:val="000000" w:themeColor="text1"/>
                      <w:highlight w:val="none"/>
                      <w:lang w:eastAsia="zh-CN"/>
                      <w14:textFill>
                        <w14:solidFill>
                          <w14:schemeClr w14:val="tx1"/>
                        </w14:solidFill>
                      </w14:textFill>
                    </w:rPr>
                    <w:t>废润滑油、</w:t>
                  </w:r>
                  <w:r>
                    <w:rPr>
                      <w:rFonts w:hint="eastAsia"/>
                      <w:color w:val="000000" w:themeColor="text1"/>
                      <w:highlight w:val="none"/>
                      <w:lang w:val="en-US" w:eastAsia="zh-CN"/>
                      <w14:textFill>
                        <w14:solidFill>
                          <w14:schemeClr w14:val="tx1"/>
                        </w14:solidFill>
                      </w14:textFill>
                    </w:rPr>
                    <w:t>废机油、含油废抹布、废手套</w:t>
                  </w:r>
                  <w:r>
                    <w:rPr>
                      <w:color w:val="000000" w:themeColor="text1"/>
                      <w:highlight w:val="none"/>
                      <w14:textFill>
                        <w14:solidFill>
                          <w14:schemeClr w14:val="tx1"/>
                        </w14:solidFill>
                      </w14:textFill>
                    </w:rPr>
                    <w:t>，常温常压下不属于易爆、易燃物质，也不会产生有毒气体，无需预处理。</w:t>
                  </w:r>
                </w:p>
              </w:tc>
              <w:tc>
                <w:tcPr>
                  <w:tcW w:w="564" w:type="dxa"/>
                  <w:noWrap w:val="0"/>
                  <w:vAlign w:val="center"/>
                </w:tcPr>
                <w:p w14:paraId="48C8B13A">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符合</w:t>
                  </w:r>
                </w:p>
              </w:tc>
            </w:tr>
            <w:tr w14:paraId="6495E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7" w:type="dxa"/>
                  <w:vMerge w:val="restart"/>
                  <w:noWrap w:val="0"/>
                  <w:vAlign w:val="center"/>
                </w:tcPr>
                <w:p w14:paraId="360E779F">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贮存设</w:t>
                  </w:r>
                </w:p>
                <w:p w14:paraId="0F9B4080">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施选址</w:t>
                  </w:r>
                </w:p>
                <w:p w14:paraId="48A91A03">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要求</w:t>
                  </w:r>
                </w:p>
              </w:tc>
              <w:tc>
                <w:tcPr>
                  <w:tcW w:w="2619" w:type="dxa"/>
                  <w:gridSpan w:val="2"/>
                  <w:noWrap w:val="0"/>
                  <w:vAlign w:val="center"/>
                </w:tcPr>
                <w:p w14:paraId="76757332">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贮存设施选址应满足生态环境保护法律法规、规划和“三线一单”生态环境分区管控的要求，建设项目应依法进行环境影响评价。</w:t>
                  </w:r>
                </w:p>
              </w:tc>
              <w:tc>
                <w:tcPr>
                  <w:tcW w:w="2889" w:type="dxa"/>
                  <w:noWrap w:val="0"/>
                  <w:vAlign w:val="center"/>
                </w:tcPr>
                <w:p w14:paraId="5B9A6C0B">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w:t>
                  </w:r>
                  <w:r>
                    <w:rPr>
                      <w:rFonts w:hint="eastAsia" w:ascii="Times New Roman" w:hAnsi="Times New Roman" w:eastAsia="宋体" w:cs="Times New Roman"/>
                      <w:color w:val="000000" w:themeColor="text1"/>
                      <w:highlight w:val="none"/>
                      <w14:textFill>
                        <w14:solidFill>
                          <w14:schemeClr w14:val="tx1"/>
                        </w14:solidFill>
                      </w14:textFill>
                    </w:rPr>
                    <w:t>拟在</w:t>
                  </w:r>
                  <w:r>
                    <w:rPr>
                      <w:rFonts w:hint="eastAsia" w:cs="Times New Roman"/>
                      <w:color w:val="000000" w:themeColor="text1"/>
                      <w:highlight w:val="none"/>
                      <w:lang w:eastAsia="zh-CN"/>
                      <w14:textFill>
                        <w14:solidFill>
                          <w14:schemeClr w14:val="tx1"/>
                        </w14:solidFill>
                      </w14:textFill>
                    </w:rPr>
                    <w:t>内蒙古自治区鄂尔多斯市东胜区天骄南路42号客运中心后院5号商铺</w:t>
                  </w:r>
                  <w:r>
                    <w:rPr>
                      <w:rFonts w:hint="eastAsia" w:ascii="Times New Roman" w:hAnsi="Times New Roman" w:eastAsia="宋体" w:cs="Times New Roman"/>
                      <w:color w:val="000000" w:themeColor="text1"/>
                      <w:highlight w:val="none"/>
                      <w14:textFill>
                        <w14:solidFill>
                          <w14:schemeClr w14:val="tx1"/>
                        </w14:solidFill>
                      </w14:textFill>
                    </w:rPr>
                    <w:t>，</w:t>
                  </w:r>
                  <w:r>
                    <w:rPr>
                      <w:rFonts w:hint="eastAsia" w:cs="Times New Roman"/>
                      <w:color w:val="000000" w:themeColor="text1"/>
                      <w:highlight w:val="none"/>
                      <w:lang w:eastAsia="zh-CN"/>
                      <w14:textFill>
                        <w14:solidFill>
                          <w14:schemeClr w14:val="tx1"/>
                        </w14:solidFill>
                      </w14:textFill>
                    </w:rPr>
                    <w:t>鄂尔多斯市宇驰顺捷汽车销售服务有限公司现有</w:t>
                  </w:r>
                  <w:r>
                    <w:rPr>
                      <w:rFonts w:hint="eastAsia" w:ascii="Times New Roman" w:hAnsi="Times New Roman" w:eastAsia="宋体" w:cs="Times New Roman"/>
                      <w:color w:val="000000" w:themeColor="text1"/>
                      <w:highlight w:val="none"/>
                      <w14:textFill>
                        <w14:solidFill>
                          <w14:schemeClr w14:val="tx1"/>
                        </w14:solidFill>
                      </w14:textFill>
                    </w:rPr>
                    <w:t>厂区内建设，</w:t>
                  </w:r>
                  <w:r>
                    <w:rPr>
                      <w:rFonts w:hint="eastAsia"/>
                      <w:color w:val="000000" w:themeColor="text1"/>
                      <w:highlight w:val="none"/>
                      <w14:textFill>
                        <w14:solidFill>
                          <w14:schemeClr w14:val="tx1"/>
                        </w14:solidFill>
                      </w14:textFill>
                    </w:rPr>
                    <w:t>无新增占地，</w:t>
                  </w:r>
                  <w:r>
                    <w:rPr>
                      <w:color w:val="000000" w:themeColor="text1"/>
                      <w:highlight w:val="none"/>
                      <w14:textFill>
                        <w14:solidFill>
                          <w14:schemeClr w14:val="tx1"/>
                        </w14:solidFill>
                      </w14:textFill>
                    </w:rPr>
                    <w:t>本项目满足生态环境保护法律法规、规划，不新增用地，符合“三线一单”生态环境分区管控的要求，依法进行环境影响评价。</w:t>
                  </w:r>
                </w:p>
              </w:tc>
              <w:tc>
                <w:tcPr>
                  <w:tcW w:w="564" w:type="dxa"/>
                  <w:noWrap w:val="0"/>
                  <w:vAlign w:val="center"/>
                </w:tcPr>
                <w:p w14:paraId="75DA7E11">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符合</w:t>
                  </w:r>
                </w:p>
              </w:tc>
            </w:tr>
            <w:tr w14:paraId="42FBE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1" w:hRule="atLeast"/>
                <w:jc w:val="center"/>
              </w:trPr>
              <w:tc>
                <w:tcPr>
                  <w:tcW w:w="467" w:type="dxa"/>
                  <w:vMerge w:val="continue"/>
                  <w:noWrap w:val="0"/>
                  <w:vAlign w:val="center"/>
                </w:tcPr>
                <w:p w14:paraId="0AACF1C3">
                  <w:pPr>
                    <w:spacing w:line="240" w:lineRule="auto"/>
                    <w:ind w:firstLine="0" w:firstLineChars="0"/>
                    <w:rPr>
                      <w:color w:val="000000" w:themeColor="text1"/>
                      <w:highlight w:val="none"/>
                      <w14:textFill>
                        <w14:solidFill>
                          <w14:schemeClr w14:val="tx1"/>
                        </w14:solidFill>
                      </w14:textFill>
                    </w:rPr>
                  </w:pPr>
                </w:p>
              </w:tc>
              <w:tc>
                <w:tcPr>
                  <w:tcW w:w="2619" w:type="dxa"/>
                  <w:gridSpan w:val="2"/>
                  <w:noWrap w:val="0"/>
                  <w:vAlign w:val="center"/>
                </w:tcPr>
                <w:p w14:paraId="19E2E61F">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集中贮存设施不应选在生态保护红线区域、永久基本农田和其他需要特别保护的区域内，不应建在溶洞区或易遭受洪水、滑坡、泥石流、潮汐等严重自然灾害影响的地区。</w:t>
                  </w:r>
                </w:p>
              </w:tc>
              <w:tc>
                <w:tcPr>
                  <w:tcW w:w="2889" w:type="dxa"/>
                  <w:noWrap w:val="0"/>
                  <w:vAlign w:val="center"/>
                </w:tcPr>
                <w:p w14:paraId="0EBD4CD5">
                  <w:pPr>
                    <w:spacing w:line="240" w:lineRule="auto"/>
                    <w:ind w:firstLine="0" w:firstLineChars="0"/>
                    <w:rPr>
                      <w:rFonts w:hint="eastAsia"/>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本项目选址不位于生态保护红线区域、永久</w:t>
                  </w:r>
                  <w:r>
                    <w:rPr>
                      <w:rFonts w:hint="eastAsia" w:ascii="Times New Roman" w:hAnsi="Times New Roman" w:eastAsia="宋体" w:cs="Times New Roman"/>
                      <w:color w:val="000000" w:themeColor="text1"/>
                      <w:highlight w:val="none"/>
                      <w:lang w:eastAsia="zh-CN"/>
                      <w14:textFill>
                        <w14:solidFill>
                          <w14:schemeClr w14:val="tx1"/>
                        </w14:solidFill>
                      </w14:textFill>
                    </w:rPr>
                    <w:t>基本农田</w:t>
                  </w:r>
                  <w:r>
                    <w:rPr>
                      <w:rFonts w:hint="eastAsia" w:ascii="Times New Roman" w:hAnsi="Times New Roman" w:eastAsia="宋体" w:cs="Times New Roman"/>
                      <w:color w:val="000000" w:themeColor="text1"/>
                      <w:highlight w:val="none"/>
                      <w14:textFill>
                        <w14:solidFill>
                          <w14:schemeClr w14:val="tx1"/>
                        </w14:solidFill>
                      </w14:textFill>
                    </w:rPr>
                    <w:t>和其他需要特别保护的区域内，不建设在溶洞区或易遭受洪水、滑坡、泥石流、潮汐等严重自然灾害影响的地区。</w:t>
                  </w:r>
                </w:p>
              </w:tc>
              <w:tc>
                <w:tcPr>
                  <w:tcW w:w="564" w:type="dxa"/>
                  <w:noWrap w:val="0"/>
                  <w:vAlign w:val="center"/>
                </w:tcPr>
                <w:p w14:paraId="77678CAF">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符合</w:t>
                  </w:r>
                </w:p>
              </w:tc>
            </w:tr>
            <w:tr w14:paraId="2AB29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467" w:type="dxa"/>
                  <w:vMerge w:val="continue"/>
                  <w:noWrap w:val="0"/>
                  <w:vAlign w:val="center"/>
                </w:tcPr>
                <w:p w14:paraId="72B72AEE">
                  <w:pPr>
                    <w:spacing w:line="240" w:lineRule="auto"/>
                    <w:ind w:firstLine="0" w:firstLineChars="0"/>
                    <w:rPr>
                      <w:color w:val="000000" w:themeColor="text1"/>
                      <w:highlight w:val="none"/>
                      <w14:textFill>
                        <w14:solidFill>
                          <w14:schemeClr w14:val="tx1"/>
                        </w14:solidFill>
                      </w14:textFill>
                    </w:rPr>
                  </w:pPr>
                </w:p>
              </w:tc>
              <w:tc>
                <w:tcPr>
                  <w:tcW w:w="2619" w:type="dxa"/>
                  <w:gridSpan w:val="2"/>
                  <w:noWrap w:val="0"/>
                  <w:vAlign w:val="center"/>
                </w:tcPr>
                <w:p w14:paraId="62031BA4">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贮存设施不应选在江河、湖泊、运河、渠道、水库及其最高水位线以下的滩地和岸坡，以及法律法规规定禁止贮存危险废物的其他地点。</w:t>
                  </w:r>
                </w:p>
              </w:tc>
              <w:tc>
                <w:tcPr>
                  <w:tcW w:w="2889" w:type="dxa"/>
                  <w:noWrap w:val="0"/>
                  <w:vAlign w:val="center"/>
                </w:tcPr>
                <w:p w14:paraId="4C35A844">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w:t>
                  </w:r>
                  <w:r>
                    <w:rPr>
                      <w:rFonts w:hint="eastAsia"/>
                      <w:color w:val="000000" w:themeColor="text1"/>
                      <w:highlight w:val="none"/>
                      <w14:textFill>
                        <w14:solidFill>
                          <w14:schemeClr w14:val="tx1"/>
                        </w14:solidFill>
                      </w14:textFill>
                    </w:rPr>
                    <w:t>拟在</w:t>
                  </w:r>
                  <w:r>
                    <w:rPr>
                      <w:rFonts w:hint="eastAsia"/>
                      <w:color w:val="000000" w:themeColor="text1"/>
                      <w:highlight w:val="none"/>
                      <w:lang w:eastAsia="zh-CN"/>
                      <w14:textFill>
                        <w14:solidFill>
                          <w14:schemeClr w14:val="tx1"/>
                        </w14:solidFill>
                      </w14:textFill>
                    </w:rPr>
                    <w:t>内蒙古自治区鄂尔多斯市东胜区天骄南路42号客运中心后院5号商铺</w:t>
                  </w:r>
                  <w:r>
                    <w:rPr>
                      <w:rFonts w:hint="eastAsia"/>
                      <w:color w:val="000000" w:themeColor="text1"/>
                      <w:highlight w:val="none"/>
                      <w14:textFill>
                        <w14:solidFill>
                          <w14:schemeClr w14:val="tx1"/>
                        </w14:solidFill>
                      </w14:textFill>
                    </w:rPr>
                    <w:t>惠民社区，</w:t>
                  </w:r>
                  <w:r>
                    <w:rPr>
                      <w:rFonts w:hint="eastAsia"/>
                      <w:color w:val="000000" w:themeColor="text1"/>
                      <w:highlight w:val="none"/>
                      <w:lang w:eastAsia="zh-CN"/>
                      <w14:textFill>
                        <w14:solidFill>
                          <w14:schemeClr w14:val="tx1"/>
                        </w14:solidFill>
                      </w14:textFill>
                    </w:rPr>
                    <w:t>鄂尔多斯市宇驰顺捷汽车销售服务有限公司现有</w:t>
                  </w:r>
                  <w:r>
                    <w:rPr>
                      <w:rFonts w:hint="eastAsia"/>
                      <w:color w:val="000000" w:themeColor="text1"/>
                      <w:highlight w:val="none"/>
                      <w14:textFill>
                        <w14:solidFill>
                          <w14:schemeClr w14:val="tx1"/>
                        </w14:solidFill>
                      </w14:textFill>
                    </w:rPr>
                    <w:t>厂区内建设</w:t>
                  </w:r>
                  <w:r>
                    <w:rPr>
                      <w:color w:val="000000" w:themeColor="text1"/>
                      <w:highlight w:val="none"/>
                      <w14:textFill>
                        <w14:solidFill>
                          <w14:schemeClr w14:val="tx1"/>
                        </w14:solidFill>
                      </w14:textFill>
                    </w:rPr>
                    <w:t>，不新增用地，不在江河、湖泊、运河、渠道、水库及其最高水位线以下的滩地和岸坡，以及法律法规规定禁止贮存危险废物的其他地点。</w:t>
                  </w:r>
                </w:p>
              </w:tc>
              <w:tc>
                <w:tcPr>
                  <w:tcW w:w="564" w:type="dxa"/>
                  <w:noWrap w:val="0"/>
                  <w:vAlign w:val="center"/>
                </w:tcPr>
                <w:p w14:paraId="362AC773">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符合</w:t>
                  </w:r>
                </w:p>
              </w:tc>
            </w:tr>
            <w:tr w14:paraId="10D65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5" w:hRule="atLeast"/>
                <w:jc w:val="center"/>
              </w:trPr>
              <w:tc>
                <w:tcPr>
                  <w:tcW w:w="467" w:type="dxa"/>
                  <w:vMerge w:val="continue"/>
                  <w:noWrap w:val="0"/>
                  <w:vAlign w:val="center"/>
                </w:tcPr>
                <w:p w14:paraId="6924A044">
                  <w:pPr>
                    <w:spacing w:line="240" w:lineRule="auto"/>
                    <w:ind w:firstLine="0" w:firstLineChars="0"/>
                    <w:rPr>
                      <w:color w:val="000000" w:themeColor="text1"/>
                      <w:highlight w:val="none"/>
                      <w14:textFill>
                        <w14:solidFill>
                          <w14:schemeClr w14:val="tx1"/>
                        </w14:solidFill>
                      </w14:textFill>
                    </w:rPr>
                  </w:pPr>
                </w:p>
              </w:tc>
              <w:tc>
                <w:tcPr>
                  <w:tcW w:w="2619" w:type="dxa"/>
                  <w:gridSpan w:val="2"/>
                  <w:noWrap w:val="0"/>
                  <w:vAlign w:val="center"/>
                </w:tcPr>
                <w:p w14:paraId="186AD556">
                  <w:pPr>
                    <w:spacing w:line="240" w:lineRule="auto"/>
                    <w:ind w:firstLine="0" w:firstLineChars="0"/>
                    <w:rPr>
                      <w:color w:val="000000" w:themeColor="text1"/>
                      <w:highlight w:val="none"/>
                      <w14:textFill>
                        <w14:solidFill>
                          <w14:schemeClr w14:val="tx1"/>
                        </w14:solidFill>
                      </w14:textFill>
                    </w:rPr>
                  </w:pPr>
                  <w:bookmarkStart w:id="2" w:name="OLE_LINK6"/>
                  <w:r>
                    <w:rPr>
                      <w:rFonts w:hint="eastAsia"/>
                      <w:color w:val="000000" w:themeColor="text1"/>
                      <w:highlight w:val="none"/>
                      <w:lang w:val="en-US" w:eastAsia="zh-CN"/>
                      <w14:textFill>
                        <w14:solidFill>
                          <w14:schemeClr w14:val="tx1"/>
                        </w14:solidFill>
                      </w14:textFill>
                    </w:rPr>
                    <w:t>贮存设施场址的位置以及其与周围环境敏感目标的距离应依据环境影响评价文件确定</w:t>
                  </w:r>
                  <w:bookmarkEnd w:id="2"/>
                </w:p>
              </w:tc>
              <w:tc>
                <w:tcPr>
                  <w:tcW w:w="2889" w:type="dxa"/>
                  <w:noWrap w:val="0"/>
                  <w:vAlign w:val="center"/>
                </w:tcPr>
                <w:p w14:paraId="08A4F7BA">
                  <w:pPr>
                    <w:spacing w:line="240" w:lineRule="auto"/>
                    <w:ind w:firstLine="0" w:firstLineChars="0"/>
                    <w:rPr>
                      <w:rFonts w:hint="default" w:eastAsia="宋体"/>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本项目位于</w:t>
                  </w:r>
                  <w:r>
                    <w:rPr>
                      <w:rFonts w:hint="eastAsia" w:cs="Times New Roman"/>
                      <w:color w:val="000000" w:themeColor="text1"/>
                      <w:highlight w:val="none"/>
                      <w:lang w:val="en-US" w:eastAsia="zh-CN"/>
                      <w14:textFill>
                        <w14:solidFill>
                          <w14:schemeClr w14:val="tx1"/>
                        </w14:solidFill>
                      </w14:textFill>
                    </w:rPr>
                    <w:t>内蒙古自治区鄂尔多斯市东胜区天骄南路42号客运中心后院5号商铺</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鄂尔多斯市宇驰顺捷汽车销售服务有限公司现有</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厂区内，</w:t>
                  </w:r>
                  <w:r>
                    <w:rPr>
                      <w:rFonts w:hint="eastAsia" w:cs="Times New Roman"/>
                      <w:color w:val="000000" w:themeColor="text1"/>
                      <w:highlight w:val="none"/>
                      <w:lang w:val="en-US" w:eastAsia="zh-CN"/>
                      <w14:textFill>
                        <w14:solidFill>
                          <w14:schemeClr w14:val="tx1"/>
                        </w14:solidFill>
                      </w14:textFill>
                    </w:rPr>
                    <w:t>项目厂界外500m范围内无环境空气敏感目标；</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厂界外50米范围内</w:t>
                  </w:r>
                  <w:r>
                    <w:rPr>
                      <w:rFonts w:hint="eastAsia" w:cs="Times New Roman"/>
                      <w:color w:val="000000" w:themeColor="text1"/>
                      <w:highlight w:val="none"/>
                      <w:lang w:val="en-US" w:eastAsia="zh-CN"/>
                      <w14:textFill>
                        <w14:solidFill>
                          <w14:schemeClr w14:val="tx1"/>
                        </w14:solidFill>
                      </w14:textFill>
                    </w:rPr>
                    <w:t>无</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声环境保护目标；厂界外500米范围内</w:t>
                  </w:r>
                  <w:r>
                    <w:rPr>
                      <w:rFonts w:hint="eastAsia" w:cs="Times New Roman"/>
                      <w:color w:val="000000" w:themeColor="text1"/>
                      <w:highlight w:val="none"/>
                      <w:lang w:val="en-US" w:eastAsia="zh-CN"/>
                      <w14:textFill>
                        <w14:solidFill>
                          <w14:schemeClr w14:val="tx1"/>
                        </w14:solidFill>
                      </w14:textFill>
                    </w:rPr>
                    <w:t>无</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地下水集中式饮用水水源和热水、矿泉水、温泉等特殊地下水资源。</w:t>
                  </w:r>
                </w:p>
              </w:tc>
              <w:tc>
                <w:tcPr>
                  <w:tcW w:w="564" w:type="dxa"/>
                  <w:noWrap w:val="0"/>
                  <w:vAlign w:val="center"/>
                </w:tcPr>
                <w:p w14:paraId="44BC6B7F">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符合</w:t>
                  </w:r>
                </w:p>
              </w:tc>
            </w:tr>
            <w:tr w14:paraId="1CBE4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467" w:type="dxa"/>
                  <w:vMerge w:val="restart"/>
                  <w:noWrap w:val="0"/>
                  <w:vAlign w:val="center"/>
                </w:tcPr>
                <w:p w14:paraId="171586A6">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贮</w:t>
                  </w:r>
                </w:p>
                <w:p w14:paraId="393B89D6">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存设施污染控制要求</w:t>
                  </w:r>
                </w:p>
              </w:tc>
              <w:tc>
                <w:tcPr>
                  <w:tcW w:w="428" w:type="dxa"/>
                  <w:vMerge w:val="restart"/>
                  <w:noWrap w:val="0"/>
                  <w:vAlign w:val="center"/>
                </w:tcPr>
                <w:p w14:paraId="69370A75">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一般规定</w:t>
                  </w:r>
                </w:p>
              </w:tc>
              <w:tc>
                <w:tcPr>
                  <w:tcW w:w="2191" w:type="dxa"/>
                  <w:noWrap w:val="0"/>
                  <w:vAlign w:val="center"/>
                </w:tcPr>
                <w:p w14:paraId="6E1AEE26">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贮存设施应根据危险废物的形态、物理化学性质、包装形式和污染物迁移途径，采取必要的防风、防晒、防雨、防漏、防渗、防腐以及其他环境污染防治措施，不应露天堆放危险废物。</w:t>
                  </w:r>
                </w:p>
              </w:tc>
              <w:tc>
                <w:tcPr>
                  <w:tcW w:w="2889" w:type="dxa"/>
                  <w:noWrap w:val="0"/>
                  <w:vAlign w:val="center"/>
                </w:tcPr>
                <w:p w14:paraId="283A5938">
                  <w:pPr>
                    <w:spacing w:line="240" w:lineRule="auto"/>
                    <w:ind w:firstLine="0" w:firstLineChars="0"/>
                    <w:rPr>
                      <w:rFonts w:hint="eastAsia"/>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鄂尔多斯市宇驰顺捷汽车销售服务有限公司现有</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在生产运行车辆维修过程中会产生危险废物</w:t>
                  </w:r>
                  <w:r>
                    <w:rPr>
                      <w:rFonts w:hint="eastAsia" w:cs="Times New Roman"/>
                      <w:color w:val="000000" w:themeColor="text1"/>
                      <w:highlight w:val="none"/>
                      <w:lang w:val="en-US" w:eastAsia="zh-CN"/>
                      <w14:textFill>
                        <w14:solidFill>
                          <w14:schemeClr w14:val="tx1"/>
                        </w14:solidFill>
                      </w14:textFill>
                    </w:rPr>
                    <w:t>废润滑油、废机油、</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废油桶</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含油废抹布、废手套</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，如上述产生的危险废物不能妥善处理，擅自堆存会在垂直向下迁移入渗到土壤、进入到含水层内，污染地下水，故建设单位拟在现有厂区内新建1座</w:t>
                  </w:r>
                  <w:r>
                    <w:rPr>
                      <w:rFonts w:hint="eastAsia" w:cs="Times New Roman"/>
                      <w:color w:val="000000" w:themeColor="text1"/>
                      <w:highlight w:val="none"/>
                      <w:lang w:val="en-US" w:eastAsia="zh-CN"/>
                      <w14:textFill>
                        <w14:solidFill>
                          <w14:schemeClr w14:val="tx1"/>
                        </w14:solidFill>
                      </w14:textFill>
                    </w:rPr>
                    <w:t>7㎡</w:t>
                  </w:r>
                  <w:r>
                    <w:rPr>
                      <w:rFonts w:hint="eastAsia" w:ascii="Times New Roman" w:hAnsi="Times New Roman" w:eastAsia="宋体" w:cs="Times New Roman"/>
                      <w:color w:val="000000" w:themeColor="text1"/>
                      <w:highlight w:val="none"/>
                      <w:lang w:val="en-US" w:eastAsia="zh-CN"/>
                      <w14:textFill>
                        <w14:solidFill>
                          <w14:schemeClr w14:val="tx1"/>
                        </w14:solidFill>
                      </w14:textFill>
                    </w:rPr>
                    <w:t>的全封闭危险废物贮存库，具有防风、防晒、防雨、防漏、防渗、防腐功能</w:t>
                  </w:r>
                  <w:r>
                    <w:rPr>
                      <w:rFonts w:hint="eastAsia" w:cs="Times New Roman"/>
                      <w:color w:val="000000" w:themeColor="text1"/>
                      <w:highlight w:val="none"/>
                      <w:lang w:val="en-US" w:eastAsia="zh-CN"/>
                      <w14:textFill>
                        <w14:solidFill>
                          <w14:schemeClr w14:val="tx1"/>
                        </w14:solidFill>
                      </w14:textFill>
                    </w:rPr>
                    <w:t>等功能</w:t>
                  </w:r>
                  <w:r>
                    <w:rPr>
                      <w:rFonts w:hint="eastAsia" w:ascii="Times New Roman" w:hAnsi="Times New Roman" w:eastAsia="宋体" w:cs="Times New Roman"/>
                      <w:color w:val="000000" w:themeColor="text1"/>
                      <w:highlight w:val="none"/>
                      <w:lang w:val="en-US" w:eastAsia="zh-CN"/>
                      <w14:textFill>
                        <w14:solidFill>
                          <w14:schemeClr w14:val="tx1"/>
                        </w14:solidFill>
                      </w14:textFill>
                    </w:rPr>
                    <w:t>。</w:t>
                  </w:r>
                </w:p>
              </w:tc>
              <w:tc>
                <w:tcPr>
                  <w:tcW w:w="564" w:type="dxa"/>
                  <w:noWrap w:val="0"/>
                  <w:vAlign w:val="center"/>
                </w:tcPr>
                <w:p w14:paraId="4CC3EF38">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符合</w:t>
                  </w:r>
                </w:p>
              </w:tc>
            </w:tr>
            <w:tr w14:paraId="7418F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1" w:hRule="atLeast"/>
                <w:jc w:val="center"/>
              </w:trPr>
              <w:tc>
                <w:tcPr>
                  <w:tcW w:w="467" w:type="dxa"/>
                  <w:vMerge w:val="continue"/>
                  <w:noWrap w:val="0"/>
                  <w:vAlign w:val="center"/>
                </w:tcPr>
                <w:p w14:paraId="324CC833">
                  <w:pPr>
                    <w:spacing w:line="240" w:lineRule="auto"/>
                    <w:ind w:firstLine="0" w:firstLineChars="0"/>
                    <w:rPr>
                      <w:color w:val="000000" w:themeColor="text1"/>
                      <w:highlight w:val="none"/>
                      <w14:textFill>
                        <w14:solidFill>
                          <w14:schemeClr w14:val="tx1"/>
                        </w14:solidFill>
                      </w14:textFill>
                    </w:rPr>
                  </w:pPr>
                </w:p>
              </w:tc>
              <w:tc>
                <w:tcPr>
                  <w:tcW w:w="428" w:type="dxa"/>
                  <w:vMerge w:val="continue"/>
                  <w:noWrap w:val="0"/>
                  <w:vAlign w:val="center"/>
                </w:tcPr>
                <w:p w14:paraId="42D5A8DD">
                  <w:pPr>
                    <w:spacing w:line="240" w:lineRule="auto"/>
                    <w:ind w:firstLine="0" w:firstLineChars="0"/>
                    <w:rPr>
                      <w:color w:val="000000" w:themeColor="text1"/>
                      <w:highlight w:val="none"/>
                      <w14:textFill>
                        <w14:solidFill>
                          <w14:schemeClr w14:val="tx1"/>
                        </w14:solidFill>
                      </w14:textFill>
                    </w:rPr>
                  </w:pPr>
                </w:p>
              </w:tc>
              <w:tc>
                <w:tcPr>
                  <w:tcW w:w="2191" w:type="dxa"/>
                  <w:noWrap w:val="0"/>
                  <w:vAlign w:val="center"/>
                </w:tcPr>
                <w:p w14:paraId="652DC75C">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贮存设施应根据危险废物的类别、数量、形态、物理化学性质和污染防治等要求设置必要的贮存分区，避免不相容的危险废物接触、混合。</w:t>
                  </w:r>
                </w:p>
              </w:tc>
              <w:tc>
                <w:tcPr>
                  <w:tcW w:w="2889" w:type="dxa"/>
                  <w:noWrap w:val="0"/>
                  <w:vAlign w:val="center"/>
                </w:tcPr>
                <w:p w14:paraId="6A7EEC2E">
                  <w:pPr>
                    <w:spacing w:line="240" w:lineRule="auto"/>
                    <w:ind w:firstLine="0" w:firstLineChars="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产生的</w:t>
                  </w:r>
                  <w:r>
                    <w:rPr>
                      <w:rFonts w:hint="eastAsia"/>
                      <w:color w:val="000000" w:themeColor="text1"/>
                      <w:highlight w:val="none"/>
                      <w:lang w:eastAsia="zh-CN"/>
                      <w14:textFill>
                        <w14:solidFill>
                          <w14:schemeClr w14:val="tx1"/>
                        </w14:solidFill>
                      </w14:textFill>
                    </w:rPr>
                    <w:t>废润滑油、</w:t>
                  </w:r>
                  <w:r>
                    <w:rPr>
                      <w:rFonts w:hint="eastAsia"/>
                      <w:color w:val="000000" w:themeColor="text1"/>
                      <w:highlight w:val="none"/>
                      <w:lang w:val="en-US" w:eastAsia="zh-CN"/>
                      <w14:textFill>
                        <w14:solidFill>
                          <w14:schemeClr w14:val="tx1"/>
                        </w14:solidFill>
                      </w14:textFill>
                    </w:rPr>
                    <w:t>废机油、</w:t>
                  </w:r>
                  <w:r>
                    <w:rPr>
                      <w:rFonts w:hint="eastAsia"/>
                      <w:color w:val="000000" w:themeColor="text1"/>
                      <w:lang w:val="en-US" w:eastAsia="zh-CN"/>
                      <w14:textFill>
                        <w14:solidFill>
                          <w14:schemeClr w14:val="tx1"/>
                        </w14:solidFill>
                      </w14:textFill>
                    </w:rPr>
                    <w:t>含油废抹布、废手套</w:t>
                  </w:r>
                  <w:r>
                    <w:rPr>
                      <w:rFonts w:hint="eastAsia"/>
                      <w:color w:val="000000" w:themeColor="text1"/>
                      <w:highlight w:val="none"/>
                      <w14:textFill>
                        <w14:solidFill>
                          <w14:schemeClr w14:val="tx1"/>
                        </w14:solidFill>
                      </w14:textFill>
                    </w:rPr>
                    <w:t>贮存于</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密封桶内，废油桶加盖密封暂存</w:t>
                  </w:r>
                  <w:r>
                    <w:rPr>
                      <w:rFonts w:hint="eastAsia"/>
                      <w:color w:val="000000" w:themeColor="text1"/>
                      <w:highlight w:val="none"/>
                      <w14:textFill>
                        <w14:solidFill>
                          <w14:schemeClr w14:val="tx1"/>
                        </w14:solidFill>
                      </w14:textFill>
                    </w:rPr>
                    <w:t>，分区暂存</w:t>
                  </w:r>
                  <w:r>
                    <w:rPr>
                      <w:color w:val="000000" w:themeColor="text1"/>
                      <w:highlight w:val="none"/>
                      <w14:textFill>
                        <w14:solidFill>
                          <w14:schemeClr w14:val="tx1"/>
                        </w14:solidFill>
                      </w14:textFill>
                    </w:rPr>
                    <w:t>，不露天堆放</w:t>
                  </w:r>
                  <w:r>
                    <w:rPr>
                      <w:rFonts w:hint="eastAsia"/>
                      <w:color w:val="000000" w:themeColor="text1"/>
                      <w:highlight w:val="none"/>
                      <w14:textFill>
                        <w14:solidFill>
                          <w14:schemeClr w14:val="tx1"/>
                        </w14:solidFill>
                      </w14:textFill>
                    </w:rPr>
                    <w:t>。</w:t>
                  </w:r>
                </w:p>
              </w:tc>
              <w:tc>
                <w:tcPr>
                  <w:tcW w:w="564" w:type="dxa"/>
                  <w:noWrap w:val="0"/>
                  <w:vAlign w:val="center"/>
                </w:tcPr>
                <w:p w14:paraId="0014D41C">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符合</w:t>
                  </w:r>
                </w:p>
              </w:tc>
            </w:tr>
            <w:tr w14:paraId="7A810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7" w:type="dxa"/>
                  <w:vMerge w:val="continue"/>
                  <w:noWrap w:val="0"/>
                  <w:vAlign w:val="center"/>
                </w:tcPr>
                <w:p w14:paraId="27C41E3B">
                  <w:pPr>
                    <w:spacing w:line="240" w:lineRule="auto"/>
                    <w:ind w:firstLine="0" w:firstLineChars="0"/>
                    <w:rPr>
                      <w:color w:val="000000" w:themeColor="text1"/>
                      <w:highlight w:val="none"/>
                      <w14:textFill>
                        <w14:solidFill>
                          <w14:schemeClr w14:val="tx1"/>
                        </w14:solidFill>
                      </w14:textFill>
                    </w:rPr>
                  </w:pPr>
                </w:p>
              </w:tc>
              <w:tc>
                <w:tcPr>
                  <w:tcW w:w="428" w:type="dxa"/>
                  <w:vMerge w:val="continue"/>
                  <w:noWrap w:val="0"/>
                  <w:vAlign w:val="center"/>
                </w:tcPr>
                <w:p w14:paraId="643AEC62">
                  <w:pPr>
                    <w:spacing w:line="240" w:lineRule="auto"/>
                    <w:ind w:firstLine="0" w:firstLineChars="0"/>
                    <w:rPr>
                      <w:color w:val="000000" w:themeColor="text1"/>
                      <w:highlight w:val="none"/>
                      <w14:textFill>
                        <w14:solidFill>
                          <w14:schemeClr w14:val="tx1"/>
                        </w14:solidFill>
                      </w14:textFill>
                    </w:rPr>
                  </w:pPr>
                </w:p>
              </w:tc>
              <w:tc>
                <w:tcPr>
                  <w:tcW w:w="2191" w:type="dxa"/>
                  <w:noWrap w:val="0"/>
                  <w:vAlign w:val="center"/>
                </w:tcPr>
                <w:p w14:paraId="661E0E2E">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贮存设施或贮存分区内地面、墙面</w:t>
                  </w:r>
                  <w:r>
                    <w:rPr>
                      <w:rFonts w:hint="eastAsia"/>
                      <w:color w:val="000000" w:themeColor="text1"/>
                      <w:highlight w:val="none"/>
                      <w14:textFill>
                        <w14:solidFill>
                          <w14:schemeClr w14:val="tx1"/>
                        </w14:solidFill>
                      </w14:textFill>
                    </w:rPr>
                    <w:t>裙脚</w:t>
                  </w:r>
                  <w:r>
                    <w:rPr>
                      <w:color w:val="000000" w:themeColor="text1"/>
                      <w:highlight w:val="none"/>
                      <w14:textFill>
                        <w14:solidFill>
                          <w14:schemeClr w14:val="tx1"/>
                        </w14:solidFill>
                      </w14:textFill>
                    </w:rPr>
                    <w:t>、堵截泄漏的</w:t>
                  </w:r>
                  <w:r>
                    <w:rPr>
                      <w:rFonts w:hint="eastAsia"/>
                      <w:color w:val="000000" w:themeColor="text1"/>
                      <w:highlight w:val="none"/>
                      <w14:textFill>
                        <w14:solidFill>
                          <w14:schemeClr w14:val="tx1"/>
                        </w14:solidFill>
                      </w14:textFill>
                    </w:rPr>
                    <w:t>裙脚</w:t>
                  </w:r>
                  <w:r>
                    <w:rPr>
                      <w:color w:val="000000" w:themeColor="text1"/>
                      <w:highlight w:val="none"/>
                      <w14:textFill>
                        <w14:solidFill>
                          <w14:schemeClr w14:val="tx1"/>
                        </w14:solidFill>
                      </w14:textFill>
                    </w:rPr>
                    <w:t>、接触危险废物的隔板和墙体等应采用坚固的材料建造，表面无裂缝。</w:t>
                  </w:r>
                </w:p>
              </w:tc>
              <w:tc>
                <w:tcPr>
                  <w:tcW w:w="2889" w:type="dxa"/>
                  <w:noWrap w:val="0"/>
                  <w:vAlign w:val="center"/>
                </w:tcPr>
                <w:p w14:paraId="1F45E759">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w:t>
                  </w:r>
                  <w:r>
                    <w:rPr>
                      <w:rFonts w:hint="eastAsia"/>
                      <w:color w:val="000000" w:themeColor="text1"/>
                      <w:highlight w:val="none"/>
                      <w:lang w:val="en-US" w:eastAsia="zh-CN"/>
                      <w14:textFill>
                        <w14:solidFill>
                          <w14:schemeClr w14:val="tx1"/>
                        </w14:solidFill>
                      </w14:textFill>
                    </w:rPr>
                    <w:t>为全封闭砖混结构，</w:t>
                  </w:r>
                  <w:r>
                    <w:rPr>
                      <w:color w:val="000000" w:themeColor="text1"/>
                      <w:highlight w:val="none"/>
                      <w14:textFill>
                        <w14:solidFill>
                          <w14:schemeClr w14:val="tx1"/>
                        </w14:solidFill>
                      </w14:textFill>
                    </w:rPr>
                    <w:t>贮存分区内地面、墙面</w:t>
                  </w:r>
                  <w:r>
                    <w:rPr>
                      <w:rFonts w:hint="eastAsia"/>
                      <w:color w:val="000000" w:themeColor="text1"/>
                      <w:highlight w:val="none"/>
                      <w14:textFill>
                        <w14:solidFill>
                          <w14:schemeClr w14:val="tx1"/>
                        </w14:solidFill>
                      </w14:textFill>
                    </w:rPr>
                    <w:t>裙脚</w:t>
                  </w:r>
                  <w:r>
                    <w:rPr>
                      <w:color w:val="000000" w:themeColor="text1"/>
                      <w:highlight w:val="none"/>
                      <w14:textFill>
                        <w14:solidFill>
                          <w14:schemeClr w14:val="tx1"/>
                        </w14:solidFill>
                      </w14:textFill>
                    </w:rPr>
                    <w:t>、堵截泄漏的</w:t>
                  </w:r>
                  <w:r>
                    <w:rPr>
                      <w:rFonts w:hint="eastAsia"/>
                      <w:color w:val="000000" w:themeColor="text1"/>
                      <w:highlight w:val="none"/>
                      <w14:textFill>
                        <w14:solidFill>
                          <w14:schemeClr w14:val="tx1"/>
                        </w14:solidFill>
                      </w14:textFill>
                    </w:rPr>
                    <w:t>集液池</w:t>
                  </w:r>
                  <w:r>
                    <w:rPr>
                      <w:color w:val="000000" w:themeColor="text1"/>
                      <w:highlight w:val="none"/>
                      <w14:textFill>
                        <w14:solidFill>
                          <w14:schemeClr w14:val="tx1"/>
                        </w14:solidFill>
                      </w14:textFill>
                    </w:rPr>
                    <w:t>、接触危险废物的墙体等</w:t>
                  </w:r>
                  <w:r>
                    <w:rPr>
                      <w:rFonts w:hint="eastAsia"/>
                      <w:color w:val="000000" w:themeColor="text1"/>
                      <w:highlight w:val="none"/>
                      <w:lang w:val="en-US" w:eastAsia="zh-CN"/>
                      <w14:textFill>
                        <w14:solidFill>
                          <w14:schemeClr w14:val="tx1"/>
                        </w14:solidFill>
                      </w14:textFill>
                    </w:rPr>
                    <w:t>采用相同防渗措施：防渗层为至少1m厚黏土层（渗透系数≤10</w:t>
                  </w:r>
                  <w:r>
                    <w:rPr>
                      <w:rFonts w:hint="eastAsia"/>
                      <w:color w:val="000000" w:themeColor="text1"/>
                      <w:highlight w:val="none"/>
                      <w:vertAlign w:val="superscript"/>
                      <w:lang w:val="en-US" w:eastAsia="zh-CN"/>
                      <w14:textFill>
                        <w14:solidFill>
                          <w14:schemeClr w14:val="tx1"/>
                        </w14:solidFill>
                      </w14:textFill>
                    </w:rPr>
                    <w:t>-7</w:t>
                  </w:r>
                  <w:r>
                    <w:rPr>
                      <w:rFonts w:hint="eastAsia"/>
                      <w:color w:val="000000" w:themeColor="text1"/>
                      <w:highlight w:val="none"/>
                      <w:lang w:val="en-US" w:eastAsia="zh-CN"/>
                      <w14:textFill>
                        <w14:solidFill>
                          <w14:schemeClr w14:val="tx1"/>
                        </w14:solidFill>
                      </w14:textFill>
                    </w:rPr>
                    <w:t>cm/s），或至少2mm厚高密度聚乙烯膜等人工防渗材料（渗透系数≤10</w:t>
                  </w:r>
                  <w:r>
                    <w:rPr>
                      <w:rFonts w:hint="eastAsia"/>
                      <w:color w:val="000000" w:themeColor="text1"/>
                      <w:highlight w:val="none"/>
                      <w:vertAlign w:val="superscript"/>
                      <w:lang w:val="en-US" w:eastAsia="zh-CN"/>
                      <w14:textFill>
                        <w14:solidFill>
                          <w14:schemeClr w14:val="tx1"/>
                        </w14:solidFill>
                      </w14:textFill>
                    </w:rPr>
                    <w:t>-10</w:t>
                  </w:r>
                  <w:r>
                    <w:rPr>
                      <w:rFonts w:hint="eastAsia"/>
                      <w:color w:val="000000" w:themeColor="text1"/>
                      <w:highlight w:val="none"/>
                      <w:lang w:val="en-US" w:eastAsia="zh-CN"/>
                      <w14:textFill>
                        <w14:solidFill>
                          <w14:schemeClr w14:val="tx1"/>
                        </w14:solidFill>
                      </w14:textFill>
                    </w:rPr>
                    <w:t>cm/s），或其他防渗性能等效的材料，并涂刷环氧树脂地坪漆。定期检查，以保证表面无裂缝。</w:t>
                  </w:r>
                </w:p>
              </w:tc>
              <w:tc>
                <w:tcPr>
                  <w:tcW w:w="564" w:type="dxa"/>
                  <w:noWrap w:val="0"/>
                  <w:vAlign w:val="center"/>
                </w:tcPr>
                <w:p w14:paraId="00E96609">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符合</w:t>
                  </w:r>
                </w:p>
              </w:tc>
            </w:tr>
            <w:tr w14:paraId="6792A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7" w:hRule="atLeast"/>
                <w:jc w:val="center"/>
              </w:trPr>
              <w:tc>
                <w:tcPr>
                  <w:tcW w:w="467" w:type="dxa"/>
                  <w:vMerge w:val="continue"/>
                  <w:noWrap w:val="0"/>
                  <w:vAlign w:val="center"/>
                </w:tcPr>
                <w:p w14:paraId="7189BC38">
                  <w:pPr>
                    <w:spacing w:line="240" w:lineRule="auto"/>
                    <w:ind w:firstLine="0" w:firstLineChars="0"/>
                    <w:rPr>
                      <w:color w:val="000000" w:themeColor="text1"/>
                      <w:highlight w:val="none"/>
                      <w14:textFill>
                        <w14:solidFill>
                          <w14:schemeClr w14:val="tx1"/>
                        </w14:solidFill>
                      </w14:textFill>
                    </w:rPr>
                  </w:pPr>
                </w:p>
              </w:tc>
              <w:tc>
                <w:tcPr>
                  <w:tcW w:w="428" w:type="dxa"/>
                  <w:vMerge w:val="continue"/>
                  <w:noWrap w:val="0"/>
                  <w:vAlign w:val="center"/>
                </w:tcPr>
                <w:p w14:paraId="5C080735">
                  <w:pPr>
                    <w:spacing w:line="240" w:lineRule="auto"/>
                    <w:ind w:firstLine="0" w:firstLineChars="0"/>
                    <w:rPr>
                      <w:color w:val="000000" w:themeColor="text1"/>
                      <w:highlight w:val="none"/>
                      <w14:textFill>
                        <w14:solidFill>
                          <w14:schemeClr w14:val="tx1"/>
                        </w14:solidFill>
                      </w14:textFill>
                    </w:rPr>
                  </w:pPr>
                </w:p>
              </w:tc>
              <w:tc>
                <w:tcPr>
                  <w:tcW w:w="2191" w:type="dxa"/>
                  <w:noWrap w:val="0"/>
                  <w:vAlign w:val="center"/>
                </w:tcPr>
                <w:p w14:paraId="0BBD8A97">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贮存设施地面与</w:t>
                  </w:r>
                  <w:r>
                    <w:rPr>
                      <w:rFonts w:hint="eastAsia"/>
                      <w:color w:val="000000" w:themeColor="text1"/>
                      <w:highlight w:val="none"/>
                      <w14:textFill>
                        <w14:solidFill>
                          <w14:schemeClr w14:val="tx1"/>
                        </w14:solidFill>
                      </w14:textFill>
                    </w:rPr>
                    <w:t>裙脚</w:t>
                  </w:r>
                  <w:r>
                    <w:rPr>
                      <w:color w:val="000000" w:themeColor="text1"/>
                      <w:highlight w:val="none"/>
                      <w14:textFill>
                        <w14:solidFill>
                          <w14:schemeClr w14:val="tx1"/>
                        </w14:solidFill>
                      </w14:textFill>
                    </w:rPr>
                    <w:t>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渗透系数</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10</w:t>
                  </w:r>
                  <w:r>
                    <w:rPr>
                      <w:color w:val="000000" w:themeColor="text1"/>
                      <w:highlight w:val="none"/>
                      <w:vertAlign w:val="superscript"/>
                      <w14:textFill>
                        <w14:solidFill>
                          <w14:schemeClr w14:val="tx1"/>
                        </w14:solidFill>
                      </w14:textFill>
                    </w:rPr>
                    <w:t>-7</w:t>
                  </w:r>
                  <w:r>
                    <w:rPr>
                      <w:color w:val="000000" w:themeColor="text1"/>
                      <w:highlight w:val="none"/>
                      <w14:textFill>
                        <w14:solidFill>
                          <w14:schemeClr w14:val="tx1"/>
                        </w14:solidFill>
                      </w14:textFill>
                    </w:rPr>
                    <w:t>cm/s</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，或至少2mm厚高密度聚乙烯膜等人工防渗材料</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渗透系数</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10</w:t>
                  </w:r>
                  <w:r>
                    <w:rPr>
                      <w:color w:val="000000" w:themeColor="text1"/>
                      <w:highlight w:val="none"/>
                      <w:vertAlign w:val="superscript"/>
                      <w14:textFill>
                        <w14:solidFill>
                          <w14:schemeClr w14:val="tx1"/>
                        </w14:solidFill>
                      </w14:textFill>
                    </w:rPr>
                    <w:t>-10</w:t>
                  </w:r>
                  <w:r>
                    <w:rPr>
                      <w:color w:val="000000" w:themeColor="text1"/>
                      <w:highlight w:val="none"/>
                      <w14:textFill>
                        <w14:solidFill>
                          <w14:schemeClr w14:val="tx1"/>
                        </w14:solidFill>
                      </w14:textFill>
                    </w:rPr>
                    <w:t>cm/s</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，或其他防渗性能等效的材料。</w:t>
                  </w:r>
                </w:p>
              </w:tc>
              <w:tc>
                <w:tcPr>
                  <w:tcW w:w="2889" w:type="dxa"/>
                  <w:noWrap w:val="0"/>
                  <w:vAlign w:val="center"/>
                </w:tcPr>
                <w:p w14:paraId="0EF995EA">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贮存库按照《危险废物贮存污染控制标准》（GB18597-2023）设计为封闭式、防雨、防风、防晒，危险废物贮存库地面、</w:t>
                  </w:r>
                  <w:r>
                    <w:rPr>
                      <w:rFonts w:hint="eastAsia"/>
                      <w:color w:val="000000" w:themeColor="text1"/>
                      <w:highlight w:val="none"/>
                      <w14:textFill>
                        <w14:solidFill>
                          <w14:schemeClr w14:val="tx1"/>
                        </w14:solidFill>
                      </w14:textFill>
                    </w:rPr>
                    <w:t>裙脚</w:t>
                  </w:r>
                  <w:r>
                    <w:rPr>
                      <w:color w:val="000000" w:themeColor="text1"/>
                      <w:highlight w:val="none"/>
                      <w14:textFill>
                        <w14:solidFill>
                          <w14:schemeClr w14:val="tx1"/>
                        </w14:solidFill>
                      </w14:textFill>
                    </w:rPr>
                    <w:t>、集液池、</w:t>
                  </w:r>
                  <w:r>
                    <w:rPr>
                      <w:rFonts w:hint="eastAsia"/>
                      <w:color w:val="000000" w:themeColor="text1"/>
                      <w:highlight w:val="none"/>
                      <w14:textFill>
                        <w14:solidFill>
                          <w14:schemeClr w14:val="tx1"/>
                        </w14:solidFill>
                      </w14:textFill>
                    </w:rPr>
                    <w:t>导流渠</w:t>
                  </w:r>
                  <w:r>
                    <w:rPr>
                      <w:color w:val="000000" w:themeColor="text1"/>
                      <w:highlight w:val="none"/>
                      <w14:textFill>
                        <w14:solidFill>
                          <w14:schemeClr w14:val="tx1"/>
                        </w14:solidFill>
                      </w14:textFill>
                    </w:rPr>
                    <w:t>均按照《危险废物贮存污染控制标准》（GB18597-2023）相关内容进行防渗，具体防</w:t>
                  </w:r>
                  <w:r>
                    <w:rPr>
                      <w:rFonts w:ascii="Times New Roman" w:hAnsi="Times New Roman" w:eastAsia="宋体" w:cs="Times New Roman"/>
                      <w:color w:val="000000" w:themeColor="text1"/>
                      <w:highlight w:val="none"/>
                      <w14:textFill>
                        <w14:solidFill>
                          <w14:schemeClr w14:val="tx1"/>
                        </w14:solidFill>
                      </w14:textFill>
                    </w:rPr>
                    <w:t>渗措施为：</w:t>
                  </w:r>
                  <w:r>
                    <w:rPr>
                      <w:rFonts w:hint="eastAsia" w:ascii="Times New Roman" w:hAnsi="Times New Roman" w:eastAsia="宋体" w:cs="Times New Roman"/>
                      <w:color w:val="000000" w:themeColor="text1"/>
                      <w:highlight w:val="none"/>
                      <w:lang w:val="en-US" w:eastAsia="zh-CN"/>
                      <w14:textFill>
                        <w14:solidFill>
                          <w14:schemeClr w14:val="tx1"/>
                        </w14:solidFill>
                      </w14:textFill>
                    </w:rPr>
                    <w:t>防渗层为至少1m厚黏土层（渗透系数≤10</w:t>
                  </w:r>
                  <w:r>
                    <w:rPr>
                      <w:rFonts w:hint="eastAsia" w:ascii="Times New Roman" w:hAnsi="Times New Roman" w:eastAsia="宋体" w:cs="Times New Roman"/>
                      <w:color w:val="000000" w:themeColor="text1"/>
                      <w:highlight w:val="none"/>
                      <w:vertAlign w:val="superscript"/>
                      <w:lang w:val="en-US" w:eastAsia="zh-CN"/>
                      <w14:textFill>
                        <w14:solidFill>
                          <w14:schemeClr w14:val="tx1"/>
                        </w14:solidFill>
                      </w14:textFill>
                    </w:rPr>
                    <w:t>-7</w:t>
                  </w:r>
                  <w:r>
                    <w:rPr>
                      <w:rFonts w:hint="eastAsia" w:ascii="Times New Roman" w:hAnsi="Times New Roman" w:eastAsia="宋体" w:cs="Times New Roman"/>
                      <w:color w:val="000000" w:themeColor="text1"/>
                      <w:highlight w:val="none"/>
                      <w:lang w:val="en-US" w:eastAsia="zh-CN"/>
                      <w14:textFill>
                        <w14:solidFill>
                          <w14:schemeClr w14:val="tx1"/>
                        </w14:solidFill>
                      </w14:textFill>
                    </w:rPr>
                    <w:t>cm/s），或至少2mm厚高密度聚乙烯膜等人工防渗材料（渗透系数≤10</w:t>
                  </w:r>
                  <w:r>
                    <w:rPr>
                      <w:rFonts w:hint="eastAsia" w:ascii="Times New Roman" w:hAnsi="Times New Roman" w:eastAsia="宋体" w:cs="Times New Roman"/>
                      <w:color w:val="000000" w:themeColor="text1"/>
                      <w:highlight w:val="none"/>
                      <w:vertAlign w:val="superscript"/>
                      <w:lang w:val="en-US" w:eastAsia="zh-CN"/>
                      <w14:textFill>
                        <w14:solidFill>
                          <w14:schemeClr w14:val="tx1"/>
                        </w14:solidFill>
                      </w14:textFill>
                    </w:rPr>
                    <w:t>-10</w:t>
                  </w:r>
                  <w:r>
                    <w:rPr>
                      <w:rFonts w:hint="eastAsia" w:ascii="Times New Roman" w:hAnsi="Times New Roman" w:eastAsia="宋体" w:cs="Times New Roman"/>
                      <w:color w:val="000000" w:themeColor="text1"/>
                      <w:highlight w:val="none"/>
                      <w:lang w:val="en-US" w:eastAsia="zh-CN"/>
                      <w14:textFill>
                        <w14:solidFill>
                          <w14:schemeClr w14:val="tx1"/>
                        </w14:solidFill>
                      </w14:textFill>
                    </w:rPr>
                    <w:t>cm/s），或其他防渗性能等效的材料，并涂刷环氧树脂地坪漆。</w:t>
                  </w:r>
                </w:p>
              </w:tc>
              <w:tc>
                <w:tcPr>
                  <w:tcW w:w="564" w:type="dxa"/>
                  <w:noWrap w:val="0"/>
                  <w:vAlign w:val="center"/>
                </w:tcPr>
                <w:p w14:paraId="1424A088">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符合</w:t>
                  </w:r>
                </w:p>
              </w:tc>
            </w:tr>
            <w:tr w14:paraId="172A4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7" w:type="dxa"/>
                  <w:vMerge w:val="continue"/>
                  <w:noWrap w:val="0"/>
                  <w:vAlign w:val="center"/>
                </w:tcPr>
                <w:p w14:paraId="1DC89E4B">
                  <w:pPr>
                    <w:spacing w:line="240" w:lineRule="auto"/>
                    <w:ind w:firstLine="0" w:firstLineChars="0"/>
                    <w:rPr>
                      <w:color w:val="000000" w:themeColor="text1"/>
                      <w:highlight w:val="none"/>
                      <w14:textFill>
                        <w14:solidFill>
                          <w14:schemeClr w14:val="tx1"/>
                        </w14:solidFill>
                      </w14:textFill>
                    </w:rPr>
                  </w:pPr>
                </w:p>
              </w:tc>
              <w:tc>
                <w:tcPr>
                  <w:tcW w:w="428" w:type="dxa"/>
                  <w:vMerge w:val="continue"/>
                  <w:noWrap w:val="0"/>
                  <w:vAlign w:val="center"/>
                </w:tcPr>
                <w:p w14:paraId="259B0190">
                  <w:pPr>
                    <w:spacing w:line="240" w:lineRule="auto"/>
                    <w:ind w:firstLine="0" w:firstLineChars="0"/>
                    <w:rPr>
                      <w:color w:val="000000" w:themeColor="text1"/>
                      <w:highlight w:val="none"/>
                      <w14:textFill>
                        <w14:solidFill>
                          <w14:schemeClr w14:val="tx1"/>
                        </w14:solidFill>
                      </w14:textFill>
                    </w:rPr>
                  </w:pPr>
                </w:p>
              </w:tc>
              <w:tc>
                <w:tcPr>
                  <w:tcW w:w="2191" w:type="dxa"/>
                  <w:noWrap w:val="0"/>
                  <w:vAlign w:val="center"/>
                </w:tcPr>
                <w:p w14:paraId="6B40DB01">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同一贮存设施宜采用相同的防渗、防腐工艺</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包括防渗、防腐结构或材料</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，防渗、防腐材料应覆盖所有可能与废物及其渗滤液、渗漏液等接触的构筑物表面；采用不同防渗、防腐工艺应分别建设贮存分区。</w:t>
                  </w:r>
                </w:p>
              </w:tc>
              <w:tc>
                <w:tcPr>
                  <w:tcW w:w="2889" w:type="dxa"/>
                  <w:noWrap w:val="0"/>
                  <w:vAlign w:val="center"/>
                </w:tcPr>
                <w:p w14:paraId="58FA2C8B">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本项目危险废物贮存库内均采用相同的防渗、防腐工艺</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包括防渗、防腐结构或材料</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，防渗、防腐材料覆盖所有可能与废物及其渗漏液接触的构筑物表面。</w:t>
                  </w:r>
                </w:p>
              </w:tc>
              <w:tc>
                <w:tcPr>
                  <w:tcW w:w="564" w:type="dxa"/>
                  <w:noWrap w:val="0"/>
                  <w:vAlign w:val="center"/>
                </w:tcPr>
                <w:p w14:paraId="52A0F73A">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符合</w:t>
                  </w:r>
                </w:p>
              </w:tc>
            </w:tr>
            <w:tr w14:paraId="3E694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7" w:type="dxa"/>
                  <w:vMerge w:val="continue"/>
                  <w:noWrap w:val="0"/>
                  <w:vAlign w:val="center"/>
                </w:tcPr>
                <w:p w14:paraId="4D4D9ACB">
                  <w:pPr>
                    <w:spacing w:line="240" w:lineRule="auto"/>
                    <w:ind w:firstLine="0" w:firstLineChars="0"/>
                    <w:rPr>
                      <w:color w:val="000000" w:themeColor="text1"/>
                      <w:highlight w:val="none"/>
                      <w14:textFill>
                        <w14:solidFill>
                          <w14:schemeClr w14:val="tx1"/>
                        </w14:solidFill>
                      </w14:textFill>
                    </w:rPr>
                  </w:pPr>
                </w:p>
              </w:tc>
              <w:tc>
                <w:tcPr>
                  <w:tcW w:w="428" w:type="dxa"/>
                  <w:vMerge w:val="continue"/>
                  <w:noWrap w:val="0"/>
                  <w:vAlign w:val="center"/>
                </w:tcPr>
                <w:p w14:paraId="528DA5C9">
                  <w:pPr>
                    <w:spacing w:line="240" w:lineRule="auto"/>
                    <w:ind w:firstLine="0" w:firstLineChars="0"/>
                    <w:rPr>
                      <w:color w:val="000000" w:themeColor="text1"/>
                      <w:highlight w:val="none"/>
                      <w14:textFill>
                        <w14:solidFill>
                          <w14:schemeClr w14:val="tx1"/>
                        </w14:solidFill>
                      </w14:textFill>
                    </w:rPr>
                  </w:pPr>
                </w:p>
              </w:tc>
              <w:tc>
                <w:tcPr>
                  <w:tcW w:w="2191" w:type="dxa"/>
                  <w:noWrap w:val="0"/>
                  <w:vAlign w:val="center"/>
                </w:tcPr>
                <w:p w14:paraId="21B63D08">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贮存设施应采取技术和管理措施防止无关人员进入。</w:t>
                  </w:r>
                </w:p>
              </w:tc>
              <w:tc>
                <w:tcPr>
                  <w:tcW w:w="2889" w:type="dxa"/>
                  <w:noWrap w:val="0"/>
                  <w:vAlign w:val="center"/>
                </w:tcPr>
                <w:p w14:paraId="2385A00B">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本项目危险废物贮存库设置双人双锁，防止无关人员进入。</w:t>
                  </w:r>
                </w:p>
              </w:tc>
              <w:tc>
                <w:tcPr>
                  <w:tcW w:w="564" w:type="dxa"/>
                  <w:noWrap w:val="0"/>
                  <w:vAlign w:val="center"/>
                </w:tcPr>
                <w:p w14:paraId="04D12CB0">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符合</w:t>
                  </w:r>
                </w:p>
              </w:tc>
            </w:tr>
            <w:tr w14:paraId="269FA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7" w:type="dxa"/>
                  <w:vMerge w:val="continue"/>
                  <w:noWrap w:val="0"/>
                  <w:vAlign w:val="center"/>
                </w:tcPr>
                <w:p w14:paraId="4AC523E2">
                  <w:pPr>
                    <w:spacing w:line="240" w:lineRule="auto"/>
                    <w:ind w:firstLine="0" w:firstLineChars="0"/>
                    <w:rPr>
                      <w:color w:val="000000" w:themeColor="text1"/>
                      <w:highlight w:val="none"/>
                      <w14:textFill>
                        <w14:solidFill>
                          <w14:schemeClr w14:val="tx1"/>
                        </w14:solidFill>
                      </w14:textFill>
                    </w:rPr>
                  </w:pPr>
                </w:p>
              </w:tc>
              <w:tc>
                <w:tcPr>
                  <w:tcW w:w="428" w:type="dxa"/>
                  <w:vMerge w:val="restart"/>
                  <w:noWrap w:val="0"/>
                  <w:vAlign w:val="center"/>
                </w:tcPr>
                <w:p w14:paraId="64691AE4">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贮</w:t>
                  </w:r>
                </w:p>
                <w:p w14:paraId="3831C65D">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存库</w:t>
                  </w:r>
                </w:p>
              </w:tc>
              <w:tc>
                <w:tcPr>
                  <w:tcW w:w="2191" w:type="dxa"/>
                  <w:noWrap w:val="0"/>
                  <w:vAlign w:val="center"/>
                </w:tcPr>
                <w:p w14:paraId="4EE80160">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贮存库内不同贮存分区之间应采取隔离措施。隔离措施可根据危险废物特性采用过道、隔板或隔墙等方式。</w:t>
                  </w:r>
                </w:p>
              </w:tc>
              <w:tc>
                <w:tcPr>
                  <w:tcW w:w="2889" w:type="dxa"/>
                  <w:noWrap w:val="0"/>
                  <w:vAlign w:val="center"/>
                </w:tcPr>
                <w:p w14:paraId="330C04C3">
                  <w:pPr>
                    <w:spacing w:line="240" w:lineRule="auto"/>
                    <w:ind w:firstLine="0" w:firstLineChars="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本项目临时贮存</w:t>
                  </w:r>
                  <w:r>
                    <w:rPr>
                      <w:rFonts w:hint="eastAsia"/>
                      <w:color w:val="000000" w:themeColor="text1"/>
                      <w:highlight w:val="none"/>
                      <w:lang w:eastAsia="zh-CN"/>
                      <w14:textFill>
                        <w14:solidFill>
                          <w14:schemeClr w14:val="tx1"/>
                        </w14:solidFill>
                      </w14:textFill>
                    </w:rPr>
                    <w:t>鄂尔多斯市宇驰顺捷汽车销售服务有限公司现有</w:t>
                  </w:r>
                  <w:r>
                    <w:rPr>
                      <w:rFonts w:hint="eastAsia"/>
                      <w:color w:val="000000" w:themeColor="text1"/>
                      <w:highlight w:val="none"/>
                      <w14:textFill>
                        <w14:solidFill>
                          <w14:schemeClr w14:val="tx1"/>
                        </w14:solidFill>
                      </w14:textFill>
                    </w:rPr>
                    <w:t>产生的危险废物</w:t>
                  </w:r>
                  <w:r>
                    <w:rPr>
                      <w:rFonts w:hint="eastAsia"/>
                      <w:color w:val="000000" w:themeColor="text1"/>
                      <w:highlight w:val="none"/>
                      <w:lang w:eastAsia="zh-CN"/>
                      <w14:textFill>
                        <w14:solidFill>
                          <w14:schemeClr w14:val="tx1"/>
                        </w14:solidFill>
                      </w14:textFill>
                    </w:rPr>
                    <w:t>废润滑油</w:t>
                  </w:r>
                  <w:r>
                    <w:rPr>
                      <w:rFonts w:hint="eastAsia"/>
                      <w:color w:val="000000" w:themeColor="text1"/>
                      <w:highlight w:val="none"/>
                      <w14:textFill>
                        <w14:solidFill>
                          <w14:schemeClr w14:val="tx1"/>
                        </w14:solidFill>
                      </w14:textFill>
                    </w:rPr>
                    <w:t>全封闭贮存于密封桶内，废油桶加盖密封暂存，分区暂存</w:t>
                  </w:r>
                  <w:r>
                    <w:rPr>
                      <w:rFonts w:hint="eastAsia" w:ascii="Times New Roman" w:hAnsi="Times New Roman" w:eastAsia="宋体" w:cs="Times New Roman"/>
                      <w:color w:val="000000" w:themeColor="text1"/>
                      <w:highlight w:val="none"/>
                      <w14:textFill>
                        <w14:solidFill>
                          <w14:schemeClr w14:val="tx1"/>
                        </w14:solidFill>
                      </w14:textFill>
                    </w:rPr>
                    <w:t>，内设</w:t>
                  </w:r>
                  <w:r>
                    <w:rPr>
                      <w:rFonts w:hint="eastAsia" w:cs="Times New Roman"/>
                      <w:color w:val="000000" w:themeColor="text1"/>
                      <w:highlight w:val="none"/>
                      <w:lang w:val="en-US" w:eastAsia="zh-CN"/>
                      <w14:textFill>
                        <w14:solidFill>
                          <w14:schemeClr w14:val="tx1"/>
                        </w14:solidFill>
                      </w14:textFill>
                    </w:rPr>
                    <w:t>3</w:t>
                  </w:r>
                  <w:r>
                    <w:rPr>
                      <w:rFonts w:hint="eastAsia" w:ascii="Times New Roman" w:hAnsi="Times New Roman" w:eastAsia="宋体" w:cs="Times New Roman"/>
                      <w:color w:val="000000" w:themeColor="text1"/>
                      <w:highlight w:val="none"/>
                      <w:lang w:eastAsia="zh-CN"/>
                      <w14:textFill>
                        <w14:solidFill>
                          <w14:schemeClr w14:val="tx1"/>
                        </w14:solidFill>
                      </w14:textFill>
                    </w:rPr>
                    <w:t>个分区</w:t>
                  </w:r>
                  <w:r>
                    <w:rPr>
                      <w:rFonts w:hint="eastAsia" w:ascii="Times New Roman" w:hAnsi="Times New Roman" w:eastAsia="宋体" w:cs="Times New Roman"/>
                      <w:color w:val="000000" w:themeColor="text1"/>
                      <w:highlight w:val="none"/>
                      <w14:textFill>
                        <w14:solidFill>
                          <w14:schemeClr w14:val="tx1"/>
                        </w14:solidFill>
                      </w14:textFill>
                    </w:rPr>
                    <w:t>，采用隔墙进行隔离，不露天堆放。</w:t>
                  </w:r>
                </w:p>
              </w:tc>
              <w:tc>
                <w:tcPr>
                  <w:tcW w:w="564" w:type="dxa"/>
                  <w:noWrap w:val="0"/>
                  <w:vAlign w:val="center"/>
                </w:tcPr>
                <w:p w14:paraId="641136C7">
                  <w:pPr>
                    <w:spacing w:line="240" w:lineRule="auto"/>
                    <w:ind w:firstLine="0" w:firstLineChars="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符合</w:t>
                  </w:r>
                </w:p>
              </w:tc>
            </w:tr>
            <w:tr w14:paraId="7AF4E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8" w:hRule="atLeast"/>
                <w:jc w:val="center"/>
              </w:trPr>
              <w:tc>
                <w:tcPr>
                  <w:tcW w:w="467" w:type="dxa"/>
                  <w:vMerge w:val="continue"/>
                  <w:noWrap w:val="0"/>
                  <w:vAlign w:val="center"/>
                </w:tcPr>
                <w:p w14:paraId="28882CB3">
                  <w:pPr>
                    <w:spacing w:line="240" w:lineRule="auto"/>
                    <w:ind w:firstLine="0" w:firstLineChars="0"/>
                    <w:rPr>
                      <w:color w:val="000000" w:themeColor="text1"/>
                      <w:highlight w:val="none"/>
                      <w14:textFill>
                        <w14:solidFill>
                          <w14:schemeClr w14:val="tx1"/>
                        </w14:solidFill>
                      </w14:textFill>
                    </w:rPr>
                  </w:pPr>
                </w:p>
              </w:tc>
              <w:tc>
                <w:tcPr>
                  <w:tcW w:w="428" w:type="dxa"/>
                  <w:vMerge w:val="continue"/>
                  <w:noWrap w:val="0"/>
                  <w:vAlign w:val="center"/>
                </w:tcPr>
                <w:p w14:paraId="270DAD48">
                  <w:pPr>
                    <w:spacing w:line="240" w:lineRule="auto"/>
                    <w:ind w:firstLine="0" w:firstLineChars="0"/>
                    <w:rPr>
                      <w:color w:val="000000" w:themeColor="text1"/>
                      <w:highlight w:val="none"/>
                      <w14:textFill>
                        <w14:solidFill>
                          <w14:schemeClr w14:val="tx1"/>
                        </w14:solidFill>
                      </w14:textFill>
                    </w:rPr>
                  </w:pPr>
                </w:p>
              </w:tc>
              <w:tc>
                <w:tcPr>
                  <w:tcW w:w="2191" w:type="dxa"/>
                  <w:noWrap w:val="0"/>
                  <w:vAlign w:val="center"/>
                </w:tcPr>
                <w:p w14:paraId="7CAD302D">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在贮存库内或通过贮存分区方式贮存液态危险废物的，应具有液体泄漏堵截设施，堵截设施最小容积不应低于对应贮存区域最大液态废物容器容积或液态废物总储</w:t>
                  </w:r>
                  <w:r>
                    <w:rPr>
                      <w:rFonts w:hint="eastAsia"/>
                      <w:color w:val="000000" w:themeColor="text1"/>
                      <w:highlight w:val="none"/>
                      <w:lang w:eastAsia="zh-CN"/>
                      <w14:textFill>
                        <w14:solidFill>
                          <w14:schemeClr w14:val="tx1"/>
                        </w14:solidFill>
                      </w14:textFill>
                    </w:rPr>
                    <w:t>量的</w:t>
                  </w:r>
                  <w:r>
                    <w:rPr>
                      <w:color w:val="000000" w:themeColor="text1"/>
                      <w:highlight w:val="none"/>
                      <w14:textFill>
                        <w14:solidFill>
                          <w14:schemeClr w14:val="tx1"/>
                        </w14:solidFill>
                      </w14:textFill>
                    </w:rPr>
                    <w:t>1/10</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二者取较大者</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；用于贮存可能产生渗滤液的危险废物的贮存库或贮存分区应设计渗滤液收集设施，收集设施容积应满足渗滤液的收集要求。</w:t>
                  </w:r>
                </w:p>
              </w:tc>
              <w:tc>
                <w:tcPr>
                  <w:tcW w:w="2889" w:type="dxa"/>
                  <w:noWrap w:val="0"/>
                  <w:vAlign w:val="center"/>
                </w:tcPr>
                <w:p w14:paraId="5D2E27A2">
                  <w:pPr>
                    <w:spacing w:line="240" w:lineRule="auto"/>
                    <w:ind w:firstLine="0" w:firstLineChars="0"/>
                    <w:rPr>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本项目暂存的</w:t>
                  </w:r>
                  <w:r>
                    <w:rPr>
                      <w:rFonts w:hint="eastAsia" w:cs="Times New Roman"/>
                      <w:color w:val="000000" w:themeColor="text1"/>
                      <w:highlight w:val="none"/>
                      <w:lang w:val="en-US" w:eastAsia="zh-CN"/>
                      <w14:textFill>
                        <w14:solidFill>
                          <w14:schemeClr w14:val="tx1"/>
                        </w14:solidFill>
                      </w14:textFill>
                    </w:rPr>
                    <w:t>废润滑油、废机油</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均为液态</w:t>
                  </w:r>
                  <w:r>
                    <w:rPr>
                      <w:rFonts w:hint="eastAsia" w:ascii="Times New Roman" w:hAnsi="Times New Roman" w:eastAsia="宋体" w:cs="Times New Roman"/>
                      <w:color w:val="000000" w:themeColor="text1"/>
                      <w:highlight w:val="none"/>
                      <w14:textFill>
                        <w14:solidFill>
                          <w14:schemeClr w14:val="tx1"/>
                        </w14:solidFill>
                      </w14:textFill>
                    </w:rPr>
                    <w:t>，正常情况贮存下，不产生渗滤液。</w:t>
                  </w:r>
                  <w:r>
                    <w:rPr>
                      <w:rFonts w:hint="eastAsia" w:cs="Times New Roman"/>
                      <w:color w:val="000000" w:themeColor="text1"/>
                      <w:highlight w:val="none"/>
                      <w:lang w:eastAsia="zh-CN"/>
                      <w14:textFill>
                        <w14:solidFill>
                          <w14:schemeClr w14:val="tx1"/>
                        </w14:solidFill>
                      </w14:textFill>
                    </w:rPr>
                    <w:t>废润滑油</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均使用密封桶桶装，故</w:t>
                  </w:r>
                  <w:r>
                    <w:rPr>
                      <w:rFonts w:hint="eastAsia"/>
                      <w:color w:val="000000" w:themeColor="text1"/>
                      <w:highlight w:val="none"/>
                      <w14:textFill>
                        <w14:solidFill>
                          <w14:schemeClr w14:val="tx1"/>
                        </w14:solidFill>
                      </w14:textFill>
                    </w:rPr>
                    <w:t>设置1个1m³的集液池</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大于</w:t>
                  </w:r>
                  <w:r>
                    <w:rPr>
                      <w:rFonts w:hint="eastAsia"/>
                      <w:color w:val="000000" w:themeColor="text1"/>
                      <w:highlight w:val="none"/>
                      <w:lang w:eastAsia="zh-CN"/>
                      <w14:textFill>
                        <w14:solidFill>
                          <w14:schemeClr w14:val="tx1"/>
                        </w14:solidFill>
                      </w14:textFill>
                    </w:rPr>
                    <w:t>对应贮存区域最大液态废物容器容积</w:t>
                  </w:r>
                  <w:r>
                    <w:rPr>
                      <w:rFonts w:hint="eastAsia"/>
                      <w:color w:val="000000" w:themeColor="text1"/>
                      <w:highlight w:val="none"/>
                      <w:lang w:val="en-US" w:eastAsia="zh-CN"/>
                      <w14:textFill>
                        <w14:solidFill>
                          <w14:schemeClr w14:val="tx1"/>
                        </w14:solidFill>
                      </w14:textFill>
                    </w:rPr>
                    <w:t>的1/10，</w:t>
                  </w:r>
                  <w:r>
                    <w:rPr>
                      <w:rFonts w:hint="eastAsia"/>
                      <w:color w:val="000000" w:themeColor="text1"/>
                      <w:highlight w:val="none"/>
                      <w14:textFill>
                        <w14:solidFill>
                          <w14:schemeClr w14:val="tx1"/>
                        </w14:solidFill>
                      </w14:textFill>
                    </w:rPr>
                    <w:t>可满足本项目非正常情况下</w:t>
                  </w:r>
                  <w:r>
                    <w:rPr>
                      <w:rFonts w:hint="eastAsia"/>
                      <w:color w:val="000000" w:themeColor="text1"/>
                      <w:highlight w:val="none"/>
                      <w:lang w:eastAsia="zh-CN"/>
                      <w14:textFill>
                        <w14:solidFill>
                          <w14:schemeClr w14:val="tx1"/>
                        </w14:solidFill>
                      </w14:textFill>
                    </w:rPr>
                    <w:t>泄漏</w:t>
                  </w:r>
                  <w:r>
                    <w:rPr>
                      <w:rFonts w:hint="eastAsia"/>
                      <w:color w:val="000000" w:themeColor="text1"/>
                      <w:highlight w:val="none"/>
                      <w14:textFill>
                        <w14:solidFill>
                          <w14:schemeClr w14:val="tx1"/>
                        </w14:solidFill>
                      </w14:textFill>
                    </w:rPr>
                    <w:t>的收集。</w:t>
                  </w:r>
                </w:p>
              </w:tc>
              <w:tc>
                <w:tcPr>
                  <w:tcW w:w="564" w:type="dxa"/>
                  <w:noWrap w:val="0"/>
                  <w:vAlign w:val="center"/>
                </w:tcPr>
                <w:p w14:paraId="2F81313D">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符合</w:t>
                  </w:r>
                </w:p>
              </w:tc>
            </w:tr>
            <w:tr w14:paraId="0DB70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7" w:type="dxa"/>
                  <w:vMerge w:val="continue"/>
                  <w:noWrap w:val="0"/>
                  <w:vAlign w:val="center"/>
                </w:tcPr>
                <w:p w14:paraId="0CFA7E8C">
                  <w:pPr>
                    <w:spacing w:line="240" w:lineRule="auto"/>
                    <w:ind w:firstLine="0" w:firstLineChars="0"/>
                    <w:rPr>
                      <w:color w:val="000000" w:themeColor="text1"/>
                      <w:highlight w:val="none"/>
                      <w14:textFill>
                        <w14:solidFill>
                          <w14:schemeClr w14:val="tx1"/>
                        </w14:solidFill>
                      </w14:textFill>
                    </w:rPr>
                  </w:pPr>
                </w:p>
              </w:tc>
              <w:tc>
                <w:tcPr>
                  <w:tcW w:w="428" w:type="dxa"/>
                  <w:vMerge w:val="continue"/>
                  <w:noWrap w:val="0"/>
                  <w:vAlign w:val="center"/>
                </w:tcPr>
                <w:p w14:paraId="25BDAFC2">
                  <w:pPr>
                    <w:spacing w:line="240" w:lineRule="auto"/>
                    <w:ind w:firstLine="0" w:firstLineChars="0"/>
                    <w:rPr>
                      <w:color w:val="000000" w:themeColor="text1"/>
                      <w:highlight w:val="none"/>
                      <w14:textFill>
                        <w14:solidFill>
                          <w14:schemeClr w14:val="tx1"/>
                        </w14:solidFill>
                      </w14:textFill>
                    </w:rPr>
                  </w:pPr>
                </w:p>
              </w:tc>
              <w:tc>
                <w:tcPr>
                  <w:tcW w:w="2191" w:type="dxa"/>
                  <w:noWrap w:val="0"/>
                  <w:vAlign w:val="center"/>
                </w:tcPr>
                <w:p w14:paraId="2A7CCEB8">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贮存易产生粉尘、VOCs、酸雾、有毒有害大气污染物和刺激性气味气体的危险废物贮存库，应设置气体收集装置和气体净化设施；气体净化设施的排气筒高度应符合GB16297要求。</w:t>
                  </w:r>
                </w:p>
              </w:tc>
              <w:tc>
                <w:tcPr>
                  <w:tcW w:w="2889" w:type="dxa"/>
                  <w:noWrap w:val="0"/>
                  <w:vAlign w:val="center"/>
                </w:tcPr>
                <w:p w14:paraId="5FD5A8E2">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本项目暂存的</w:t>
                  </w:r>
                  <w:r>
                    <w:rPr>
                      <w:rFonts w:hint="eastAsia"/>
                      <w:color w:val="000000" w:themeColor="text1"/>
                      <w:highlight w:val="none"/>
                      <w:lang w:val="en-US" w:eastAsia="zh-CN"/>
                      <w14:textFill>
                        <w14:solidFill>
                          <w14:schemeClr w14:val="tx1"/>
                        </w14:solidFill>
                      </w14:textFill>
                    </w:rPr>
                    <w:t>危险废物</w:t>
                  </w:r>
                  <w:r>
                    <w:rPr>
                      <w:color w:val="000000" w:themeColor="text1"/>
                      <w:highlight w:val="none"/>
                      <w14:textFill>
                        <w14:solidFill>
                          <w14:schemeClr w14:val="tx1"/>
                        </w14:solidFill>
                      </w14:textFill>
                    </w:rPr>
                    <w:t>全封闭贮存，废油桶加盖密封暂存，</w:t>
                  </w:r>
                  <w:r>
                    <w:rPr>
                      <w:rFonts w:hint="eastAsia"/>
                      <w:color w:val="000000" w:themeColor="text1"/>
                      <w:highlight w:val="none"/>
                      <w14:textFill>
                        <w14:solidFill>
                          <w14:schemeClr w14:val="tx1"/>
                        </w14:solidFill>
                      </w14:textFill>
                    </w:rPr>
                    <w:t>危险废物贮存过程中</w:t>
                  </w:r>
                  <w:r>
                    <w:rPr>
                      <w:rFonts w:hint="eastAsia"/>
                      <w:color w:val="000000" w:themeColor="text1"/>
                      <w:highlight w:val="none"/>
                      <w:lang w:val="en-US" w:eastAsia="zh-CN"/>
                      <w14:textFill>
                        <w14:solidFill>
                          <w14:schemeClr w14:val="tx1"/>
                        </w14:solidFill>
                      </w14:textFill>
                    </w:rPr>
                    <w:t>危险废物均密闭</w:t>
                  </w:r>
                  <w:r>
                    <w:rPr>
                      <w:color w:val="000000" w:themeColor="text1"/>
                      <w:highlight w:val="none"/>
                      <w14:textFill>
                        <w14:solidFill>
                          <w14:schemeClr w14:val="tx1"/>
                        </w14:solidFill>
                      </w14:textFill>
                    </w:rPr>
                    <w:t>，因此正常贮存过程中</w:t>
                  </w:r>
                  <w:r>
                    <w:rPr>
                      <w:rFonts w:hint="eastAsia"/>
                      <w:color w:val="000000" w:themeColor="text1"/>
                      <w:highlight w:val="none"/>
                      <w14:textFill>
                        <w14:solidFill>
                          <w14:schemeClr w14:val="tx1"/>
                        </w14:solidFill>
                      </w14:textFill>
                    </w:rPr>
                    <w:t>废气排</w:t>
                  </w:r>
                  <w:r>
                    <w:rPr>
                      <w:color w:val="000000" w:themeColor="text1"/>
                      <w:highlight w:val="none"/>
                      <w14:textFill>
                        <w14:solidFill>
                          <w14:schemeClr w14:val="tx1"/>
                        </w14:solidFill>
                      </w14:textFill>
                    </w:rPr>
                    <w:t>放量较少，对周围环境影响较小。</w:t>
                  </w:r>
                </w:p>
              </w:tc>
              <w:tc>
                <w:tcPr>
                  <w:tcW w:w="564" w:type="dxa"/>
                  <w:noWrap w:val="0"/>
                  <w:vAlign w:val="center"/>
                </w:tcPr>
                <w:p w14:paraId="42654C73">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符合</w:t>
                  </w:r>
                </w:p>
              </w:tc>
            </w:tr>
            <w:tr w14:paraId="73B61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467" w:type="dxa"/>
                  <w:vMerge w:val="restart"/>
                  <w:noWrap w:val="0"/>
                  <w:vAlign w:val="center"/>
                </w:tcPr>
                <w:p w14:paraId="78F424CD">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容器和包装物污染控制要求</w:t>
                  </w:r>
                </w:p>
              </w:tc>
              <w:tc>
                <w:tcPr>
                  <w:tcW w:w="2619" w:type="dxa"/>
                  <w:gridSpan w:val="2"/>
                  <w:noWrap w:val="0"/>
                  <w:vAlign w:val="center"/>
                </w:tcPr>
                <w:p w14:paraId="332255AE">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容器和包装物材质、内衬应与盛装的危险废物相容。</w:t>
                  </w:r>
                </w:p>
              </w:tc>
              <w:tc>
                <w:tcPr>
                  <w:tcW w:w="2889" w:type="dxa"/>
                  <w:vMerge w:val="restart"/>
                  <w:noWrap w:val="0"/>
                  <w:vAlign w:val="center"/>
                </w:tcPr>
                <w:p w14:paraId="08FC8D6C">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装入</w:t>
                  </w:r>
                  <w:r>
                    <w:rPr>
                      <w:rFonts w:hint="eastAsia"/>
                      <w:color w:val="000000" w:themeColor="text1"/>
                      <w:highlight w:val="none"/>
                      <w14:textFill>
                        <w14:solidFill>
                          <w14:schemeClr w14:val="tx1"/>
                        </w14:solidFill>
                      </w14:textFill>
                    </w:rPr>
                    <w:t>密封桶</w:t>
                  </w:r>
                  <w:r>
                    <w:rPr>
                      <w:color w:val="000000" w:themeColor="text1"/>
                      <w:highlight w:val="none"/>
                      <w14:textFill>
                        <w14:solidFill>
                          <w14:schemeClr w14:val="tx1"/>
                        </w14:solidFill>
                      </w14:textFill>
                    </w:rPr>
                    <w:t>内，加盖储存；本项目容器和包装物材质、内衬均与盛装的危险废物相容</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容器具有较强的强度，具有防渗、防漏、防腐作用，满足危险废物盛装要求。</w:t>
                  </w:r>
                </w:p>
              </w:tc>
              <w:tc>
                <w:tcPr>
                  <w:tcW w:w="564" w:type="dxa"/>
                  <w:noWrap w:val="0"/>
                  <w:vAlign w:val="center"/>
                </w:tcPr>
                <w:p w14:paraId="047FF35C">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符合</w:t>
                  </w:r>
                </w:p>
              </w:tc>
            </w:tr>
            <w:tr w14:paraId="2BCA2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7" w:type="dxa"/>
                  <w:vMerge w:val="continue"/>
                  <w:noWrap w:val="0"/>
                  <w:vAlign w:val="center"/>
                </w:tcPr>
                <w:p w14:paraId="7A801929">
                  <w:pPr>
                    <w:spacing w:line="240" w:lineRule="auto"/>
                    <w:ind w:firstLine="0" w:firstLineChars="0"/>
                    <w:rPr>
                      <w:color w:val="000000" w:themeColor="text1"/>
                      <w:highlight w:val="none"/>
                      <w14:textFill>
                        <w14:solidFill>
                          <w14:schemeClr w14:val="tx1"/>
                        </w14:solidFill>
                      </w14:textFill>
                    </w:rPr>
                  </w:pPr>
                </w:p>
              </w:tc>
              <w:tc>
                <w:tcPr>
                  <w:tcW w:w="2619" w:type="dxa"/>
                  <w:gridSpan w:val="2"/>
                  <w:noWrap w:val="0"/>
                  <w:vAlign w:val="center"/>
                </w:tcPr>
                <w:p w14:paraId="55D7DF5E">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针对不同类别、形态、物理化学性质的危险废物，其容器和包装物应满足相应的防渗、防漏、防腐和强度等要求。</w:t>
                  </w:r>
                </w:p>
              </w:tc>
              <w:tc>
                <w:tcPr>
                  <w:tcW w:w="2889" w:type="dxa"/>
                  <w:vMerge w:val="continue"/>
                  <w:noWrap w:val="0"/>
                  <w:vAlign w:val="center"/>
                </w:tcPr>
                <w:p w14:paraId="03202070">
                  <w:pPr>
                    <w:spacing w:line="240" w:lineRule="auto"/>
                    <w:ind w:firstLine="0" w:firstLineChars="0"/>
                    <w:rPr>
                      <w:color w:val="000000" w:themeColor="text1"/>
                      <w:highlight w:val="none"/>
                      <w14:textFill>
                        <w14:solidFill>
                          <w14:schemeClr w14:val="tx1"/>
                        </w14:solidFill>
                      </w14:textFill>
                    </w:rPr>
                  </w:pPr>
                </w:p>
              </w:tc>
              <w:tc>
                <w:tcPr>
                  <w:tcW w:w="564" w:type="dxa"/>
                  <w:noWrap w:val="0"/>
                  <w:vAlign w:val="center"/>
                </w:tcPr>
                <w:p w14:paraId="2ACCF4E0">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符合</w:t>
                  </w:r>
                </w:p>
              </w:tc>
            </w:tr>
            <w:tr w14:paraId="233F5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7" w:type="dxa"/>
                  <w:vMerge w:val="continue"/>
                  <w:noWrap w:val="0"/>
                  <w:vAlign w:val="center"/>
                </w:tcPr>
                <w:p w14:paraId="43106289">
                  <w:pPr>
                    <w:spacing w:line="240" w:lineRule="auto"/>
                    <w:ind w:firstLine="0" w:firstLineChars="0"/>
                    <w:rPr>
                      <w:color w:val="000000" w:themeColor="text1"/>
                      <w:highlight w:val="none"/>
                      <w14:textFill>
                        <w14:solidFill>
                          <w14:schemeClr w14:val="tx1"/>
                        </w14:solidFill>
                      </w14:textFill>
                    </w:rPr>
                  </w:pPr>
                </w:p>
              </w:tc>
              <w:tc>
                <w:tcPr>
                  <w:tcW w:w="2619" w:type="dxa"/>
                  <w:gridSpan w:val="2"/>
                  <w:noWrap w:val="0"/>
                  <w:vAlign w:val="center"/>
                </w:tcPr>
                <w:p w14:paraId="3C65BAEF">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硬质容器和包装物及其支护结构堆叠码放时不应有明显变形，无破损泄漏。</w:t>
                  </w:r>
                </w:p>
              </w:tc>
              <w:tc>
                <w:tcPr>
                  <w:tcW w:w="2889" w:type="dxa"/>
                  <w:noWrap w:val="0"/>
                  <w:vAlign w:val="center"/>
                </w:tcPr>
                <w:p w14:paraId="674CEB26">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w:t>
                  </w:r>
                  <w:r>
                    <w:rPr>
                      <w:rFonts w:hint="eastAsia"/>
                      <w:color w:val="000000" w:themeColor="text1"/>
                      <w:highlight w:val="none"/>
                      <w14:textFill>
                        <w14:solidFill>
                          <w14:schemeClr w14:val="tx1"/>
                        </w14:solidFill>
                      </w14:textFill>
                    </w:rPr>
                    <w:t>密封桶</w:t>
                  </w:r>
                  <w:r>
                    <w:rPr>
                      <w:color w:val="000000" w:themeColor="text1"/>
                      <w:highlight w:val="none"/>
                      <w14:textFill>
                        <w14:solidFill>
                          <w14:schemeClr w14:val="tx1"/>
                        </w14:solidFill>
                      </w14:textFill>
                    </w:rPr>
                    <w:t>均单独摆放，不会有明显变形或破损泄漏。</w:t>
                  </w:r>
                </w:p>
              </w:tc>
              <w:tc>
                <w:tcPr>
                  <w:tcW w:w="564" w:type="dxa"/>
                  <w:noWrap w:val="0"/>
                  <w:vAlign w:val="center"/>
                </w:tcPr>
                <w:p w14:paraId="0FAAA1CB">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符合</w:t>
                  </w:r>
                </w:p>
              </w:tc>
            </w:tr>
            <w:tr w14:paraId="0C3ED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7" w:type="dxa"/>
                  <w:vMerge w:val="continue"/>
                  <w:noWrap w:val="0"/>
                  <w:vAlign w:val="center"/>
                </w:tcPr>
                <w:p w14:paraId="39810543">
                  <w:pPr>
                    <w:spacing w:line="240" w:lineRule="auto"/>
                    <w:ind w:firstLine="0" w:firstLineChars="0"/>
                    <w:rPr>
                      <w:color w:val="000000" w:themeColor="text1"/>
                      <w:highlight w:val="none"/>
                      <w14:textFill>
                        <w14:solidFill>
                          <w14:schemeClr w14:val="tx1"/>
                        </w14:solidFill>
                      </w14:textFill>
                    </w:rPr>
                  </w:pPr>
                </w:p>
              </w:tc>
              <w:tc>
                <w:tcPr>
                  <w:tcW w:w="2619" w:type="dxa"/>
                  <w:gridSpan w:val="2"/>
                  <w:noWrap w:val="0"/>
                  <w:vAlign w:val="center"/>
                </w:tcPr>
                <w:p w14:paraId="2C5D07AC">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使用容器盛装液态、</w:t>
                  </w:r>
                  <w:r>
                    <w:rPr>
                      <w:rFonts w:hint="eastAsia"/>
                      <w:color w:val="000000" w:themeColor="text1"/>
                      <w:highlight w:val="none"/>
                      <w:lang w:eastAsia="zh-CN"/>
                      <w14:textFill>
                        <w14:solidFill>
                          <w14:schemeClr w14:val="tx1"/>
                        </w14:solidFill>
                      </w14:textFill>
                    </w:rPr>
                    <w:t>液态</w:t>
                  </w:r>
                  <w:r>
                    <w:rPr>
                      <w:color w:val="000000" w:themeColor="text1"/>
                      <w:highlight w:val="none"/>
                      <w14:textFill>
                        <w14:solidFill>
                          <w14:schemeClr w14:val="tx1"/>
                        </w14:solidFill>
                      </w14:textFill>
                    </w:rPr>
                    <w:t>危险废物时，容器内部应留有适当的空间，以适应因温度变化等可能引发的收缩和膨胀，防止其导致容器渗漏或永久变形。</w:t>
                  </w:r>
                </w:p>
              </w:tc>
              <w:tc>
                <w:tcPr>
                  <w:tcW w:w="2889" w:type="dxa"/>
                  <w:noWrap w:val="0"/>
                  <w:vAlign w:val="center"/>
                </w:tcPr>
                <w:p w14:paraId="12E9FA12">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本项目贮存库运营期</w:t>
                  </w:r>
                  <w:r>
                    <w:rPr>
                      <w:rFonts w:hint="eastAsia"/>
                      <w:color w:val="000000" w:themeColor="text1"/>
                      <w:highlight w:val="none"/>
                      <w:lang w:eastAsia="zh-CN"/>
                      <w14:textFill>
                        <w14:solidFill>
                          <w14:schemeClr w14:val="tx1"/>
                        </w14:solidFill>
                      </w14:textFill>
                    </w:rPr>
                    <w:t>废润滑油、</w:t>
                  </w:r>
                  <w:r>
                    <w:rPr>
                      <w:rFonts w:hint="eastAsia"/>
                      <w:color w:val="000000" w:themeColor="text1"/>
                      <w:highlight w:val="none"/>
                      <w:lang w:val="en-US" w:eastAsia="zh-CN"/>
                      <w14:textFill>
                        <w14:solidFill>
                          <w14:schemeClr w14:val="tx1"/>
                        </w14:solidFill>
                      </w14:textFill>
                    </w:rPr>
                    <w:t>废机油、</w:t>
                  </w:r>
                  <w:r>
                    <w:rPr>
                      <w:rFonts w:hint="eastAsia"/>
                      <w:color w:val="000000" w:themeColor="text1"/>
                      <w:lang w:val="en-US" w:eastAsia="zh-CN"/>
                      <w14:textFill>
                        <w14:solidFill>
                          <w14:schemeClr w14:val="tx1"/>
                        </w14:solidFill>
                      </w14:textFill>
                    </w:rPr>
                    <w:t>含油废抹布、废手套</w:t>
                  </w:r>
                  <w:r>
                    <w:rPr>
                      <w:color w:val="000000" w:themeColor="text1"/>
                      <w:highlight w:val="none"/>
                      <w14:textFill>
                        <w14:solidFill>
                          <w14:schemeClr w14:val="tx1"/>
                        </w14:solidFill>
                      </w14:textFill>
                    </w:rPr>
                    <w:t>全封闭贮存于</w:t>
                  </w:r>
                  <w:r>
                    <w:rPr>
                      <w:rFonts w:hint="eastAsia"/>
                      <w:color w:val="000000" w:themeColor="text1"/>
                      <w:highlight w:val="none"/>
                      <w14:textFill>
                        <w14:solidFill>
                          <w14:schemeClr w14:val="tx1"/>
                        </w14:solidFill>
                      </w14:textFill>
                    </w:rPr>
                    <w:t>密封桶</w:t>
                  </w:r>
                  <w:r>
                    <w:rPr>
                      <w:color w:val="000000" w:themeColor="text1"/>
                      <w:highlight w:val="none"/>
                      <w14:textFill>
                        <w14:solidFill>
                          <w14:schemeClr w14:val="tx1"/>
                        </w14:solidFill>
                      </w14:textFill>
                    </w:rPr>
                    <w:t>内，废油桶加盖密封暂存，</w:t>
                  </w:r>
                  <w:r>
                    <w:rPr>
                      <w:rFonts w:hint="eastAsia"/>
                      <w:color w:val="000000" w:themeColor="text1"/>
                      <w:highlight w:val="none"/>
                      <w14:textFill>
                        <w14:solidFill>
                          <w14:schemeClr w14:val="tx1"/>
                        </w14:solidFill>
                      </w14:textFill>
                    </w:rPr>
                    <w:t>密封桶</w:t>
                  </w:r>
                  <w:r>
                    <w:rPr>
                      <w:color w:val="000000" w:themeColor="text1"/>
                      <w:highlight w:val="none"/>
                      <w14:textFill>
                        <w14:solidFill>
                          <w14:schemeClr w14:val="tx1"/>
                        </w14:solidFill>
                      </w14:textFill>
                    </w:rPr>
                    <w:t>顶部预留一定空间，以适应因温度变化等可能引发的收缩和膨胀，防止其导致容器渗漏或永久变形。</w:t>
                  </w:r>
                </w:p>
              </w:tc>
              <w:tc>
                <w:tcPr>
                  <w:tcW w:w="564" w:type="dxa"/>
                  <w:noWrap w:val="0"/>
                  <w:vAlign w:val="center"/>
                </w:tcPr>
                <w:p w14:paraId="61892A5F">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符合</w:t>
                  </w:r>
                </w:p>
              </w:tc>
            </w:tr>
            <w:tr w14:paraId="4460C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467" w:type="dxa"/>
                  <w:vMerge w:val="continue"/>
                  <w:noWrap w:val="0"/>
                  <w:vAlign w:val="center"/>
                </w:tcPr>
                <w:p w14:paraId="1BEAAE60">
                  <w:pPr>
                    <w:spacing w:line="240" w:lineRule="auto"/>
                    <w:ind w:firstLine="0" w:firstLineChars="0"/>
                    <w:rPr>
                      <w:color w:val="000000" w:themeColor="text1"/>
                      <w:highlight w:val="none"/>
                      <w14:textFill>
                        <w14:solidFill>
                          <w14:schemeClr w14:val="tx1"/>
                        </w14:solidFill>
                      </w14:textFill>
                    </w:rPr>
                  </w:pPr>
                </w:p>
              </w:tc>
              <w:tc>
                <w:tcPr>
                  <w:tcW w:w="2619" w:type="dxa"/>
                  <w:gridSpan w:val="2"/>
                  <w:noWrap w:val="0"/>
                  <w:vAlign w:val="center"/>
                </w:tcPr>
                <w:p w14:paraId="2077DE1F">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容器和包装物外表面应保持清洁。</w:t>
                  </w:r>
                </w:p>
              </w:tc>
              <w:tc>
                <w:tcPr>
                  <w:tcW w:w="2889" w:type="dxa"/>
                  <w:noWrap w:val="0"/>
                  <w:vAlign w:val="center"/>
                </w:tcPr>
                <w:p w14:paraId="7F52A93B">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本项目危险废物贮存库运营期</w:t>
                  </w:r>
                  <w:r>
                    <w:rPr>
                      <w:rFonts w:hint="eastAsia"/>
                      <w:color w:val="000000" w:themeColor="text1"/>
                      <w:highlight w:val="none"/>
                      <w:lang w:val="en-US" w:eastAsia="zh-CN"/>
                      <w14:textFill>
                        <w14:solidFill>
                          <w14:schemeClr w14:val="tx1"/>
                        </w14:solidFill>
                      </w14:textFill>
                    </w:rPr>
                    <w:t>应</w:t>
                  </w:r>
                  <w:r>
                    <w:rPr>
                      <w:rFonts w:hint="eastAsia"/>
                      <w:color w:val="000000" w:themeColor="text1"/>
                      <w:highlight w:val="none"/>
                      <w14:textFill>
                        <w14:solidFill>
                          <w14:schemeClr w14:val="tx1"/>
                        </w14:solidFill>
                      </w14:textFill>
                    </w:rPr>
                    <w:t>保持容器的清洁</w:t>
                  </w:r>
                  <w:r>
                    <w:rPr>
                      <w:color w:val="000000" w:themeColor="text1"/>
                      <w:highlight w:val="none"/>
                      <w14:textFill>
                        <w14:solidFill>
                          <w14:schemeClr w14:val="tx1"/>
                        </w14:solidFill>
                      </w14:textFill>
                    </w:rPr>
                    <w:t>。</w:t>
                  </w:r>
                </w:p>
              </w:tc>
              <w:tc>
                <w:tcPr>
                  <w:tcW w:w="564" w:type="dxa"/>
                  <w:noWrap w:val="0"/>
                  <w:vAlign w:val="center"/>
                </w:tcPr>
                <w:p w14:paraId="61BBC893">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符合</w:t>
                  </w:r>
                </w:p>
              </w:tc>
            </w:tr>
            <w:tr w14:paraId="66B8D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7" w:type="dxa"/>
                  <w:vMerge w:val="restart"/>
                  <w:noWrap w:val="0"/>
                  <w:vAlign w:val="center"/>
                </w:tcPr>
                <w:p w14:paraId="429ACF04">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贮存过程污染控制要求</w:t>
                  </w:r>
                </w:p>
              </w:tc>
              <w:tc>
                <w:tcPr>
                  <w:tcW w:w="428" w:type="dxa"/>
                  <w:vMerge w:val="restart"/>
                  <w:noWrap w:val="0"/>
                  <w:vAlign w:val="center"/>
                </w:tcPr>
                <w:p w14:paraId="0C63CC31">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一</w:t>
                  </w:r>
                </w:p>
                <w:p w14:paraId="0382379F">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般</w:t>
                  </w:r>
                </w:p>
                <w:p w14:paraId="6F2F53F7">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规</w:t>
                  </w:r>
                </w:p>
                <w:p w14:paraId="03F243D3">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定</w:t>
                  </w:r>
                </w:p>
              </w:tc>
              <w:tc>
                <w:tcPr>
                  <w:tcW w:w="2191" w:type="dxa"/>
                  <w:noWrap w:val="0"/>
                  <w:vAlign w:val="center"/>
                </w:tcPr>
                <w:p w14:paraId="10047C67">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在常温常压下不易水解、不易挥发的固态危险废物可分类堆放贮存，其他固态危险废物应装入容器或包装物内贮存。</w:t>
                  </w:r>
                </w:p>
              </w:tc>
              <w:tc>
                <w:tcPr>
                  <w:tcW w:w="2889" w:type="dxa"/>
                  <w:noWrap w:val="0"/>
                  <w:vAlign w:val="center"/>
                </w:tcPr>
                <w:p w14:paraId="18813CB6">
                  <w:pPr>
                    <w:spacing w:line="240" w:lineRule="auto"/>
                    <w:ind w:firstLine="0" w:firstLineChars="0"/>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废润滑油、</w:t>
                  </w:r>
                  <w:r>
                    <w:rPr>
                      <w:rFonts w:hint="eastAsia"/>
                      <w:color w:val="000000" w:themeColor="text1"/>
                      <w:highlight w:val="none"/>
                      <w:lang w:val="en-US" w:eastAsia="zh-CN"/>
                      <w14:textFill>
                        <w14:solidFill>
                          <w14:schemeClr w14:val="tx1"/>
                        </w14:solidFill>
                      </w14:textFill>
                    </w:rPr>
                    <w:t>废机油、</w:t>
                  </w:r>
                  <w:r>
                    <w:rPr>
                      <w:rFonts w:hint="eastAsia"/>
                      <w:color w:val="000000" w:themeColor="text1"/>
                      <w:lang w:val="en-US" w:eastAsia="zh-CN"/>
                      <w14:textFill>
                        <w14:solidFill>
                          <w14:schemeClr w14:val="tx1"/>
                        </w14:solidFill>
                      </w14:textFill>
                    </w:rPr>
                    <w:t>含油废抹布、废手套</w:t>
                  </w:r>
                  <w:r>
                    <w:rPr>
                      <w:color w:val="000000" w:themeColor="text1"/>
                      <w:highlight w:val="none"/>
                      <w14:textFill>
                        <w14:solidFill>
                          <w14:schemeClr w14:val="tx1"/>
                        </w14:solidFill>
                      </w14:textFill>
                    </w:rPr>
                    <w:t>全封闭贮存于</w:t>
                  </w:r>
                  <w:r>
                    <w:rPr>
                      <w:rFonts w:hint="eastAsia"/>
                      <w:color w:val="000000" w:themeColor="text1"/>
                      <w:highlight w:val="none"/>
                      <w14:textFill>
                        <w14:solidFill>
                          <w14:schemeClr w14:val="tx1"/>
                        </w14:solidFill>
                      </w14:textFill>
                    </w:rPr>
                    <w:t>密封桶</w:t>
                  </w:r>
                  <w:r>
                    <w:rPr>
                      <w:color w:val="000000" w:themeColor="text1"/>
                      <w:highlight w:val="none"/>
                      <w14:textFill>
                        <w14:solidFill>
                          <w14:schemeClr w14:val="tx1"/>
                        </w14:solidFill>
                      </w14:textFill>
                    </w:rPr>
                    <w:t>内，废油桶加盖密封暂存，不进行倒灌、分装等，因此正常贮存过程中</w:t>
                  </w:r>
                  <w:r>
                    <w:rPr>
                      <w:rFonts w:hint="eastAsia"/>
                      <w:color w:val="000000" w:themeColor="text1"/>
                      <w:highlight w:val="none"/>
                      <w14:textFill>
                        <w14:solidFill>
                          <w14:schemeClr w14:val="tx1"/>
                        </w14:solidFill>
                      </w14:textFill>
                    </w:rPr>
                    <w:t>废气</w:t>
                  </w:r>
                  <w:r>
                    <w:rPr>
                      <w:color w:val="000000" w:themeColor="text1"/>
                      <w:highlight w:val="none"/>
                      <w14:textFill>
                        <w14:solidFill>
                          <w14:schemeClr w14:val="tx1"/>
                        </w14:solidFill>
                      </w14:textFill>
                    </w:rPr>
                    <w:t>排放量较少，对周围环境影响较小。</w:t>
                  </w:r>
                  <w:r>
                    <w:rPr>
                      <w:rFonts w:hint="eastAsia"/>
                      <w:color w:val="000000" w:themeColor="text1"/>
                      <w:highlight w:val="none"/>
                      <w14:textFill>
                        <w14:solidFill>
                          <w14:schemeClr w14:val="tx1"/>
                        </w14:solidFill>
                      </w14:textFill>
                    </w:rPr>
                    <w:t>分区暂存于危险废物贮存库内</w:t>
                  </w:r>
                  <w:r>
                    <w:rPr>
                      <w:color w:val="000000" w:themeColor="text1"/>
                      <w:highlight w:val="none"/>
                      <w14:textFill>
                        <w14:solidFill>
                          <w14:schemeClr w14:val="tx1"/>
                        </w14:solidFill>
                      </w14:textFill>
                    </w:rPr>
                    <w:t>，不露天堆放。</w:t>
                  </w:r>
                </w:p>
              </w:tc>
              <w:tc>
                <w:tcPr>
                  <w:tcW w:w="564" w:type="dxa"/>
                  <w:noWrap w:val="0"/>
                  <w:vAlign w:val="center"/>
                </w:tcPr>
                <w:p w14:paraId="73907AEE">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符合</w:t>
                  </w:r>
                </w:p>
              </w:tc>
            </w:tr>
            <w:tr w14:paraId="43036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8" w:hRule="atLeast"/>
                <w:jc w:val="center"/>
              </w:trPr>
              <w:tc>
                <w:tcPr>
                  <w:tcW w:w="467" w:type="dxa"/>
                  <w:vMerge w:val="continue"/>
                  <w:noWrap w:val="0"/>
                  <w:vAlign w:val="center"/>
                </w:tcPr>
                <w:p w14:paraId="56FC6F59">
                  <w:pPr>
                    <w:spacing w:line="240" w:lineRule="auto"/>
                    <w:ind w:firstLine="0" w:firstLineChars="0"/>
                    <w:rPr>
                      <w:color w:val="000000" w:themeColor="text1"/>
                      <w:highlight w:val="none"/>
                      <w14:textFill>
                        <w14:solidFill>
                          <w14:schemeClr w14:val="tx1"/>
                        </w14:solidFill>
                      </w14:textFill>
                    </w:rPr>
                  </w:pPr>
                </w:p>
              </w:tc>
              <w:tc>
                <w:tcPr>
                  <w:tcW w:w="428" w:type="dxa"/>
                  <w:vMerge w:val="continue"/>
                  <w:noWrap w:val="0"/>
                  <w:vAlign w:val="center"/>
                </w:tcPr>
                <w:p w14:paraId="635FEA1C">
                  <w:pPr>
                    <w:spacing w:line="240" w:lineRule="auto"/>
                    <w:ind w:firstLine="0" w:firstLineChars="0"/>
                    <w:rPr>
                      <w:color w:val="000000" w:themeColor="text1"/>
                      <w:highlight w:val="none"/>
                      <w14:textFill>
                        <w14:solidFill>
                          <w14:schemeClr w14:val="tx1"/>
                        </w14:solidFill>
                      </w14:textFill>
                    </w:rPr>
                  </w:pPr>
                </w:p>
              </w:tc>
              <w:tc>
                <w:tcPr>
                  <w:tcW w:w="2191" w:type="dxa"/>
                  <w:noWrap w:val="0"/>
                  <w:vAlign w:val="center"/>
                </w:tcPr>
                <w:p w14:paraId="7A15EE4E">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液态危险废物应装入容器内贮存，或直接采用贮存池、贮存罐区贮存。</w:t>
                  </w:r>
                </w:p>
              </w:tc>
              <w:tc>
                <w:tcPr>
                  <w:tcW w:w="2889" w:type="dxa"/>
                  <w:noWrap w:val="0"/>
                  <w:vAlign w:val="center"/>
                </w:tcPr>
                <w:p w14:paraId="78A36438">
                  <w:pPr>
                    <w:spacing w:line="240" w:lineRule="auto"/>
                    <w:ind w:firstLine="0" w:firstLineChars="0"/>
                    <w:rPr>
                      <w:rFonts w:hint="default" w:eastAsia="宋体"/>
                      <w:color w:val="000000" w:themeColor="text1"/>
                      <w:highlight w:val="none"/>
                      <w:lang w:val="en-US" w:eastAsia="zh-CN"/>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液态</w:t>
                  </w:r>
                  <w:r>
                    <w:rPr>
                      <w:rFonts w:hint="eastAsia"/>
                      <w:color w:val="000000" w:themeColor="text1"/>
                      <w:highlight w:val="none"/>
                      <w:lang w:eastAsia="zh-CN"/>
                      <w14:textFill>
                        <w14:solidFill>
                          <w14:schemeClr w14:val="tx1"/>
                        </w14:solidFill>
                      </w14:textFill>
                    </w:rPr>
                    <w:t>废润滑油、</w:t>
                  </w:r>
                  <w:r>
                    <w:rPr>
                      <w:rFonts w:hint="eastAsia"/>
                      <w:color w:val="000000" w:themeColor="text1"/>
                      <w:highlight w:val="none"/>
                      <w:lang w:val="en-US" w:eastAsia="zh-CN"/>
                      <w14:textFill>
                        <w14:solidFill>
                          <w14:schemeClr w14:val="tx1"/>
                        </w14:solidFill>
                      </w14:textFill>
                    </w:rPr>
                    <w:t>废机油、</w:t>
                  </w:r>
                  <w:r>
                    <w:rPr>
                      <w:rFonts w:hint="eastAsia"/>
                      <w:color w:val="000000" w:themeColor="text1"/>
                      <w:lang w:val="en-US" w:eastAsia="zh-CN"/>
                      <w14:textFill>
                        <w14:solidFill>
                          <w14:schemeClr w14:val="tx1"/>
                        </w14:solidFill>
                      </w14:textFill>
                    </w:rPr>
                    <w:t>含油废抹布、废手套</w:t>
                  </w:r>
                  <w:r>
                    <w:rPr>
                      <w:rFonts w:hint="eastAsia" w:ascii="Times New Roman" w:hAnsi="Times New Roman" w:eastAsia="宋体" w:cs="Times New Roman"/>
                      <w:color w:val="000000" w:themeColor="text1"/>
                      <w:highlight w:val="none"/>
                      <w14:textFill>
                        <w14:solidFill>
                          <w14:schemeClr w14:val="tx1"/>
                        </w14:solidFill>
                      </w14:textFill>
                    </w:rPr>
                    <w:t>全封闭贮存于密封桶内</w:t>
                  </w:r>
                  <w:r>
                    <w:rPr>
                      <w:rFonts w:hint="eastAsia" w:ascii="Times New Roman" w:hAnsi="Times New Roman" w:eastAsia="宋体" w:cs="Times New Roman"/>
                      <w:color w:val="000000" w:themeColor="text1"/>
                      <w:highlight w:val="none"/>
                      <w:lang w:eastAsia="zh-CN"/>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废油桶加盖密封，</w:t>
                  </w:r>
                  <w:r>
                    <w:rPr>
                      <w:rFonts w:hint="eastAsia" w:ascii="Times New Roman" w:hAnsi="Times New Roman" w:eastAsia="宋体" w:cs="Times New Roman"/>
                      <w:color w:val="000000" w:themeColor="text1"/>
                      <w:highlight w:val="none"/>
                      <w:lang w:val="en-US" w:eastAsia="zh-CN"/>
                      <w14:textFill>
                        <w14:solidFill>
                          <w14:schemeClr w14:val="tx1"/>
                        </w14:solidFill>
                      </w14:textFill>
                    </w:rPr>
                    <w:t>不乱堆乱放。</w:t>
                  </w:r>
                </w:p>
              </w:tc>
              <w:tc>
                <w:tcPr>
                  <w:tcW w:w="564" w:type="dxa"/>
                  <w:noWrap w:val="0"/>
                  <w:vAlign w:val="center"/>
                </w:tcPr>
                <w:p w14:paraId="51DD2804">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符合</w:t>
                  </w:r>
                </w:p>
              </w:tc>
            </w:tr>
            <w:tr w14:paraId="20CBC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467" w:type="dxa"/>
                  <w:vMerge w:val="continue"/>
                  <w:noWrap w:val="0"/>
                  <w:vAlign w:val="center"/>
                </w:tcPr>
                <w:p w14:paraId="673A5B4A">
                  <w:pPr>
                    <w:spacing w:line="240" w:lineRule="auto"/>
                    <w:ind w:firstLine="0" w:firstLineChars="0"/>
                    <w:rPr>
                      <w:color w:val="000000" w:themeColor="text1"/>
                      <w:highlight w:val="none"/>
                      <w14:textFill>
                        <w14:solidFill>
                          <w14:schemeClr w14:val="tx1"/>
                        </w14:solidFill>
                      </w14:textFill>
                    </w:rPr>
                  </w:pPr>
                </w:p>
              </w:tc>
              <w:tc>
                <w:tcPr>
                  <w:tcW w:w="428" w:type="dxa"/>
                  <w:vMerge w:val="continue"/>
                  <w:noWrap w:val="0"/>
                  <w:vAlign w:val="center"/>
                </w:tcPr>
                <w:p w14:paraId="692D2135">
                  <w:pPr>
                    <w:spacing w:line="240" w:lineRule="auto"/>
                    <w:ind w:firstLine="0" w:firstLineChars="0"/>
                    <w:rPr>
                      <w:color w:val="000000" w:themeColor="text1"/>
                      <w:highlight w:val="none"/>
                      <w14:textFill>
                        <w14:solidFill>
                          <w14:schemeClr w14:val="tx1"/>
                        </w14:solidFill>
                      </w14:textFill>
                    </w:rPr>
                  </w:pPr>
                </w:p>
              </w:tc>
              <w:tc>
                <w:tcPr>
                  <w:tcW w:w="2191" w:type="dxa"/>
                  <w:noWrap w:val="0"/>
                  <w:vAlign w:val="center"/>
                </w:tcPr>
                <w:p w14:paraId="6BA9A756">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易产生粉尘、VOCs、酸雾、有毒有害大气污染物和刺激性气味气体的危险废物应装入闭口容器或包装物内贮存。</w:t>
                  </w:r>
                </w:p>
              </w:tc>
              <w:tc>
                <w:tcPr>
                  <w:tcW w:w="2889" w:type="dxa"/>
                  <w:noWrap w:val="0"/>
                  <w:vAlign w:val="center"/>
                </w:tcPr>
                <w:p w14:paraId="0E5C592E">
                  <w:pPr>
                    <w:spacing w:line="240" w:lineRule="auto"/>
                    <w:ind w:firstLine="0" w:firstLineChars="0"/>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鄂尔多斯市宇驰顺捷汽车销售服务有限公司</w:t>
                  </w:r>
                  <w:r>
                    <w:rPr>
                      <w:rFonts w:hint="eastAsia"/>
                      <w:color w:val="000000" w:themeColor="text1"/>
                      <w:highlight w:val="none"/>
                      <w14:textFill>
                        <w14:solidFill>
                          <w14:schemeClr w14:val="tx1"/>
                        </w14:solidFill>
                      </w14:textFill>
                    </w:rPr>
                    <w:t>产生的</w:t>
                  </w:r>
                  <w:r>
                    <w:rPr>
                      <w:rFonts w:hint="eastAsia"/>
                      <w:color w:val="000000" w:themeColor="text1"/>
                      <w:highlight w:val="none"/>
                      <w:lang w:eastAsia="zh-CN"/>
                      <w14:textFill>
                        <w14:solidFill>
                          <w14:schemeClr w14:val="tx1"/>
                        </w14:solidFill>
                      </w14:textFill>
                    </w:rPr>
                    <w:t>废润滑油</w:t>
                  </w:r>
                  <w:r>
                    <w:rPr>
                      <w:rFonts w:hint="eastAsia"/>
                      <w:color w:val="000000" w:themeColor="text1"/>
                      <w:highlight w:val="none"/>
                      <w14:textFill>
                        <w14:solidFill>
                          <w14:schemeClr w14:val="tx1"/>
                        </w14:solidFill>
                      </w14:textFill>
                    </w:rPr>
                    <w:t>全封闭贮存于密封桶内，废油桶加盖密封暂存，</w:t>
                  </w:r>
                  <w:r>
                    <w:rPr>
                      <w:color w:val="000000" w:themeColor="text1"/>
                      <w:highlight w:val="none"/>
                      <w14:textFill>
                        <w14:solidFill>
                          <w14:schemeClr w14:val="tx1"/>
                        </w14:solidFill>
                      </w14:textFill>
                    </w:rPr>
                    <w:t>正常贮存过程中</w:t>
                  </w:r>
                  <w:r>
                    <w:rPr>
                      <w:rFonts w:hint="eastAsia"/>
                      <w:color w:val="000000" w:themeColor="text1"/>
                      <w:highlight w:val="none"/>
                      <w14:textFill>
                        <w14:solidFill>
                          <w14:schemeClr w14:val="tx1"/>
                        </w14:solidFill>
                      </w14:textFill>
                    </w:rPr>
                    <w:t>废气</w:t>
                  </w:r>
                  <w:r>
                    <w:rPr>
                      <w:color w:val="000000" w:themeColor="text1"/>
                      <w:highlight w:val="none"/>
                      <w14:textFill>
                        <w14:solidFill>
                          <w14:schemeClr w14:val="tx1"/>
                        </w14:solidFill>
                      </w14:textFill>
                    </w:rPr>
                    <w:t>排放量较少，对周围环境影响较小。</w:t>
                  </w:r>
                </w:p>
              </w:tc>
              <w:tc>
                <w:tcPr>
                  <w:tcW w:w="564" w:type="dxa"/>
                  <w:noWrap w:val="0"/>
                  <w:vAlign w:val="center"/>
                </w:tcPr>
                <w:p w14:paraId="07BB58AC">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符合</w:t>
                  </w:r>
                </w:p>
              </w:tc>
            </w:tr>
            <w:tr w14:paraId="79703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8" w:hRule="atLeast"/>
                <w:jc w:val="center"/>
              </w:trPr>
              <w:tc>
                <w:tcPr>
                  <w:tcW w:w="467" w:type="dxa"/>
                  <w:vMerge w:val="continue"/>
                  <w:noWrap w:val="0"/>
                  <w:vAlign w:val="center"/>
                </w:tcPr>
                <w:p w14:paraId="75EE1F35">
                  <w:pPr>
                    <w:spacing w:line="240" w:lineRule="auto"/>
                    <w:ind w:firstLine="0" w:firstLineChars="0"/>
                    <w:rPr>
                      <w:color w:val="000000" w:themeColor="text1"/>
                      <w:highlight w:val="none"/>
                      <w14:textFill>
                        <w14:solidFill>
                          <w14:schemeClr w14:val="tx1"/>
                        </w14:solidFill>
                      </w14:textFill>
                    </w:rPr>
                  </w:pPr>
                </w:p>
              </w:tc>
              <w:tc>
                <w:tcPr>
                  <w:tcW w:w="428" w:type="dxa"/>
                  <w:vMerge w:val="restart"/>
                  <w:noWrap w:val="0"/>
                  <w:vAlign w:val="center"/>
                </w:tcPr>
                <w:p w14:paraId="0BE208D3">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贮存设施运行环境管理要求</w:t>
                  </w:r>
                </w:p>
                <w:p w14:paraId="7276CCFC">
                  <w:pPr>
                    <w:spacing w:line="240" w:lineRule="auto"/>
                    <w:ind w:firstLine="0" w:firstLineChars="0"/>
                    <w:rPr>
                      <w:color w:val="000000" w:themeColor="text1"/>
                      <w:highlight w:val="none"/>
                      <w14:textFill>
                        <w14:solidFill>
                          <w14:schemeClr w14:val="tx1"/>
                        </w14:solidFill>
                      </w14:textFill>
                    </w:rPr>
                  </w:pPr>
                </w:p>
              </w:tc>
              <w:tc>
                <w:tcPr>
                  <w:tcW w:w="2191" w:type="dxa"/>
                  <w:noWrap w:val="0"/>
                  <w:vAlign w:val="center"/>
                </w:tcPr>
                <w:p w14:paraId="6A832AAE">
                  <w:pPr>
                    <w:spacing w:line="240" w:lineRule="auto"/>
                    <w:ind w:firstLine="0" w:firstLineChars="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危险废物存入贮存设施前应对危险废物类别和特性与危险废物标签等危险废物识别标志的一致性进行核验，不一致的或类别、特性不明的不应存入。</w:t>
                  </w:r>
                </w:p>
              </w:tc>
              <w:tc>
                <w:tcPr>
                  <w:tcW w:w="2889" w:type="dxa"/>
                  <w:noWrap w:val="0"/>
                  <w:vAlign w:val="center"/>
                </w:tcPr>
                <w:p w14:paraId="78E6512B">
                  <w:pPr>
                    <w:spacing w:line="240" w:lineRule="auto"/>
                    <w:ind w:firstLine="0" w:firstLineChars="0"/>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危险废物贮存库中的危险废物粘贴符合《危险废物贮存污染控制标准》（GB18597-2023）相关要求，注明危废入库日期、危废名称、重量、危险特性以及应急安全措施；贮存设施或场所、容器和包装物应按《危险废物识别标志设置技术规范》（HJ1276-2022）要</w:t>
                  </w:r>
                  <w:r>
                    <w:rPr>
                      <w:rFonts w:hint="eastAsia" w:ascii="Times New Roman" w:hAnsi="Times New Roman" w:eastAsia="宋体" w:cs="Times New Roman"/>
                      <w:color w:val="000000" w:themeColor="text1"/>
                      <w:highlight w:val="none"/>
                      <w14:textFill>
                        <w14:solidFill>
                          <w14:schemeClr w14:val="tx1"/>
                        </w14:solidFill>
                      </w14:textFill>
                    </w:rPr>
                    <w:t>求设置危险废物贮存设施或场所标志、危险废物贮存分区标志和危险废物标签等危险废物识别标志。运行过程中加强管理，核验危险废物贮存与识别标志的一致性，不一致的不得存入。</w:t>
                  </w:r>
                </w:p>
              </w:tc>
              <w:tc>
                <w:tcPr>
                  <w:tcW w:w="564" w:type="dxa"/>
                  <w:noWrap w:val="0"/>
                  <w:vAlign w:val="center"/>
                </w:tcPr>
                <w:p w14:paraId="47C2BB33">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符合</w:t>
                  </w:r>
                </w:p>
              </w:tc>
            </w:tr>
            <w:tr w14:paraId="6B08A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7" w:type="dxa"/>
                  <w:vMerge w:val="continue"/>
                  <w:noWrap w:val="0"/>
                  <w:vAlign w:val="center"/>
                </w:tcPr>
                <w:p w14:paraId="56F72BCC">
                  <w:pPr>
                    <w:spacing w:line="240" w:lineRule="auto"/>
                    <w:ind w:firstLine="0" w:firstLineChars="0"/>
                    <w:rPr>
                      <w:color w:val="000000" w:themeColor="text1"/>
                      <w:highlight w:val="none"/>
                      <w14:textFill>
                        <w14:solidFill>
                          <w14:schemeClr w14:val="tx1"/>
                        </w14:solidFill>
                      </w14:textFill>
                    </w:rPr>
                  </w:pPr>
                </w:p>
              </w:tc>
              <w:tc>
                <w:tcPr>
                  <w:tcW w:w="428" w:type="dxa"/>
                  <w:vMerge w:val="continue"/>
                  <w:noWrap w:val="0"/>
                  <w:vAlign w:val="center"/>
                </w:tcPr>
                <w:p w14:paraId="54A1FF3B">
                  <w:pPr>
                    <w:spacing w:line="240" w:lineRule="auto"/>
                    <w:ind w:firstLine="0" w:firstLineChars="0"/>
                    <w:rPr>
                      <w:color w:val="000000" w:themeColor="text1"/>
                      <w:highlight w:val="none"/>
                      <w14:textFill>
                        <w14:solidFill>
                          <w14:schemeClr w14:val="tx1"/>
                        </w14:solidFill>
                      </w14:textFill>
                    </w:rPr>
                  </w:pPr>
                </w:p>
              </w:tc>
              <w:tc>
                <w:tcPr>
                  <w:tcW w:w="2191" w:type="dxa"/>
                  <w:noWrap w:val="0"/>
                  <w:vAlign w:val="center"/>
                </w:tcPr>
                <w:p w14:paraId="0C40B976">
                  <w:pPr>
                    <w:spacing w:line="240" w:lineRule="auto"/>
                    <w:ind w:firstLine="0" w:firstLineChars="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应定期检查危险废物的贮存状况，及时清理贮存设施地面，更换破损泄漏的危险废物贮存容器和包装物，保证堆存危险废物的防雨、防风、防扬尘等设施功能完好。</w:t>
                  </w:r>
                </w:p>
              </w:tc>
              <w:tc>
                <w:tcPr>
                  <w:tcW w:w="2889" w:type="dxa"/>
                  <w:noWrap w:val="0"/>
                  <w:vAlign w:val="center"/>
                </w:tcPr>
                <w:p w14:paraId="59558B57">
                  <w:pPr>
                    <w:spacing w:line="240" w:lineRule="auto"/>
                    <w:ind w:firstLine="0" w:firstLineChars="0"/>
                    <w:rPr>
                      <w:rFonts w:hint="eastAsia" w:ascii="Times New Roman" w:hAnsi="Times New Roman" w:eastAsia="宋体" w:cs="Times New Roman"/>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本项目运行过程中加强日常环保管理，定期检查危险废物的贮存情况，定期清理贮存地面，及时更换破损的贮存容器及包装物，保证危险废物贮存的防雨、防风、防扬尘等设施功能完好性。</w:t>
                  </w:r>
                </w:p>
              </w:tc>
              <w:tc>
                <w:tcPr>
                  <w:tcW w:w="564" w:type="dxa"/>
                  <w:noWrap w:val="0"/>
                  <w:vAlign w:val="center"/>
                </w:tcPr>
                <w:p w14:paraId="765B4E50">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符合</w:t>
                  </w:r>
                </w:p>
              </w:tc>
            </w:tr>
            <w:tr w14:paraId="59DD4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7" w:type="dxa"/>
                  <w:vMerge w:val="continue"/>
                  <w:noWrap w:val="0"/>
                  <w:vAlign w:val="center"/>
                </w:tcPr>
                <w:p w14:paraId="0E3C027C">
                  <w:pPr>
                    <w:spacing w:line="240" w:lineRule="auto"/>
                    <w:ind w:firstLine="0" w:firstLineChars="0"/>
                    <w:rPr>
                      <w:color w:val="000000" w:themeColor="text1"/>
                      <w:highlight w:val="none"/>
                      <w14:textFill>
                        <w14:solidFill>
                          <w14:schemeClr w14:val="tx1"/>
                        </w14:solidFill>
                      </w14:textFill>
                    </w:rPr>
                  </w:pPr>
                </w:p>
              </w:tc>
              <w:tc>
                <w:tcPr>
                  <w:tcW w:w="428" w:type="dxa"/>
                  <w:vMerge w:val="continue"/>
                  <w:noWrap w:val="0"/>
                  <w:vAlign w:val="center"/>
                </w:tcPr>
                <w:p w14:paraId="032B0E30">
                  <w:pPr>
                    <w:spacing w:line="240" w:lineRule="auto"/>
                    <w:ind w:firstLine="0" w:firstLineChars="0"/>
                    <w:rPr>
                      <w:color w:val="000000" w:themeColor="text1"/>
                      <w:highlight w:val="none"/>
                      <w14:textFill>
                        <w14:solidFill>
                          <w14:schemeClr w14:val="tx1"/>
                        </w14:solidFill>
                      </w14:textFill>
                    </w:rPr>
                  </w:pPr>
                </w:p>
              </w:tc>
              <w:tc>
                <w:tcPr>
                  <w:tcW w:w="2191" w:type="dxa"/>
                  <w:noWrap w:val="0"/>
                  <w:vAlign w:val="center"/>
                </w:tcPr>
                <w:p w14:paraId="30F5A10E">
                  <w:pPr>
                    <w:spacing w:line="240" w:lineRule="auto"/>
                    <w:ind w:firstLine="0" w:firstLineChars="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贮存设施运行期间，应按国家有关标准和规定建立危险废物管理台账并保存。</w:t>
                  </w:r>
                </w:p>
              </w:tc>
              <w:tc>
                <w:tcPr>
                  <w:tcW w:w="2889" w:type="dxa"/>
                  <w:noWrap w:val="0"/>
                  <w:vAlign w:val="center"/>
                </w:tcPr>
                <w:p w14:paraId="462C2D9C">
                  <w:pPr>
                    <w:spacing w:line="240" w:lineRule="auto"/>
                    <w:ind w:firstLine="0" w:firstLineChars="0"/>
                    <w:rPr>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运行期间按照《危险废物管理计划和管理台账制定技术导则》（HJ1259-2022）建立危险废物管理台账并保存。</w:t>
                  </w:r>
                </w:p>
              </w:tc>
              <w:tc>
                <w:tcPr>
                  <w:tcW w:w="564" w:type="dxa"/>
                  <w:noWrap w:val="0"/>
                  <w:vAlign w:val="center"/>
                </w:tcPr>
                <w:p w14:paraId="466971A9">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符合</w:t>
                  </w:r>
                </w:p>
              </w:tc>
            </w:tr>
            <w:tr w14:paraId="1D057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7" w:type="dxa"/>
                  <w:vMerge w:val="continue"/>
                  <w:noWrap w:val="0"/>
                  <w:vAlign w:val="center"/>
                </w:tcPr>
                <w:p w14:paraId="340904B6">
                  <w:pPr>
                    <w:spacing w:line="240" w:lineRule="auto"/>
                    <w:ind w:firstLine="0" w:firstLineChars="0"/>
                    <w:rPr>
                      <w:color w:val="000000" w:themeColor="text1"/>
                      <w:highlight w:val="none"/>
                      <w14:textFill>
                        <w14:solidFill>
                          <w14:schemeClr w14:val="tx1"/>
                        </w14:solidFill>
                      </w14:textFill>
                    </w:rPr>
                  </w:pPr>
                </w:p>
              </w:tc>
              <w:tc>
                <w:tcPr>
                  <w:tcW w:w="428" w:type="dxa"/>
                  <w:vMerge w:val="continue"/>
                  <w:noWrap w:val="0"/>
                  <w:vAlign w:val="center"/>
                </w:tcPr>
                <w:p w14:paraId="5853EE42">
                  <w:pPr>
                    <w:spacing w:line="240" w:lineRule="auto"/>
                    <w:ind w:firstLine="0" w:firstLineChars="0"/>
                    <w:rPr>
                      <w:color w:val="000000" w:themeColor="text1"/>
                      <w:highlight w:val="none"/>
                      <w14:textFill>
                        <w14:solidFill>
                          <w14:schemeClr w14:val="tx1"/>
                        </w14:solidFill>
                      </w14:textFill>
                    </w:rPr>
                  </w:pPr>
                </w:p>
              </w:tc>
              <w:tc>
                <w:tcPr>
                  <w:tcW w:w="2191" w:type="dxa"/>
                  <w:noWrap w:val="0"/>
                  <w:vAlign w:val="center"/>
                </w:tcPr>
                <w:p w14:paraId="429AD868">
                  <w:pPr>
                    <w:spacing w:line="240" w:lineRule="auto"/>
                    <w:ind w:firstLine="0" w:firstLineChars="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贮存设施所有者或运营者应建立贮存设施环境管理制度、管理人员岗位职责制度、设施运行操作制度、人员岗位培训制度等。</w:t>
                  </w:r>
                </w:p>
              </w:tc>
              <w:tc>
                <w:tcPr>
                  <w:tcW w:w="2889" w:type="dxa"/>
                  <w:noWrap w:val="0"/>
                  <w:vAlign w:val="center"/>
                </w:tcPr>
                <w:p w14:paraId="0911FB02">
                  <w:pPr>
                    <w:spacing w:line="240" w:lineRule="auto"/>
                    <w:ind w:firstLine="0" w:firstLineChars="0"/>
                    <w:rPr>
                      <w:rFonts w:hint="eastAsia"/>
                      <w:color w:val="000000" w:themeColor="text1"/>
                      <w:highlight w:val="none"/>
                      <w14:textFill>
                        <w14:solidFill>
                          <w14:schemeClr w14:val="tx1"/>
                        </w14:solidFill>
                      </w14:textFill>
                    </w:rPr>
                  </w:pPr>
                  <w:r>
                    <w:rPr>
                      <w:rFonts w:hint="eastAsia" w:cs="Times New Roman"/>
                      <w:color w:val="000000" w:themeColor="text1"/>
                      <w:highlight w:val="none"/>
                      <w:lang w:eastAsia="zh-CN"/>
                      <w14:textFill>
                        <w14:solidFill>
                          <w14:schemeClr w14:val="tx1"/>
                        </w14:solidFill>
                      </w14:textFill>
                    </w:rPr>
                    <w:t>鄂尔多斯市宇驰顺捷汽车销售服务有限公司</w:t>
                  </w:r>
                  <w:r>
                    <w:rPr>
                      <w:rFonts w:hint="eastAsia" w:ascii="Times New Roman" w:hAnsi="Times New Roman" w:eastAsia="宋体" w:cs="Times New Roman"/>
                      <w:color w:val="000000" w:themeColor="text1"/>
                      <w:highlight w:val="none"/>
                      <w14:textFill>
                        <w14:solidFill>
                          <w14:schemeClr w14:val="tx1"/>
                        </w14:solidFill>
                      </w14:textFill>
                    </w:rPr>
                    <w:t>建立贮存设施环境管理制度、管理人员岗位职责制度、设施运行操作制度、人员岗位培训制度等。</w:t>
                  </w:r>
                </w:p>
              </w:tc>
              <w:tc>
                <w:tcPr>
                  <w:tcW w:w="564" w:type="dxa"/>
                  <w:noWrap w:val="0"/>
                  <w:vAlign w:val="center"/>
                </w:tcPr>
                <w:p w14:paraId="48D79765">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符合</w:t>
                  </w:r>
                </w:p>
              </w:tc>
            </w:tr>
            <w:tr w14:paraId="0BD10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7" w:type="dxa"/>
                  <w:vMerge w:val="continue"/>
                  <w:noWrap w:val="0"/>
                  <w:vAlign w:val="center"/>
                </w:tcPr>
                <w:p w14:paraId="62E579C3">
                  <w:pPr>
                    <w:spacing w:line="240" w:lineRule="auto"/>
                    <w:ind w:firstLine="0" w:firstLineChars="0"/>
                    <w:rPr>
                      <w:color w:val="000000" w:themeColor="text1"/>
                      <w:highlight w:val="none"/>
                      <w14:textFill>
                        <w14:solidFill>
                          <w14:schemeClr w14:val="tx1"/>
                        </w14:solidFill>
                      </w14:textFill>
                    </w:rPr>
                  </w:pPr>
                </w:p>
              </w:tc>
              <w:tc>
                <w:tcPr>
                  <w:tcW w:w="428" w:type="dxa"/>
                  <w:vMerge w:val="continue"/>
                  <w:noWrap w:val="0"/>
                  <w:vAlign w:val="center"/>
                </w:tcPr>
                <w:p w14:paraId="7DF9B429">
                  <w:pPr>
                    <w:spacing w:line="240" w:lineRule="auto"/>
                    <w:ind w:firstLine="0" w:firstLineChars="0"/>
                    <w:rPr>
                      <w:color w:val="000000" w:themeColor="text1"/>
                      <w:highlight w:val="none"/>
                      <w14:textFill>
                        <w14:solidFill>
                          <w14:schemeClr w14:val="tx1"/>
                        </w14:solidFill>
                      </w14:textFill>
                    </w:rPr>
                  </w:pPr>
                </w:p>
              </w:tc>
              <w:tc>
                <w:tcPr>
                  <w:tcW w:w="2191" w:type="dxa"/>
                  <w:noWrap w:val="0"/>
                  <w:vAlign w:val="center"/>
                </w:tcPr>
                <w:p w14:paraId="1C2E5060">
                  <w:pPr>
                    <w:spacing w:line="240" w:lineRule="auto"/>
                    <w:ind w:firstLine="0" w:firstLineChars="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贮存设施所有者或运营者应建立贮存设施全部档案，包括设计、施工、验收、运行、监测和环境应急等，应按国家有关档案管理的法律法规进行整理和归档。</w:t>
                  </w:r>
                </w:p>
              </w:tc>
              <w:tc>
                <w:tcPr>
                  <w:tcW w:w="2889" w:type="dxa"/>
                  <w:noWrap w:val="0"/>
                  <w:vAlign w:val="center"/>
                </w:tcPr>
                <w:p w14:paraId="534192BC">
                  <w:pPr>
                    <w:spacing w:line="240" w:lineRule="auto"/>
                    <w:ind w:firstLine="0" w:firstLineChars="0"/>
                    <w:rPr>
                      <w:rFonts w:hint="eastAsia"/>
                      <w:color w:val="000000" w:themeColor="text1"/>
                      <w:highlight w:val="none"/>
                      <w14:textFill>
                        <w14:solidFill>
                          <w14:schemeClr w14:val="tx1"/>
                        </w14:solidFill>
                      </w14:textFill>
                    </w:rPr>
                  </w:pPr>
                  <w:r>
                    <w:rPr>
                      <w:rFonts w:hint="eastAsia" w:cs="Times New Roman"/>
                      <w:color w:val="000000" w:themeColor="text1"/>
                      <w:highlight w:val="none"/>
                      <w:lang w:val="en-US" w:eastAsia="zh-CN"/>
                      <w14:textFill>
                        <w14:solidFill>
                          <w14:schemeClr w14:val="tx1"/>
                        </w14:solidFill>
                      </w14:textFill>
                    </w:rPr>
                    <w:t>建设单位</w:t>
                  </w:r>
                  <w:r>
                    <w:rPr>
                      <w:rFonts w:hint="eastAsia" w:ascii="Times New Roman" w:hAnsi="Times New Roman" w:eastAsia="宋体" w:cs="Times New Roman"/>
                      <w:color w:val="000000" w:themeColor="text1"/>
                      <w:highlight w:val="none"/>
                      <w14:textFill>
                        <w14:solidFill>
                          <w14:schemeClr w14:val="tx1"/>
                        </w14:solidFill>
                      </w14:textFill>
                    </w:rPr>
                    <w:t>建立贮存设施全部档案，包括设计、施工、验收、运行、监测和环境应急等，应按国家有关档案管理的法律法规进行整理和归档。</w:t>
                  </w:r>
                </w:p>
              </w:tc>
              <w:tc>
                <w:tcPr>
                  <w:tcW w:w="564" w:type="dxa"/>
                  <w:noWrap w:val="0"/>
                  <w:vAlign w:val="center"/>
                </w:tcPr>
                <w:p w14:paraId="6C2ED639">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符合</w:t>
                  </w:r>
                </w:p>
              </w:tc>
            </w:tr>
            <w:tr w14:paraId="52DBC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7" w:type="dxa"/>
                  <w:vMerge w:val="restart"/>
                  <w:noWrap w:val="0"/>
                  <w:vAlign w:val="center"/>
                </w:tcPr>
                <w:p w14:paraId="7591F142">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污染物排放控制要求</w:t>
                  </w:r>
                </w:p>
              </w:tc>
              <w:tc>
                <w:tcPr>
                  <w:tcW w:w="2619" w:type="dxa"/>
                  <w:gridSpan w:val="2"/>
                  <w:noWrap w:val="0"/>
                  <w:vAlign w:val="center"/>
                </w:tcPr>
                <w:p w14:paraId="1E76E8DC">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贮存设施产生的废水</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包括贮存设施、作业设备、车辆等清洗废水，贮存罐区积存雨水，贮存事故废水等</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应进行收集处理，废水排放应符合GB8978规定的要求。</w:t>
                  </w:r>
                </w:p>
              </w:tc>
              <w:tc>
                <w:tcPr>
                  <w:tcW w:w="2889" w:type="dxa"/>
                  <w:noWrap w:val="0"/>
                  <w:vAlign w:val="center"/>
                </w:tcPr>
                <w:p w14:paraId="59EF4C30">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本项目运营期无</w:t>
                  </w:r>
                  <w:r>
                    <w:rPr>
                      <w:rFonts w:hint="eastAsia"/>
                      <w:color w:val="000000" w:themeColor="text1"/>
                      <w:highlight w:val="none"/>
                      <w:lang w:val="en-US" w:eastAsia="zh-CN"/>
                      <w14:textFill>
                        <w14:solidFill>
                          <w14:schemeClr w14:val="tx1"/>
                        </w14:solidFill>
                      </w14:textFill>
                    </w:rPr>
                    <w:t>生产废水</w:t>
                  </w:r>
                  <w:r>
                    <w:rPr>
                      <w:color w:val="000000" w:themeColor="text1"/>
                      <w:highlight w:val="none"/>
                      <w14:textFill>
                        <w14:solidFill>
                          <w14:schemeClr w14:val="tx1"/>
                        </w14:solidFill>
                      </w14:textFill>
                    </w:rPr>
                    <w:t>产生。</w:t>
                  </w:r>
                </w:p>
              </w:tc>
              <w:tc>
                <w:tcPr>
                  <w:tcW w:w="564" w:type="dxa"/>
                  <w:noWrap w:val="0"/>
                  <w:vAlign w:val="center"/>
                </w:tcPr>
                <w:p w14:paraId="021B4195">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符合</w:t>
                  </w:r>
                </w:p>
              </w:tc>
            </w:tr>
            <w:tr w14:paraId="3A6AF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85" w:hRule="atLeast"/>
                <w:jc w:val="center"/>
              </w:trPr>
              <w:tc>
                <w:tcPr>
                  <w:tcW w:w="467" w:type="dxa"/>
                  <w:vMerge w:val="continue"/>
                  <w:noWrap w:val="0"/>
                  <w:vAlign w:val="center"/>
                </w:tcPr>
                <w:p w14:paraId="4969BD37">
                  <w:pPr>
                    <w:spacing w:line="240" w:lineRule="auto"/>
                    <w:ind w:firstLine="0" w:firstLineChars="0"/>
                    <w:rPr>
                      <w:color w:val="000000" w:themeColor="text1"/>
                      <w:highlight w:val="none"/>
                      <w14:textFill>
                        <w14:solidFill>
                          <w14:schemeClr w14:val="tx1"/>
                        </w14:solidFill>
                      </w14:textFill>
                    </w:rPr>
                  </w:pPr>
                </w:p>
              </w:tc>
              <w:tc>
                <w:tcPr>
                  <w:tcW w:w="2619" w:type="dxa"/>
                  <w:gridSpan w:val="2"/>
                  <w:noWrap w:val="0"/>
                  <w:vAlign w:val="center"/>
                </w:tcPr>
                <w:p w14:paraId="7E0DC97E">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贮存设施产生的废气</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含无组织废气</w:t>
                  </w:r>
                  <w:r>
                    <w:rPr>
                      <w:rFonts w:hint="eastAsia"/>
                      <w:color w:val="000000" w:themeColor="text1"/>
                      <w:highlight w:val="none"/>
                      <w:lang w:eastAsia="zh-CN"/>
                      <w14:textFill>
                        <w14:solidFill>
                          <w14:schemeClr w14:val="tx1"/>
                        </w14:solidFill>
                      </w14:textFill>
                    </w:rPr>
                    <w:t>）</w:t>
                  </w:r>
                  <w:r>
                    <w:rPr>
                      <w:color w:val="000000" w:themeColor="text1"/>
                      <w:highlight w:val="none"/>
                      <w14:textFill>
                        <w14:solidFill>
                          <w14:schemeClr w14:val="tx1"/>
                        </w14:solidFill>
                      </w14:textFill>
                    </w:rPr>
                    <w:t>的排放应符合GB16297和GB37822规定的要求。</w:t>
                  </w:r>
                </w:p>
              </w:tc>
              <w:tc>
                <w:tcPr>
                  <w:tcW w:w="2889" w:type="dxa"/>
                  <w:noWrap w:val="0"/>
                  <w:vAlign w:val="center"/>
                </w:tcPr>
                <w:p w14:paraId="391F23A5">
                  <w:pPr>
                    <w:spacing w:line="240" w:lineRule="auto"/>
                    <w:ind w:firstLine="0" w:firstLineChars="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鄂尔多斯市宇驰顺捷汽车销售服务有限公司现有</w:t>
                  </w:r>
                  <w:r>
                    <w:rPr>
                      <w:rFonts w:hint="eastAsia"/>
                      <w:color w:val="000000" w:themeColor="text1"/>
                      <w:highlight w:val="none"/>
                      <w14:textFill>
                        <w14:solidFill>
                          <w14:schemeClr w14:val="tx1"/>
                        </w14:solidFill>
                      </w14:textFill>
                    </w:rPr>
                    <w:t>产生的</w:t>
                  </w:r>
                  <w:r>
                    <w:rPr>
                      <w:rFonts w:hint="eastAsia"/>
                      <w:color w:val="000000" w:themeColor="text1"/>
                      <w:highlight w:val="none"/>
                      <w:lang w:eastAsia="zh-CN"/>
                      <w14:textFill>
                        <w14:solidFill>
                          <w14:schemeClr w14:val="tx1"/>
                        </w14:solidFill>
                      </w14:textFill>
                    </w:rPr>
                    <w:t>废润滑油、</w:t>
                  </w:r>
                  <w:r>
                    <w:rPr>
                      <w:rFonts w:hint="eastAsia"/>
                      <w:color w:val="000000" w:themeColor="text1"/>
                      <w:highlight w:val="none"/>
                      <w:lang w:val="en-US" w:eastAsia="zh-CN"/>
                      <w14:textFill>
                        <w14:solidFill>
                          <w14:schemeClr w14:val="tx1"/>
                        </w14:solidFill>
                      </w14:textFill>
                    </w:rPr>
                    <w:t>废机油、</w:t>
                  </w:r>
                  <w:r>
                    <w:rPr>
                      <w:rFonts w:hint="eastAsia"/>
                      <w:color w:val="000000" w:themeColor="text1"/>
                      <w:lang w:val="en-US" w:eastAsia="zh-CN"/>
                      <w14:textFill>
                        <w14:solidFill>
                          <w14:schemeClr w14:val="tx1"/>
                        </w14:solidFill>
                      </w14:textFill>
                    </w:rPr>
                    <w:t>含油废抹布、废手套</w:t>
                  </w:r>
                  <w:r>
                    <w:rPr>
                      <w:rFonts w:hint="eastAsia"/>
                      <w:color w:val="000000" w:themeColor="text1"/>
                      <w:highlight w:val="none"/>
                      <w14:textFill>
                        <w14:solidFill>
                          <w14:schemeClr w14:val="tx1"/>
                        </w14:solidFill>
                      </w14:textFill>
                    </w:rPr>
                    <w:t>全封闭贮存于密封桶内，废油桶加盖密封暂存，</w:t>
                  </w:r>
                  <w:r>
                    <w:rPr>
                      <w:rFonts w:hint="eastAsia"/>
                      <w:color w:val="000000" w:themeColor="text1"/>
                      <w:highlight w:val="none"/>
                      <w:lang w:val="en-US" w:eastAsia="zh-CN"/>
                      <w14:textFill>
                        <w14:solidFill>
                          <w14:schemeClr w14:val="tx1"/>
                        </w14:solidFill>
                      </w14:textFill>
                    </w:rPr>
                    <w:t>厂区内</w:t>
                  </w:r>
                  <w:r>
                    <w:rPr>
                      <w:color w:val="000000" w:themeColor="text1"/>
                      <w:highlight w:val="none"/>
                      <w14:textFill>
                        <w14:solidFill>
                          <w14:schemeClr w14:val="tx1"/>
                        </w14:solidFill>
                      </w14:textFill>
                    </w:rPr>
                    <w:t>不进行倒灌、分装等，因此正常贮存过程中</w:t>
                  </w:r>
                  <w:r>
                    <w:rPr>
                      <w:rFonts w:hint="eastAsia"/>
                      <w:color w:val="000000" w:themeColor="text1"/>
                      <w:highlight w:val="none"/>
                      <w14:textFill>
                        <w14:solidFill>
                          <w14:schemeClr w14:val="tx1"/>
                        </w14:solidFill>
                      </w14:textFill>
                    </w:rPr>
                    <w:t>无组织非甲烷总烃</w:t>
                  </w:r>
                  <w:r>
                    <w:rPr>
                      <w:color w:val="000000" w:themeColor="text1"/>
                      <w:highlight w:val="none"/>
                      <w14:textFill>
                        <w14:solidFill>
                          <w14:schemeClr w14:val="tx1"/>
                        </w14:solidFill>
                      </w14:textFill>
                    </w:rPr>
                    <w:t>排放量较少，</w:t>
                  </w:r>
                  <w:r>
                    <w:rPr>
                      <w:rFonts w:hint="eastAsia"/>
                      <w:color w:val="000000" w:themeColor="text1"/>
                      <w:highlight w:val="none"/>
                      <w14:textFill>
                        <w14:solidFill>
                          <w14:schemeClr w14:val="tx1"/>
                        </w14:solidFill>
                      </w14:textFill>
                    </w:rPr>
                    <w:t>可满足《大气污染物综合排放标准》（GB16297-1996）表2新污染源大气排放限值中无组织排放监控浓度限值要求，</w:t>
                  </w:r>
                  <w:r>
                    <w:rPr>
                      <w:color w:val="000000" w:themeColor="text1"/>
                      <w:highlight w:val="none"/>
                      <w14:textFill>
                        <w14:solidFill>
                          <w14:schemeClr w14:val="tx1"/>
                        </w14:solidFill>
                      </w14:textFill>
                    </w:rPr>
                    <w:t>对周围环境影响较小。</w:t>
                  </w:r>
                  <w:r>
                    <w:rPr>
                      <w:rFonts w:hint="eastAsia"/>
                      <w:color w:val="000000" w:themeColor="text1"/>
                      <w:highlight w:val="none"/>
                      <w:lang w:val="en-US" w:eastAsia="zh-CN"/>
                      <w14:textFill>
                        <w14:solidFill>
                          <w14:schemeClr w14:val="tx1"/>
                        </w14:solidFill>
                      </w14:textFill>
                    </w:rPr>
                    <w:t>厂内无组织非甲烷总烃排放满足《挥发性有机物无组织排放控制标准》（GB37822-2019）表A.1厂区内VOCs无组织排放限值要求。</w:t>
                  </w:r>
                </w:p>
              </w:tc>
              <w:tc>
                <w:tcPr>
                  <w:tcW w:w="564" w:type="dxa"/>
                  <w:noWrap w:val="0"/>
                  <w:vAlign w:val="center"/>
                </w:tcPr>
                <w:p w14:paraId="1D647D4C">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符合</w:t>
                  </w:r>
                </w:p>
              </w:tc>
            </w:tr>
            <w:tr w14:paraId="73D2B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467" w:type="dxa"/>
                  <w:vMerge w:val="continue"/>
                  <w:noWrap w:val="0"/>
                  <w:vAlign w:val="center"/>
                </w:tcPr>
                <w:p w14:paraId="065A2DEA">
                  <w:pPr>
                    <w:spacing w:line="240" w:lineRule="auto"/>
                    <w:ind w:firstLine="0" w:firstLineChars="0"/>
                    <w:rPr>
                      <w:color w:val="000000" w:themeColor="text1"/>
                      <w:highlight w:val="none"/>
                      <w14:textFill>
                        <w14:solidFill>
                          <w14:schemeClr w14:val="tx1"/>
                        </w14:solidFill>
                      </w14:textFill>
                    </w:rPr>
                  </w:pPr>
                </w:p>
              </w:tc>
              <w:tc>
                <w:tcPr>
                  <w:tcW w:w="2619" w:type="dxa"/>
                  <w:gridSpan w:val="2"/>
                  <w:noWrap w:val="0"/>
                  <w:vAlign w:val="center"/>
                </w:tcPr>
                <w:p w14:paraId="6B1AFAC3">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贮存设施产生的恶臭气体的排放应符合GB14554规定的要求。</w:t>
                  </w:r>
                </w:p>
              </w:tc>
              <w:tc>
                <w:tcPr>
                  <w:tcW w:w="2889" w:type="dxa"/>
                  <w:noWrap w:val="0"/>
                  <w:vAlign w:val="center"/>
                </w:tcPr>
                <w:p w14:paraId="0033017D">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本项目无恶臭气体产生。</w:t>
                  </w:r>
                </w:p>
              </w:tc>
              <w:tc>
                <w:tcPr>
                  <w:tcW w:w="564" w:type="dxa"/>
                  <w:noWrap w:val="0"/>
                  <w:vAlign w:val="center"/>
                </w:tcPr>
                <w:p w14:paraId="0191E4CE">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符合</w:t>
                  </w:r>
                </w:p>
              </w:tc>
            </w:tr>
            <w:tr w14:paraId="3BD35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7" w:type="dxa"/>
                  <w:vMerge w:val="continue"/>
                  <w:noWrap w:val="0"/>
                  <w:vAlign w:val="center"/>
                </w:tcPr>
                <w:p w14:paraId="226854C7">
                  <w:pPr>
                    <w:spacing w:line="240" w:lineRule="auto"/>
                    <w:ind w:firstLine="0" w:firstLineChars="0"/>
                    <w:rPr>
                      <w:color w:val="000000" w:themeColor="text1"/>
                      <w:highlight w:val="none"/>
                      <w14:textFill>
                        <w14:solidFill>
                          <w14:schemeClr w14:val="tx1"/>
                        </w14:solidFill>
                      </w14:textFill>
                    </w:rPr>
                  </w:pPr>
                </w:p>
              </w:tc>
              <w:tc>
                <w:tcPr>
                  <w:tcW w:w="2619" w:type="dxa"/>
                  <w:gridSpan w:val="2"/>
                  <w:noWrap w:val="0"/>
                  <w:vAlign w:val="center"/>
                </w:tcPr>
                <w:p w14:paraId="0DE577E4">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贮存设施内产生以及清理的固体废物应按固体废物分类管理要求妥善处理。</w:t>
                  </w:r>
                </w:p>
              </w:tc>
              <w:tc>
                <w:tcPr>
                  <w:tcW w:w="2889" w:type="dxa"/>
                  <w:noWrap w:val="0"/>
                  <w:vAlign w:val="center"/>
                </w:tcPr>
                <w:p w14:paraId="204699C0">
                  <w:pPr>
                    <w:spacing w:line="240" w:lineRule="auto"/>
                    <w:ind w:firstLine="0" w:firstLineChars="0"/>
                    <w:rPr>
                      <w:rFonts w:hint="default" w:eastAsia="宋体"/>
                      <w:color w:val="000000" w:themeColor="text1"/>
                      <w:highlight w:val="none"/>
                      <w:lang w:val="en-US" w:eastAsia="zh-CN"/>
                      <w14:textFill>
                        <w14:solidFill>
                          <w14:schemeClr w14:val="tx1"/>
                        </w14:solidFill>
                      </w14:textFill>
                    </w:rPr>
                  </w:pPr>
                  <w:r>
                    <w:rPr>
                      <w:color w:val="000000" w:themeColor="text1"/>
                      <w:highlight w:val="none"/>
                      <w14:textFill>
                        <w14:solidFill>
                          <w14:schemeClr w14:val="tx1"/>
                        </w14:solidFill>
                      </w14:textFill>
                    </w:rPr>
                    <w:t>本项目无新增生活垃圾</w:t>
                  </w:r>
                  <w:r>
                    <w:rPr>
                      <w:rFonts w:hint="eastAsia"/>
                      <w:color w:val="000000" w:themeColor="text1"/>
                      <w:highlight w:val="none"/>
                      <w14:textFill>
                        <w14:solidFill>
                          <w14:schemeClr w14:val="tx1"/>
                        </w14:solidFill>
                      </w14:textFill>
                    </w:rPr>
                    <w:t>，人工搬运中产生的</w:t>
                  </w:r>
                  <w:r>
                    <w:rPr>
                      <w:rFonts w:hint="eastAsia"/>
                      <w:color w:val="000000" w:themeColor="text1"/>
                      <w:highlight w:val="none"/>
                      <w:lang w:eastAsia="zh-CN"/>
                      <w14:textFill>
                        <w14:solidFill>
                          <w14:schemeClr w14:val="tx1"/>
                        </w14:solidFill>
                      </w14:textFill>
                    </w:rPr>
                    <w:t>含油抹布、废手套</w:t>
                  </w:r>
                  <w:r>
                    <w:rPr>
                      <w:rFonts w:hint="eastAsia" w:ascii="Times New Roman" w:hAnsi="Times New Roman" w:eastAsia="宋体" w:cs="Times New Roman"/>
                      <w:color w:val="000000" w:themeColor="text1"/>
                      <w:highlight w:val="none"/>
                      <w14:textFill>
                        <w14:solidFill>
                          <w14:schemeClr w14:val="tx1"/>
                        </w14:solidFill>
                      </w14:textFill>
                    </w:rPr>
                    <w:t>共计</w:t>
                  </w:r>
                  <w:r>
                    <w:rPr>
                      <w:rFonts w:hint="eastAsia" w:cs="Times New Roman"/>
                      <w:color w:val="000000" w:themeColor="text1"/>
                      <w:highlight w:val="none"/>
                      <w:lang w:eastAsia="zh-CN"/>
                      <w14:textFill>
                        <w14:solidFill>
                          <w14:schemeClr w14:val="tx1"/>
                        </w14:solidFill>
                      </w14:textFill>
                    </w:rPr>
                    <w:t>0.0</w:t>
                  </w:r>
                  <w:r>
                    <w:rPr>
                      <w:rFonts w:hint="eastAsia" w:cs="Times New Roman"/>
                      <w:color w:val="000000" w:themeColor="text1"/>
                      <w:highlight w:val="none"/>
                      <w:lang w:val="en-US" w:eastAsia="zh-CN"/>
                      <w14:textFill>
                        <w14:solidFill>
                          <w14:schemeClr w14:val="tx1"/>
                        </w14:solidFill>
                      </w14:textFill>
                    </w:rPr>
                    <w:t>1</w:t>
                  </w:r>
                  <w:r>
                    <w:rPr>
                      <w:rFonts w:hint="eastAsia" w:cs="Times New Roman"/>
                      <w:color w:val="000000" w:themeColor="text1"/>
                      <w:highlight w:val="none"/>
                      <w:lang w:eastAsia="zh-CN"/>
                      <w14:textFill>
                        <w14:solidFill>
                          <w14:schemeClr w14:val="tx1"/>
                        </w14:solidFill>
                      </w14:textFill>
                    </w:rPr>
                    <w:t>t/a</w:t>
                  </w:r>
                  <w:r>
                    <w:rPr>
                      <w:rFonts w:hint="eastAsia" w:ascii="Times New Roman" w:hAnsi="Times New Roman" w:eastAsia="宋体" w:cs="Times New Roman"/>
                      <w:color w:val="000000" w:themeColor="text1"/>
                      <w:highlight w:val="none"/>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暂存于危险废物暂存库内，定期交由有资质单位进行处置。</w:t>
                  </w:r>
                </w:p>
              </w:tc>
              <w:tc>
                <w:tcPr>
                  <w:tcW w:w="564" w:type="dxa"/>
                  <w:noWrap w:val="0"/>
                  <w:vAlign w:val="center"/>
                </w:tcPr>
                <w:p w14:paraId="35A858CD">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符合</w:t>
                  </w:r>
                </w:p>
              </w:tc>
            </w:tr>
            <w:tr w14:paraId="5BC5A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7" w:type="dxa"/>
                  <w:vMerge w:val="continue"/>
                  <w:noWrap w:val="0"/>
                  <w:vAlign w:val="center"/>
                </w:tcPr>
                <w:p w14:paraId="3B05DC30">
                  <w:pPr>
                    <w:spacing w:line="240" w:lineRule="auto"/>
                    <w:ind w:firstLine="0" w:firstLineChars="0"/>
                    <w:rPr>
                      <w:color w:val="000000" w:themeColor="text1"/>
                      <w:highlight w:val="none"/>
                      <w14:textFill>
                        <w14:solidFill>
                          <w14:schemeClr w14:val="tx1"/>
                        </w14:solidFill>
                      </w14:textFill>
                    </w:rPr>
                  </w:pPr>
                </w:p>
              </w:tc>
              <w:tc>
                <w:tcPr>
                  <w:tcW w:w="2619" w:type="dxa"/>
                  <w:gridSpan w:val="2"/>
                  <w:noWrap w:val="0"/>
                  <w:vAlign w:val="center"/>
                </w:tcPr>
                <w:p w14:paraId="06DAF2A7">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贮存设施排放的环境噪声应符合GB12348规定的要求</w:t>
                  </w:r>
                  <w:r>
                    <w:rPr>
                      <w:rFonts w:hint="eastAsia"/>
                      <w:color w:val="000000" w:themeColor="text1"/>
                      <w:highlight w:val="none"/>
                      <w14:textFill>
                        <w14:solidFill>
                          <w14:schemeClr w14:val="tx1"/>
                        </w14:solidFill>
                      </w14:textFill>
                    </w:rPr>
                    <w:t>。</w:t>
                  </w:r>
                </w:p>
              </w:tc>
              <w:tc>
                <w:tcPr>
                  <w:tcW w:w="2889" w:type="dxa"/>
                  <w:noWrap w:val="0"/>
                  <w:vAlign w:val="center"/>
                </w:tcPr>
                <w:p w14:paraId="34D723FD">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运营期厂界噪声满足《工业企业厂界环境噪声排放标准》（GB12348-2008）中</w:t>
                  </w:r>
                  <w:r>
                    <w:rPr>
                      <w:rFonts w:hint="eastAsia"/>
                      <w:color w:val="000000" w:themeColor="text1"/>
                      <w:highlight w:val="none"/>
                      <w:lang w:val="en-US" w:eastAsia="zh-CN"/>
                      <w14:textFill>
                        <w14:solidFill>
                          <w14:schemeClr w14:val="tx1"/>
                        </w14:solidFill>
                      </w14:textFill>
                    </w:rPr>
                    <w:t>2类</w:t>
                  </w:r>
                  <w:r>
                    <w:rPr>
                      <w:color w:val="000000" w:themeColor="text1"/>
                      <w:highlight w:val="none"/>
                      <w14:textFill>
                        <w14:solidFill>
                          <w14:schemeClr w14:val="tx1"/>
                        </w14:solidFill>
                      </w14:textFill>
                    </w:rPr>
                    <w:t>标准限值要求。</w:t>
                  </w:r>
                </w:p>
              </w:tc>
              <w:tc>
                <w:tcPr>
                  <w:tcW w:w="564" w:type="dxa"/>
                  <w:noWrap w:val="0"/>
                  <w:vAlign w:val="center"/>
                </w:tcPr>
                <w:p w14:paraId="43C5A13B">
                  <w:pPr>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符合</w:t>
                  </w:r>
                </w:p>
              </w:tc>
            </w:tr>
          </w:tbl>
          <w:p w14:paraId="402DE9A4">
            <w:pPr>
              <w:adjustRightInd w:val="0"/>
              <w:snapToGrid w:val="0"/>
              <w:ind w:firstLine="482"/>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3、选址合理性分析</w:t>
            </w:r>
          </w:p>
          <w:p w14:paraId="5989B462">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w:t>
            </w:r>
            <w:r>
              <w:rPr>
                <w:rFonts w:hint="eastAsia"/>
                <w:color w:val="000000" w:themeColor="text1"/>
                <w:highlight w:val="none"/>
                <w14:textFill>
                  <w14:solidFill>
                    <w14:schemeClr w14:val="tx1"/>
                  </w14:solidFill>
                </w14:textFill>
              </w:rPr>
              <w:t>拟在</w:t>
            </w:r>
            <w:r>
              <w:rPr>
                <w:rFonts w:hint="eastAsia"/>
                <w:color w:val="000000" w:themeColor="text1"/>
                <w:highlight w:val="none"/>
                <w:lang w:eastAsia="zh-CN"/>
                <w14:textFill>
                  <w14:solidFill>
                    <w14:schemeClr w14:val="tx1"/>
                  </w14:solidFill>
                </w14:textFill>
              </w:rPr>
              <w:t>内蒙古自治区鄂尔多斯市东胜区天骄南路42号客运中心后院5号商铺</w:t>
            </w:r>
            <w:r>
              <w:rPr>
                <w:rFonts w:hint="eastAsia"/>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鄂尔多斯市宇驰顺捷汽车销售服务有限公司现有</w:t>
            </w:r>
            <w:r>
              <w:rPr>
                <w:rFonts w:hint="eastAsia"/>
                <w:color w:val="000000" w:themeColor="text1"/>
                <w:highlight w:val="none"/>
                <w14:textFill>
                  <w14:solidFill>
                    <w14:schemeClr w14:val="tx1"/>
                  </w14:solidFill>
                </w14:textFill>
              </w:rPr>
              <w:t>厂区内新建1座</w:t>
            </w:r>
            <w:r>
              <w:rPr>
                <w:rFonts w:hint="eastAsia"/>
                <w:color w:val="000000" w:themeColor="text1"/>
                <w:highlight w:val="none"/>
                <w:lang w:eastAsia="zh-CN"/>
                <w14:textFill>
                  <w14:solidFill>
                    <w14:schemeClr w14:val="tx1"/>
                  </w14:solidFill>
                </w14:textFill>
              </w:rPr>
              <w:t>7㎡</w:t>
            </w:r>
            <w:r>
              <w:rPr>
                <w:rFonts w:hint="eastAsia"/>
                <w:color w:val="000000" w:themeColor="text1"/>
                <w:highlight w:val="none"/>
                <w14:textFill>
                  <w14:solidFill>
                    <w14:schemeClr w14:val="tx1"/>
                  </w14:solidFill>
                </w14:textFill>
              </w:rPr>
              <w:t>的危险废物贮存库</w:t>
            </w:r>
            <w:r>
              <w:rPr>
                <w:color w:val="000000" w:themeColor="text1"/>
                <w:highlight w:val="none"/>
                <w14:textFill>
                  <w14:solidFill>
                    <w14:schemeClr w14:val="tx1"/>
                  </w14:solidFill>
                </w14:textFill>
              </w:rPr>
              <w:t>，项目</w:t>
            </w:r>
            <w:r>
              <w:rPr>
                <w:rFonts w:hint="eastAsia"/>
                <w:color w:val="000000" w:themeColor="text1"/>
                <w:highlight w:val="none"/>
                <w14:textFill>
                  <w14:solidFill>
                    <w14:schemeClr w14:val="tx1"/>
                  </w14:solidFill>
                </w14:textFill>
              </w:rPr>
              <w:t>所在</w:t>
            </w:r>
            <w:r>
              <w:rPr>
                <w:color w:val="000000" w:themeColor="text1"/>
                <w:highlight w:val="none"/>
                <w14:textFill>
                  <w14:solidFill>
                    <w14:schemeClr w14:val="tx1"/>
                  </w14:solidFill>
                </w14:textFill>
              </w:rPr>
              <w:t>区域无断层、地下溶洞等潜在的危害因素，地质结构相对稳定，不在易燃、易爆等危险品仓库和高压输电线路防护区域内，符合《危险废物贮存污染控制标准》（GB18597-2023）中的相关规定。从项目所处地理位置和周围环境分析</w:t>
            </w:r>
            <w:r>
              <w:rPr>
                <w:rFonts w:ascii="Times New Roman" w:hAnsi="Times New Roman" w:eastAsia="宋体" w:cs="Times New Roman"/>
                <w:color w:val="000000" w:themeColor="text1"/>
                <w:highlight w:val="none"/>
                <w14:textFill>
                  <w14:solidFill>
                    <w14:schemeClr w14:val="tx1"/>
                  </w14:solidFill>
                </w14:textFill>
              </w:rPr>
              <w:t>，本项目所在区域及其附近没有自然保护区、</w:t>
            </w:r>
            <w:r>
              <w:rPr>
                <w:rFonts w:hint="eastAsia" w:ascii="Times New Roman" w:hAnsi="Times New Roman" w:eastAsia="宋体" w:cs="Times New Roman"/>
                <w:color w:val="000000" w:themeColor="text1"/>
                <w:highlight w:val="none"/>
                <w14:textFill>
                  <w14:solidFill>
                    <w14:schemeClr w14:val="tx1"/>
                  </w14:solidFill>
                </w14:textFill>
              </w:rPr>
              <w:t>风景名胜区、</w:t>
            </w:r>
            <w:r>
              <w:rPr>
                <w:rFonts w:ascii="Times New Roman" w:hAnsi="Times New Roman" w:eastAsia="宋体" w:cs="Times New Roman"/>
                <w:color w:val="000000" w:themeColor="text1"/>
                <w:highlight w:val="none"/>
                <w14:textFill>
                  <w14:solidFill>
                    <w14:schemeClr w14:val="tx1"/>
                  </w14:solidFill>
                </w14:textFill>
              </w:rPr>
              <w:t>水源地、珍稀动植物资源等重点保护目标</w:t>
            </w:r>
            <w:r>
              <w:rPr>
                <w:rFonts w:hint="eastAsia" w:ascii="Times New Roman" w:hAnsi="Times New Roman" w:eastAsia="宋体" w:cs="Times New Roman"/>
                <w:color w:val="000000" w:themeColor="text1"/>
                <w:highlight w:val="none"/>
                <w14:textFill>
                  <w14:solidFill>
                    <w14:schemeClr w14:val="tx1"/>
                  </w14:solidFill>
                </w14:textFill>
              </w:rPr>
              <w:t>，</w:t>
            </w:r>
            <w:r>
              <w:rPr>
                <w:rFonts w:ascii="Times New Roman" w:hAnsi="Times New Roman" w:eastAsia="宋体" w:cs="Times New Roman"/>
                <w:color w:val="000000" w:themeColor="text1"/>
                <w:highlight w:val="none"/>
                <w14:textFill>
                  <w14:solidFill>
                    <w14:schemeClr w14:val="tx1"/>
                  </w14:solidFill>
                </w14:textFill>
              </w:rPr>
              <w:t>本项目选址是合理可行的。</w:t>
            </w:r>
            <w:r>
              <w:rPr>
                <w:rFonts w:hint="eastAsia" w:ascii="Times New Roman" w:hAnsi="Times New Roman" w:eastAsia="宋体" w:cs="Times New Roman"/>
                <w:color w:val="000000" w:themeColor="text1"/>
                <w:highlight w:val="none"/>
                <w14:textFill>
                  <w14:solidFill>
                    <w14:schemeClr w14:val="tx1"/>
                  </w14:solidFill>
                </w14:textFill>
              </w:rPr>
              <w:t>选址合理性</w:t>
            </w:r>
            <w:r>
              <w:rPr>
                <w:rFonts w:hint="eastAsia"/>
                <w:color w:val="000000" w:themeColor="text1"/>
                <w:highlight w:val="none"/>
                <w14:textFill>
                  <w14:solidFill>
                    <w14:schemeClr w14:val="tx1"/>
                  </w14:solidFill>
                </w14:textFill>
              </w:rPr>
              <w:t>分析见表1-2</w:t>
            </w:r>
            <w:r>
              <w:rPr>
                <w:color w:val="000000" w:themeColor="text1"/>
                <w:highlight w:val="none"/>
                <w14:textFill>
                  <w14:solidFill>
                    <w14:schemeClr w14:val="tx1"/>
                  </w14:solidFill>
                </w14:textFill>
              </w:rPr>
              <w:t>。</w:t>
            </w:r>
          </w:p>
          <w:p w14:paraId="3B144619">
            <w:pPr>
              <w:tabs>
                <w:tab w:val="left" w:pos="0"/>
              </w:tabs>
              <w:adjustRightInd w:val="0"/>
              <w:snapToGrid w:val="0"/>
              <w:ind w:firstLine="482"/>
              <w:jc w:val="center"/>
              <w:textAlignment w:val="baseline"/>
              <w:rPr>
                <w:b/>
                <w:bCs/>
                <w:color w:val="000000" w:themeColor="text1"/>
                <w:kern w:val="0"/>
                <w:highlight w:val="none"/>
                <w14:textFill>
                  <w14:solidFill>
                    <w14:schemeClr w14:val="tx1"/>
                  </w14:solidFill>
                </w14:textFill>
              </w:rPr>
            </w:pPr>
            <w:r>
              <w:rPr>
                <w:b/>
                <w:bCs/>
                <w:color w:val="000000" w:themeColor="text1"/>
                <w:kern w:val="0"/>
                <w:highlight w:val="none"/>
                <w14:textFill>
                  <w14:solidFill>
                    <w14:schemeClr w14:val="tx1"/>
                  </w14:solidFill>
                </w14:textFill>
              </w:rPr>
              <w:t>表1-</w:t>
            </w:r>
            <w:r>
              <w:rPr>
                <w:rFonts w:hint="eastAsia"/>
                <w:b/>
                <w:bCs/>
                <w:color w:val="000000" w:themeColor="text1"/>
                <w:kern w:val="0"/>
                <w:highlight w:val="none"/>
                <w:lang w:val="en-US" w:eastAsia="zh-CN"/>
                <w14:textFill>
                  <w14:solidFill>
                    <w14:schemeClr w14:val="tx1"/>
                  </w14:solidFill>
                </w14:textFill>
              </w:rPr>
              <w:t>3</w:t>
            </w:r>
            <w:r>
              <w:rPr>
                <w:b/>
                <w:bCs/>
                <w:color w:val="000000" w:themeColor="text1"/>
                <w:kern w:val="0"/>
                <w:highlight w:val="none"/>
                <w14:textFill>
                  <w14:solidFill>
                    <w14:schemeClr w14:val="tx1"/>
                  </w14:solidFill>
                </w14:textFill>
              </w:rPr>
              <w:t>选址合理性分析表</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78"/>
              <w:gridCol w:w="2602"/>
              <w:gridCol w:w="849"/>
            </w:tblGrid>
            <w:tr w14:paraId="199E5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2316" w:type="pct"/>
                  <w:tcBorders>
                    <w:tl2br w:val="nil"/>
                    <w:tr2bl w:val="nil"/>
                  </w:tcBorders>
                  <w:noWrap w:val="0"/>
                  <w:vAlign w:val="center"/>
                </w:tcPr>
                <w:p w14:paraId="1E4D5BD6">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《危险废物贮存污染控制标准》</w:t>
                  </w:r>
                  <w:r>
                    <w:rPr>
                      <w:rFonts w:hint="default"/>
                      <w:color w:val="000000" w:themeColor="text1"/>
                      <w:lang w:val="en-US" w:eastAsia="zh-CN"/>
                      <w14:textFill>
                        <w14:solidFill>
                          <w14:schemeClr w14:val="tx1"/>
                        </w14:solidFill>
                      </w14:textFill>
                    </w:rPr>
                    <w:t>（GB18597-2023）中要求</w:t>
                  </w:r>
                </w:p>
              </w:tc>
              <w:tc>
                <w:tcPr>
                  <w:tcW w:w="2023" w:type="pct"/>
                  <w:tcBorders>
                    <w:tl2br w:val="nil"/>
                    <w:tr2bl w:val="nil"/>
                  </w:tcBorders>
                  <w:noWrap w:val="0"/>
                  <w:vAlign w:val="center"/>
                </w:tcPr>
                <w:p w14:paraId="28911B79">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本项目情况</w:t>
                  </w:r>
                </w:p>
              </w:tc>
              <w:tc>
                <w:tcPr>
                  <w:tcW w:w="660" w:type="pct"/>
                  <w:tcBorders>
                    <w:tl2br w:val="nil"/>
                    <w:tr2bl w:val="nil"/>
                  </w:tcBorders>
                  <w:noWrap w:val="0"/>
                  <w:vAlign w:val="center"/>
                </w:tcPr>
                <w:p w14:paraId="20B967D1">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是否符合要求</w:t>
                  </w:r>
                </w:p>
              </w:tc>
            </w:tr>
            <w:tr w14:paraId="31C42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16" w:type="pct"/>
                  <w:tcBorders>
                    <w:tl2br w:val="nil"/>
                    <w:tr2bl w:val="nil"/>
                  </w:tcBorders>
                  <w:noWrap w:val="0"/>
                  <w:vAlign w:val="center"/>
                </w:tcPr>
                <w:p w14:paraId="59ADEAF3">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5.1</w:t>
                  </w:r>
                  <w:r>
                    <w:rPr>
                      <w:rFonts w:hint="eastAsia"/>
                      <w:color w:val="000000" w:themeColor="text1"/>
                      <w:lang w:val="en-US" w:eastAsia="zh-CN"/>
                      <w14:textFill>
                        <w14:solidFill>
                          <w14:schemeClr w14:val="tx1"/>
                        </w14:solidFill>
                      </w14:textFill>
                    </w:rPr>
                    <w:t>贮存</w:t>
                  </w:r>
                  <w:r>
                    <w:rPr>
                      <w:rFonts w:hint="default"/>
                      <w:color w:val="000000" w:themeColor="text1"/>
                      <w:lang w:val="en-US" w:eastAsia="zh-CN"/>
                      <w14:textFill>
                        <w14:solidFill>
                          <w14:schemeClr w14:val="tx1"/>
                        </w14:solidFill>
                      </w14:textFill>
                    </w:rPr>
                    <w:t>设施选址应满足生态环境保护法律法规、规划和“三线一单”生态环境分区管控的要求，建设项目应依法进行环境影响评价。</w:t>
                  </w:r>
                </w:p>
              </w:tc>
              <w:tc>
                <w:tcPr>
                  <w:tcW w:w="2023" w:type="pct"/>
                  <w:tcBorders>
                    <w:tl2br w:val="nil"/>
                    <w:tr2bl w:val="nil"/>
                  </w:tcBorders>
                  <w:noWrap w:val="0"/>
                  <w:vAlign w:val="center"/>
                </w:tcPr>
                <w:p w14:paraId="31A9E0AE">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本项目位于</w:t>
                  </w:r>
                  <w:r>
                    <w:rPr>
                      <w:rFonts w:hint="eastAsia"/>
                      <w:color w:val="000000" w:themeColor="text1"/>
                      <w:highlight w:val="none"/>
                      <w:lang w:eastAsia="zh-CN"/>
                      <w14:textFill>
                        <w14:solidFill>
                          <w14:schemeClr w14:val="tx1"/>
                        </w14:solidFill>
                      </w14:textFill>
                    </w:rPr>
                    <w:t>内蒙古自治区鄂尔多斯市东胜区天骄南路42号客运中心后院5号商铺</w:t>
                  </w:r>
                  <w:r>
                    <w:rPr>
                      <w:rFonts w:hint="eastAsia"/>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鄂尔多斯市宇驰顺捷汽车销售服务有限公司现有</w:t>
                  </w:r>
                  <w:r>
                    <w:rPr>
                      <w:rFonts w:hint="eastAsia"/>
                      <w:color w:val="000000" w:themeColor="text1"/>
                      <w:highlight w:val="none"/>
                      <w14:textFill>
                        <w14:solidFill>
                          <w14:schemeClr w14:val="tx1"/>
                        </w14:solidFill>
                      </w14:textFill>
                    </w:rPr>
                    <w:t>厂区内</w:t>
                  </w:r>
                  <w:r>
                    <w:rPr>
                      <w:rFonts w:hint="default"/>
                      <w:color w:val="000000" w:themeColor="text1"/>
                      <w:lang w:val="en-US" w:eastAsia="zh-CN"/>
                      <w14:textFill>
                        <w14:solidFill>
                          <w14:schemeClr w14:val="tx1"/>
                        </w14:solidFill>
                      </w14:textFill>
                    </w:rPr>
                    <w:t>，符合“三线一单”生态环境分区管控的要求，并根据《建设项目环境影响评价分类管理名录》（2021年版）编制了环境影响评价报告</w:t>
                  </w:r>
                  <w:r>
                    <w:rPr>
                      <w:rFonts w:hint="eastAsia"/>
                      <w:color w:val="000000" w:themeColor="text1"/>
                      <w:lang w:val="en-US" w:eastAsia="zh-CN"/>
                      <w14:textFill>
                        <w14:solidFill>
                          <w14:schemeClr w14:val="tx1"/>
                        </w14:solidFill>
                      </w14:textFill>
                    </w:rPr>
                    <w:t>表</w:t>
                  </w:r>
                  <w:r>
                    <w:rPr>
                      <w:rFonts w:hint="default"/>
                      <w:color w:val="000000" w:themeColor="text1"/>
                      <w:lang w:val="en-US" w:eastAsia="zh-CN"/>
                      <w14:textFill>
                        <w14:solidFill>
                          <w14:schemeClr w14:val="tx1"/>
                        </w14:solidFill>
                      </w14:textFill>
                    </w:rPr>
                    <w:t>。</w:t>
                  </w:r>
                </w:p>
              </w:tc>
              <w:tc>
                <w:tcPr>
                  <w:tcW w:w="660" w:type="pct"/>
                  <w:tcBorders>
                    <w:tl2br w:val="nil"/>
                    <w:tr2bl w:val="nil"/>
                  </w:tcBorders>
                  <w:noWrap w:val="0"/>
                  <w:vAlign w:val="center"/>
                </w:tcPr>
                <w:p w14:paraId="464A9716">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符合</w:t>
                  </w:r>
                </w:p>
              </w:tc>
            </w:tr>
            <w:tr w14:paraId="57D77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16" w:type="pct"/>
                  <w:tcBorders>
                    <w:tl2br w:val="nil"/>
                    <w:tr2bl w:val="nil"/>
                  </w:tcBorders>
                  <w:noWrap w:val="0"/>
                  <w:vAlign w:val="center"/>
                </w:tcPr>
                <w:p w14:paraId="6A619AE1">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5.2集中</w:t>
                  </w:r>
                  <w:r>
                    <w:rPr>
                      <w:rFonts w:hint="eastAsia"/>
                      <w:color w:val="000000" w:themeColor="text1"/>
                      <w:lang w:val="en-US" w:eastAsia="zh-CN"/>
                      <w14:textFill>
                        <w14:solidFill>
                          <w14:schemeClr w14:val="tx1"/>
                        </w14:solidFill>
                      </w14:textFill>
                    </w:rPr>
                    <w:t>贮存</w:t>
                  </w:r>
                  <w:r>
                    <w:rPr>
                      <w:rFonts w:hint="default"/>
                      <w:color w:val="000000" w:themeColor="text1"/>
                      <w:lang w:val="en-US" w:eastAsia="zh-CN"/>
                      <w14:textFill>
                        <w14:solidFill>
                          <w14:schemeClr w14:val="tx1"/>
                        </w14:solidFill>
                      </w14:textFill>
                    </w:rPr>
                    <w:t>设施不应选在生态保护红线区域、永久基本农田和其他需要特别保护的区域内，不应建在溶洞区或易遭受洪水、滑坡、泥石流、潮汐等严重自然灾害影响的地区。</w:t>
                  </w:r>
                </w:p>
              </w:tc>
              <w:tc>
                <w:tcPr>
                  <w:tcW w:w="2023" w:type="pct"/>
                  <w:tcBorders>
                    <w:tl2br w:val="nil"/>
                    <w:tr2bl w:val="nil"/>
                  </w:tcBorders>
                  <w:noWrap w:val="0"/>
                  <w:vAlign w:val="center"/>
                </w:tcPr>
                <w:p w14:paraId="73AF6620">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本项目位于</w:t>
                  </w:r>
                  <w:r>
                    <w:rPr>
                      <w:rFonts w:hint="eastAsia"/>
                      <w:color w:val="000000" w:themeColor="text1"/>
                      <w:lang w:val="en-US" w:eastAsia="zh-CN"/>
                      <w14:textFill>
                        <w14:solidFill>
                          <w14:schemeClr w14:val="tx1"/>
                        </w14:solidFill>
                      </w14:textFill>
                    </w:rPr>
                    <w:t>内蒙古自治区鄂尔多斯市东胜区天骄南路42号客运中心后院5号商铺，不在</w:t>
                  </w:r>
                  <w:r>
                    <w:rPr>
                      <w:rFonts w:hint="default"/>
                      <w:color w:val="000000" w:themeColor="text1"/>
                      <w:lang w:val="en-US" w:eastAsia="zh-CN"/>
                      <w14:textFill>
                        <w14:solidFill>
                          <w14:schemeClr w14:val="tx1"/>
                        </w14:solidFill>
                      </w14:textFill>
                    </w:rPr>
                    <w:t>生态保护红线区域、永久基本农田和其他需要特别保护的区域内，不在溶洞区或易遭受洪水、滑坡、泥石流、潮汐等严重自然灾害影响的地区。</w:t>
                  </w:r>
                </w:p>
              </w:tc>
              <w:tc>
                <w:tcPr>
                  <w:tcW w:w="660" w:type="pct"/>
                  <w:tcBorders>
                    <w:tl2br w:val="nil"/>
                    <w:tr2bl w:val="nil"/>
                  </w:tcBorders>
                  <w:noWrap w:val="0"/>
                  <w:vAlign w:val="center"/>
                </w:tcPr>
                <w:p w14:paraId="43CF93A3">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符合</w:t>
                  </w:r>
                </w:p>
              </w:tc>
            </w:tr>
            <w:tr w14:paraId="13EE1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0" w:hRule="atLeast"/>
                <w:jc w:val="center"/>
              </w:trPr>
              <w:tc>
                <w:tcPr>
                  <w:tcW w:w="2316" w:type="pct"/>
                  <w:tcBorders>
                    <w:tl2br w:val="nil"/>
                    <w:tr2bl w:val="nil"/>
                  </w:tcBorders>
                  <w:noWrap w:val="0"/>
                  <w:vAlign w:val="center"/>
                </w:tcPr>
                <w:p w14:paraId="034292A2">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5.3</w:t>
                  </w:r>
                  <w:r>
                    <w:rPr>
                      <w:rFonts w:hint="eastAsia"/>
                      <w:color w:val="000000" w:themeColor="text1"/>
                      <w:lang w:val="en-US" w:eastAsia="zh-CN"/>
                      <w14:textFill>
                        <w14:solidFill>
                          <w14:schemeClr w14:val="tx1"/>
                        </w14:solidFill>
                      </w14:textFill>
                    </w:rPr>
                    <w:t>贮存</w:t>
                  </w:r>
                  <w:r>
                    <w:rPr>
                      <w:rFonts w:hint="default"/>
                      <w:color w:val="000000" w:themeColor="text1"/>
                      <w:lang w:val="en-US" w:eastAsia="zh-CN"/>
                      <w14:textFill>
                        <w14:solidFill>
                          <w14:schemeClr w14:val="tx1"/>
                        </w14:solidFill>
                      </w14:textFill>
                    </w:rPr>
                    <w:t>设施不应选在江河、湖泊、运河、渠道、水库及其最高水位线以下的滩地和岸坡，以及法律法规规定禁止</w:t>
                  </w:r>
                  <w:r>
                    <w:rPr>
                      <w:rFonts w:hint="eastAsia"/>
                      <w:color w:val="000000" w:themeColor="text1"/>
                      <w:lang w:val="en-US" w:eastAsia="zh-CN"/>
                      <w14:textFill>
                        <w14:solidFill>
                          <w14:schemeClr w14:val="tx1"/>
                        </w14:solidFill>
                      </w14:textFill>
                    </w:rPr>
                    <w:t>贮存</w:t>
                  </w:r>
                  <w:r>
                    <w:rPr>
                      <w:rFonts w:hint="default"/>
                      <w:color w:val="000000" w:themeColor="text1"/>
                      <w:lang w:val="en-US" w:eastAsia="zh-CN"/>
                      <w14:textFill>
                        <w14:solidFill>
                          <w14:schemeClr w14:val="tx1"/>
                        </w14:solidFill>
                      </w14:textFill>
                    </w:rPr>
                    <w:t>危险废物的其他地点。</w:t>
                  </w:r>
                </w:p>
              </w:tc>
              <w:tc>
                <w:tcPr>
                  <w:tcW w:w="2023" w:type="pct"/>
                  <w:tcBorders>
                    <w:tl2br w:val="nil"/>
                    <w:tr2bl w:val="nil"/>
                  </w:tcBorders>
                  <w:noWrap w:val="0"/>
                  <w:vAlign w:val="center"/>
                </w:tcPr>
                <w:p w14:paraId="57E4D5EA">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本项目位于</w:t>
                  </w:r>
                  <w:r>
                    <w:rPr>
                      <w:rFonts w:hint="eastAsia"/>
                      <w:color w:val="000000" w:themeColor="text1"/>
                      <w:lang w:val="en-US" w:eastAsia="zh-CN"/>
                      <w14:textFill>
                        <w14:solidFill>
                          <w14:schemeClr w14:val="tx1"/>
                        </w14:solidFill>
                      </w14:textFill>
                    </w:rPr>
                    <w:t>内蒙古自治区鄂尔多斯市东胜区天骄南路42号客运中心后院5号商铺</w:t>
                  </w:r>
                  <w:r>
                    <w:rPr>
                      <w:rFonts w:hint="default"/>
                      <w:color w:val="000000" w:themeColor="text1"/>
                      <w:lang w:val="en-US" w:eastAsia="zh-CN"/>
                      <w14:textFill>
                        <w14:solidFill>
                          <w14:schemeClr w14:val="tx1"/>
                        </w14:solidFill>
                      </w14:textFill>
                    </w:rPr>
                    <w:t>，不在江河、湖泊、运河、渠道、水库及其最高水位线以下的滩地和岸坡区域。</w:t>
                  </w:r>
                </w:p>
              </w:tc>
              <w:tc>
                <w:tcPr>
                  <w:tcW w:w="660" w:type="pct"/>
                  <w:tcBorders>
                    <w:tl2br w:val="nil"/>
                    <w:tr2bl w:val="nil"/>
                  </w:tcBorders>
                  <w:noWrap w:val="0"/>
                  <w:vAlign w:val="center"/>
                </w:tcPr>
                <w:p w14:paraId="4F1AFE7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符合</w:t>
                  </w:r>
                </w:p>
              </w:tc>
            </w:tr>
            <w:tr w14:paraId="3B891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16" w:type="pct"/>
                  <w:tcBorders>
                    <w:tl2br w:val="nil"/>
                    <w:tr2bl w:val="nil"/>
                  </w:tcBorders>
                  <w:noWrap w:val="0"/>
                  <w:vAlign w:val="center"/>
                </w:tcPr>
                <w:p w14:paraId="3495615D">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5.4</w:t>
                  </w:r>
                  <w:r>
                    <w:rPr>
                      <w:rFonts w:hint="eastAsia"/>
                      <w:color w:val="000000" w:themeColor="text1"/>
                      <w:lang w:val="en-US" w:eastAsia="zh-CN"/>
                      <w14:textFill>
                        <w14:solidFill>
                          <w14:schemeClr w14:val="tx1"/>
                        </w14:solidFill>
                      </w14:textFill>
                    </w:rPr>
                    <w:t>贮存</w:t>
                  </w:r>
                  <w:r>
                    <w:rPr>
                      <w:rFonts w:hint="default"/>
                      <w:color w:val="000000" w:themeColor="text1"/>
                      <w:lang w:val="en-US" w:eastAsia="zh-CN"/>
                      <w14:textFill>
                        <w14:solidFill>
                          <w14:schemeClr w14:val="tx1"/>
                        </w14:solidFill>
                      </w14:textFill>
                    </w:rPr>
                    <w:t>设施场址的位置以及其与周围环境敏感目标的距离应依据环境影响评价文件确定。</w:t>
                  </w:r>
                </w:p>
              </w:tc>
              <w:tc>
                <w:tcPr>
                  <w:tcW w:w="2023" w:type="pct"/>
                  <w:tcBorders>
                    <w:tl2br w:val="nil"/>
                    <w:tr2bl w:val="nil"/>
                  </w:tcBorders>
                  <w:noWrap w:val="0"/>
                  <w:vAlign w:val="center"/>
                </w:tcPr>
                <w:p w14:paraId="3523CCB0">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本项目周围500m范围内无环境敏感目标</w:t>
                  </w:r>
                  <w:r>
                    <w:rPr>
                      <w:rFonts w:hint="default"/>
                      <w:color w:val="000000" w:themeColor="text1"/>
                      <w:lang w:val="en-US" w:eastAsia="zh-CN"/>
                      <w14:textFill>
                        <w14:solidFill>
                          <w14:schemeClr w14:val="tx1"/>
                        </w14:solidFill>
                      </w14:textFill>
                    </w:rPr>
                    <w:t>，经大气环境影响分析，本项目不设置大气防护距离。</w:t>
                  </w:r>
                </w:p>
              </w:tc>
              <w:tc>
                <w:tcPr>
                  <w:tcW w:w="660" w:type="pct"/>
                  <w:tcBorders>
                    <w:tl2br w:val="nil"/>
                    <w:tr2bl w:val="nil"/>
                  </w:tcBorders>
                  <w:noWrap w:val="0"/>
                  <w:vAlign w:val="center"/>
                </w:tcPr>
                <w:p w14:paraId="296A98F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符合</w:t>
                  </w:r>
                </w:p>
              </w:tc>
            </w:tr>
          </w:tbl>
          <w:p w14:paraId="51A83AF3">
            <w:pPr>
              <w:adjustRightInd w:val="0"/>
              <w:snapToGrid w:val="0"/>
              <w:ind w:firstLine="482"/>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4、“三线一单”符合性分析</w:t>
            </w:r>
          </w:p>
          <w:p w14:paraId="7814D102">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根据《鄂尔多斯市人民政府关于“三线一单”生态环境分区管控的实施意见》</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鄂府发〔2021〕218号</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及《鄂尔多斯市生态环境分区管控动态更新成果</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2023年版</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》的通知，调整后，全市划分优先保护、重点管控、一般管控</w:t>
            </w:r>
            <w:r>
              <w:rPr>
                <w:rFonts w:hint="eastAsia"/>
                <w:color w:val="000000" w:themeColor="text1"/>
                <w:lang w:eastAsia="zh-CN"/>
                <w14:textFill>
                  <w14:solidFill>
                    <w14:schemeClr w14:val="tx1"/>
                  </w14:solidFill>
                </w14:textFill>
              </w:rPr>
              <w:t>2类</w:t>
            </w:r>
            <w:r>
              <w:rPr>
                <w:rFonts w:hint="eastAsia"/>
                <w:color w:val="000000" w:themeColor="text1"/>
                <w14:textFill>
                  <w14:solidFill>
                    <w14:schemeClr w14:val="tx1"/>
                  </w14:solidFill>
                </w14:textFill>
              </w:rPr>
              <w:t>，共171个环境管控单元。</w:t>
            </w:r>
          </w:p>
          <w:p w14:paraId="5925760B">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优先保护单元。共76个，面积占比为64.35%，主要包括我市生态保护红线、自然保护地、集中式饮用水水源保护区等生态功能重要区和生态环境敏感区。该区域以生态环境保护优先为原则，依法禁止或限制大规模、高强度的工业开发和城镇建设，确保生态环境功能不降低。</w:t>
            </w:r>
          </w:p>
          <w:p w14:paraId="4661087E">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重点管控单元。共86个，面积占比为28.10%，主要包括工业园区、城市、矿区等开发强度高、污染排放量大、环境问题相对集中的区域，以及生态需水补给区等。该区域应不断提升资源利用效率，有针对性地加强污染物排放控制和环境风险防控，解决生态环境质量不达标、生态环境风险高等问题。</w:t>
            </w:r>
          </w:p>
          <w:p w14:paraId="18D60813">
            <w:pPr>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一般管控单元。共9个，面积占比为7.56%，优先保护单元、重点管控单元之外为一般管控单元。该区域主要落实生态环境保护基本要求。</w:t>
            </w:r>
          </w:p>
          <w:p w14:paraId="63987510">
            <w:pPr>
              <w:adjustRightInd w:val="0"/>
              <w:snapToGrid w:val="0"/>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①生态保护红线</w:t>
            </w:r>
          </w:p>
          <w:p w14:paraId="077A9EC1">
            <w:pPr>
              <w:snapToGrid w:val="0"/>
              <w:spacing w:before="120" w:beforeLines="50" w:line="360" w:lineRule="auto"/>
              <w:ind w:firstLine="480" w:firstLineChars="200"/>
              <w:contextualSpacing/>
              <w:rPr>
                <w:color w:val="000000" w:themeColor="text1"/>
                <w:kern w:val="0"/>
                <w:sz w:val="24"/>
                <w:highlight w:val="none"/>
                <w14:textFill>
                  <w14:solidFill>
                    <w14:schemeClr w14:val="tx1"/>
                  </w14:solidFill>
                </w14:textFill>
              </w:rPr>
            </w:pPr>
            <w:r>
              <w:rPr>
                <w:color w:val="000000" w:themeColor="text1"/>
                <w:kern w:val="0"/>
                <w:sz w:val="24"/>
                <w:highlight w:val="none"/>
                <w14:textFill>
                  <w14:solidFill>
                    <w14:schemeClr w14:val="tx1"/>
                  </w14:solidFill>
                </w14:textFill>
              </w:rPr>
              <w:t>全市生态保护红线面积22900.81平方千米，占全市总面积的26.36%；一般生态空间面积31508.13平方千米，占全市总面积的36.27%。生态保护红线确保“生态功能不降低、面积不减少、性质不改变”，生态空间格局保持基本稳定。生态保护红线和一般生态空间面积根据国家和自治区最新批复及时动态调整。</w:t>
            </w:r>
          </w:p>
          <w:p w14:paraId="6CF39BD0">
            <w:pPr>
              <w:adjustRightInd w:val="0"/>
              <w:snapToGrid w:val="0"/>
              <w:ind w:firstLine="480"/>
              <w:rPr>
                <w:rFonts w:hint="eastAsia"/>
                <w:color w:val="000000" w:themeColor="text1"/>
                <w:highlight w:val="none"/>
                <w:lang w:eastAsia="zh-CN"/>
                <w14:textFill>
                  <w14:solidFill>
                    <w14:schemeClr w14:val="tx1"/>
                  </w14:solidFill>
                </w14:textFill>
              </w:rPr>
            </w:pPr>
            <w:r>
              <w:rPr>
                <w:color w:val="000000" w:themeColor="text1"/>
                <w:highlight w:val="none"/>
                <w14:textFill>
                  <w14:solidFill>
                    <w14:schemeClr w14:val="tx1"/>
                  </w14:solidFill>
                </w14:textFill>
              </w:rPr>
              <w:t>本项目建设地点位于</w:t>
            </w:r>
            <w:r>
              <w:rPr>
                <w:rFonts w:hint="eastAsia"/>
                <w:color w:val="000000" w:themeColor="text1"/>
                <w:highlight w:val="none"/>
                <w:lang w:eastAsia="zh-CN"/>
                <w14:textFill>
                  <w14:solidFill>
                    <w14:schemeClr w14:val="tx1"/>
                  </w14:solidFill>
                </w14:textFill>
              </w:rPr>
              <w:t>内蒙古自治区鄂尔多斯市东胜区天骄南路42号客运中心后院5号商铺</w:t>
            </w:r>
            <w:r>
              <w:rPr>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鄂尔多斯市宇驰顺捷汽车销售服务有限公司现有</w:t>
            </w:r>
            <w:r>
              <w:rPr>
                <w:color w:val="000000" w:themeColor="text1"/>
                <w:highlight w:val="none"/>
                <w14:textFill>
                  <w14:solidFill>
                    <w14:schemeClr w14:val="tx1"/>
                  </w14:solidFill>
                </w14:textFill>
              </w:rPr>
              <w:t>厂区内，</w:t>
            </w:r>
            <w:r>
              <w:rPr>
                <w:rFonts w:ascii="Times New Roman" w:hAnsi="Times New Roman" w:eastAsia="宋体" w:cs="Times New Roman"/>
                <w:color w:val="000000" w:themeColor="text1"/>
                <w:highlight w:val="none"/>
                <w14:textFill>
                  <w14:solidFill>
                    <w14:schemeClr w14:val="tx1"/>
                  </w14:solidFill>
                </w14:textFill>
              </w:rPr>
              <w:t>属于东胜区城镇边界重点管控单元，本</w:t>
            </w:r>
            <w:r>
              <w:rPr>
                <w:color w:val="000000" w:themeColor="text1"/>
                <w:highlight w:val="none"/>
                <w14:textFill>
                  <w14:solidFill>
                    <w14:schemeClr w14:val="tx1"/>
                  </w14:solidFill>
                </w14:textFill>
              </w:rPr>
              <w:t>项目厂址不在自然保护区、风景名胜区、基本农田保护区、饮用水源保护区等生态目标保护范围内，本项目建设满足生态保护红线相关要求</w:t>
            </w:r>
            <w:r>
              <w:rPr>
                <w:rFonts w:hint="eastAsia"/>
                <w:color w:val="000000" w:themeColor="text1"/>
                <w:highlight w:val="none"/>
                <w:lang w:eastAsia="zh-CN"/>
                <w14:textFill>
                  <w14:solidFill>
                    <w14:schemeClr w14:val="tx1"/>
                  </w14:solidFill>
                </w14:textFill>
              </w:rPr>
              <w:t>。</w:t>
            </w:r>
          </w:p>
          <w:p w14:paraId="07A373BC">
            <w:pPr>
              <w:adjustRightInd w:val="0"/>
              <w:snapToGrid w:val="0"/>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②环境质量底线</w:t>
            </w:r>
          </w:p>
          <w:p w14:paraId="00D51D2A">
            <w:pPr>
              <w:adjustRightInd w:val="0"/>
              <w:snapToGrid w:val="0"/>
              <w:ind w:firstLine="480"/>
              <w:rPr>
                <w:color w:val="000000" w:themeColor="text1"/>
                <w:highlight w:val="none"/>
                <w14:textFill>
                  <w14:solidFill>
                    <w14:schemeClr w14:val="tx1"/>
                  </w14:solidFill>
                </w14:textFill>
              </w:rPr>
            </w:pPr>
            <w:r>
              <w:rPr>
                <w:rFonts w:hint="default"/>
                <w:color w:val="000000" w:themeColor="text1"/>
                <w:highlight w:val="none"/>
                <w14:textFill>
                  <w14:solidFill>
                    <w14:schemeClr w14:val="tx1"/>
                  </w14:solidFill>
                </w14:textFill>
              </w:rPr>
              <w:t>根据内蒙古自治区生态环境厅2024年6月3日公布的《2023年内蒙古自治区生态环境状况公报》中“全区城市环境空气质量”结论：“2023年，全区12盟市中，除乌海市，其他11个盟市环境空气质量均达标”。项目位于内蒙古自治区鄂尔多斯市</w:t>
            </w:r>
            <w:r>
              <w:rPr>
                <w:rFonts w:hint="eastAsia"/>
                <w:color w:val="000000" w:themeColor="text1"/>
                <w:highlight w:val="none"/>
                <w:lang w:val="en-US" w:eastAsia="zh-CN"/>
                <w14:textFill>
                  <w14:solidFill>
                    <w14:schemeClr w14:val="tx1"/>
                  </w14:solidFill>
                </w14:textFill>
              </w:rPr>
              <w:t>东胜区</w:t>
            </w:r>
            <w:r>
              <w:rPr>
                <w:rFonts w:hint="default"/>
                <w:color w:val="000000" w:themeColor="text1"/>
                <w:highlight w:val="none"/>
                <w14:textFill>
                  <w14:solidFill>
                    <w14:schemeClr w14:val="tx1"/>
                  </w14:solidFill>
                </w14:textFill>
              </w:rPr>
              <w:t>，因此项目所在区域环境空气质量属于达标区。</w:t>
            </w:r>
            <w:r>
              <w:rPr>
                <w:color w:val="000000" w:themeColor="text1"/>
                <w:highlight w:val="none"/>
                <w14:textFill>
                  <w14:solidFill>
                    <w14:schemeClr w14:val="tx1"/>
                  </w14:solidFill>
                </w14:textFill>
              </w:rPr>
              <w:t>本项目运营期产生的污染物</w:t>
            </w:r>
            <w:r>
              <w:rPr>
                <w:rFonts w:hint="eastAsia"/>
                <w:color w:val="000000" w:themeColor="text1"/>
                <w:highlight w:val="none"/>
                <w14:textFill>
                  <w14:solidFill>
                    <w14:schemeClr w14:val="tx1"/>
                  </w14:solidFill>
                </w14:textFill>
              </w:rPr>
              <w:t>主要为非甲烷总烃</w:t>
            </w:r>
            <w:r>
              <w:rPr>
                <w:color w:val="000000" w:themeColor="text1"/>
                <w:highlight w:val="none"/>
                <w14:textFill>
                  <w14:solidFill>
                    <w14:schemeClr w14:val="tx1"/>
                  </w14:solidFill>
                </w14:textFill>
              </w:rPr>
              <w:t>，</w:t>
            </w:r>
            <w:r>
              <w:rPr>
                <w:color w:val="000000" w:themeColor="text1"/>
                <w:kern w:val="0"/>
                <w:highlight w:val="none"/>
                <w14:textFill>
                  <w14:solidFill>
                    <w14:schemeClr w14:val="tx1"/>
                  </w14:solidFill>
                </w14:textFill>
              </w:rPr>
              <w:t>非甲烷总烃质量现状监测数据由</w:t>
            </w:r>
            <w:r>
              <w:rPr>
                <w:rFonts w:hint="eastAsia"/>
                <w:color w:val="000000" w:themeColor="text1"/>
                <w:highlight w:val="none"/>
                <w:lang w:eastAsia="zh-CN"/>
                <w14:textFill>
                  <w14:solidFill>
                    <w14:schemeClr w14:val="tx1"/>
                  </w14:solidFill>
                </w14:textFill>
              </w:rPr>
              <w:t>内蒙古华予环境检测有限公司</w:t>
            </w:r>
            <w:r>
              <w:rPr>
                <w:color w:val="000000" w:themeColor="text1"/>
                <w:kern w:val="0"/>
                <w:highlight w:val="none"/>
                <w14:textFill>
                  <w14:solidFill>
                    <w14:schemeClr w14:val="tx1"/>
                  </w14:solidFill>
                </w14:textFill>
              </w:rPr>
              <w:t>于202</w:t>
            </w:r>
            <w:r>
              <w:rPr>
                <w:rFonts w:hint="eastAsia"/>
                <w:color w:val="000000" w:themeColor="text1"/>
                <w:kern w:val="0"/>
                <w:highlight w:val="none"/>
                <w:lang w:val="en-US" w:eastAsia="zh-CN"/>
                <w14:textFill>
                  <w14:solidFill>
                    <w14:schemeClr w14:val="tx1"/>
                  </w14:solidFill>
                </w14:textFill>
              </w:rPr>
              <w:t>5</w:t>
            </w:r>
            <w:r>
              <w:rPr>
                <w:color w:val="000000" w:themeColor="text1"/>
                <w:kern w:val="0"/>
                <w:highlight w:val="none"/>
                <w14:textFill>
                  <w14:solidFill>
                    <w14:schemeClr w14:val="tx1"/>
                  </w14:solidFill>
                </w14:textFill>
              </w:rPr>
              <w:t>年1月</w:t>
            </w:r>
            <w:r>
              <w:rPr>
                <w:rFonts w:hint="eastAsia"/>
                <w:color w:val="000000" w:themeColor="text1"/>
                <w:kern w:val="0"/>
                <w:highlight w:val="none"/>
                <w:lang w:val="en-US" w:eastAsia="zh-CN"/>
                <w14:textFill>
                  <w14:solidFill>
                    <w14:schemeClr w14:val="tx1"/>
                  </w14:solidFill>
                </w14:textFill>
              </w:rPr>
              <w:t>11</w:t>
            </w:r>
            <w:r>
              <w:rPr>
                <w:color w:val="000000" w:themeColor="text1"/>
                <w:kern w:val="0"/>
                <w:highlight w:val="none"/>
                <w14:textFill>
                  <w14:solidFill>
                    <w14:schemeClr w14:val="tx1"/>
                  </w14:solidFill>
                </w14:textFill>
              </w:rPr>
              <w:t>日-202</w:t>
            </w:r>
            <w:r>
              <w:rPr>
                <w:rFonts w:hint="eastAsia"/>
                <w:color w:val="000000" w:themeColor="text1"/>
                <w:kern w:val="0"/>
                <w:highlight w:val="none"/>
                <w:lang w:val="en-US" w:eastAsia="zh-CN"/>
                <w14:textFill>
                  <w14:solidFill>
                    <w14:schemeClr w14:val="tx1"/>
                  </w14:solidFill>
                </w14:textFill>
              </w:rPr>
              <w:t>5</w:t>
            </w:r>
            <w:r>
              <w:rPr>
                <w:color w:val="000000" w:themeColor="text1"/>
                <w:kern w:val="0"/>
                <w:highlight w:val="none"/>
                <w14:textFill>
                  <w14:solidFill>
                    <w14:schemeClr w14:val="tx1"/>
                  </w14:solidFill>
                </w14:textFill>
              </w:rPr>
              <w:t>年1月</w:t>
            </w:r>
            <w:r>
              <w:rPr>
                <w:rFonts w:hint="eastAsia"/>
                <w:color w:val="000000" w:themeColor="text1"/>
                <w:kern w:val="0"/>
                <w:highlight w:val="none"/>
                <w:lang w:val="en-US" w:eastAsia="zh-CN"/>
                <w14:textFill>
                  <w14:solidFill>
                    <w14:schemeClr w14:val="tx1"/>
                  </w14:solidFill>
                </w14:textFill>
              </w:rPr>
              <w:t>13</w:t>
            </w:r>
            <w:r>
              <w:rPr>
                <w:color w:val="000000" w:themeColor="text1"/>
                <w:kern w:val="0"/>
                <w:highlight w:val="none"/>
                <w14:textFill>
                  <w14:solidFill>
                    <w14:schemeClr w14:val="tx1"/>
                  </w14:solidFill>
                </w14:textFill>
              </w:rPr>
              <w:t>日进行连续三天监测，</w:t>
            </w:r>
            <w:r>
              <w:rPr>
                <w:rFonts w:hint="eastAsia" w:ascii="Times New Roman" w:hAnsi="Times New Roman" w:eastAsia="宋体" w:cs="Times New Roman"/>
                <w:color w:val="000000" w:themeColor="text1"/>
                <w:kern w:val="0"/>
                <w:highlight w:val="none"/>
                <w14:textFill>
                  <w14:solidFill>
                    <w14:schemeClr w14:val="tx1"/>
                  </w14:solidFill>
                </w14:textFill>
              </w:rPr>
              <w:t>非甲烷总烃</w:t>
            </w:r>
            <w:r>
              <w:rPr>
                <w:rFonts w:hint="eastAsia" w:ascii="Times New Roman" w:hAnsi="Times New Roman" w:eastAsia="宋体" w:cs="Times New Roman"/>
                <w:color w:val="000000" w:themeColor="text1"/>
                <w:kern w:val="0"/>
                <w:highlight w:val="none"/>
                <w:lang w:val="en-US" w:eastAsia="zh-CN"/>
                <w14:textFill>
                  <w14:solidFill>
                    <w14:schemeClr w14:val="tx1"/>
                  </w14:solidFill>
                </w14:textFill>
              </w:rPr>
              <w:t>1h浓度平均值满足</w:t>
            </w:r>
            <w:r>
              <w:rPr>
                <w:rFonts w:ascii="Times New Roman" w:hAnsi="Times New Roman" w:eastAsia="宋体" w:cs="Times New Roman"/>
                <w:color w:val="000000" w:themeColor="text1"/>
                <w:kern w:val="0"/>
                <w:highlight w:val="none"/>
                <w14:textFill>
                  <w14:solidFill>
                    <w14:schemeClr w14:val="tx1"/>
                  </w14:solidFill>
                </w14:textFill>
              </w:rPr>
              <w:t>《环境空气质量非甲烷总烃限值》（DB13/1577-2012）</w:t>
            </w:r>
            <w:r>
              <w:rPr>
                <w:rFonts w:hint="eastAsia"/>
                <w:color w:val="000000" w:themeColor="text1"/>
                <w:sz w:val="24"/>
                <w:highlight w:val="none"/>
                <w:lang w:val="en-US" w:eastAsia="zh-CN"/>
                <w14:textFill>
                  <w14:solidFill>
                    <w14:schemeClr w14:val="tx1"/>
                  </w14:solidFill>
                </w14:textFill>
              </w:rPr>
              <w:t>表1中二级标准限值</w:t>
            </w:r>
            <w:r>
              <w:rPr>
                <w:rFonts w:hint="eastAsia" w:ascii="Times New Roman" w:hAnsi="Times New Roman" w:eastAsia="宋体" w:cs="Times New Roman"/>
                <w:color w:val="000000" w:themeColor="text1"/>
                <w:kern w:val="0"/>
                <w:highlight w:val="none"/>
                <w14:textFill>
                  <w14:solidFill>
                    <w14:schemeClr w14:val="tx1"/>
                  </w14:solidFill>
                </w14:textFill>
              </w:rPr>
              <w:t>要</w:t>
            </w:r>
            <w:r>
              <w:rPr>
                <w:rFonts w:hint="eastAsia"/>
                <w:color w:val="000000" w:themeColor="text1"/>
                <w:kern w:val="0"/>
                <w:highlight w:val="none"/>
                <w14:textFill>
                  <w14:solidFill>
                    <w14:schemeClr w14:val="tx1"/>
                  </w14:solidFill>
                </w14:textFill>
              </w:rPr>
              <w:t>求。</w:t>
            </w:r>
          </w:p>
          <w:p w14:paraId="4CFCFD9C">
            <w:pPr>
              <w:adjustRightInd w:val="0"/>
              <w:snapToGrid w:val="0"/>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综上所述，区域环境质量现状较好，具有环境容量，本项目采取规定的治理措施后，在正常运营情况下，各类污染物的排放一般不会对周边环境造成不良影响，即不会改变区域环境功能区质量要求，能维持环境功能区质量现状。</w:t>
            </w:r>
          </w:p>
          <w:p w14:paraId="7B9B250F">
            <w:pPr>
              <w:adjustRightInd w:val="0"/>
              <w:snapToGrid w:val="0"/>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③资源利用上线</w:t>
            </w:r>
          </w:p>
          <w:p w14:paraId="1E54BA4D">
            <w:pPr>
              <w:bidi w:val="0"/>
              <w:rPr>
                <w:rFonts w:hint="eastAsia"/>
                <w:color w:val="000000" w:themeColor="text1"/>
                <w14:textFill>
                  <w14:solidFill>
                    <w14:schemeClr w14:val="tx1"/>
                  </w14:solidFill>
                </w14:textFill>
              </w:rPr>
            </w:pPr>
            <w:r>
              <w:rPr>
                <w:rFonts w:hint="eastAsia"/>
                <w:color w:val="000000" w:themeColor="text1"/>
                <w:lang w:val="zh-CN"/>
                <w14:textFill>
                  <w14:solidFill>
                    <w14:schemeClr w14:val="tx1"/>
                  </w14:solidFill>
                </w14:textFill>
              </w:rPr>
              <w:t>全市水资源、土地资源、能源利用上线相关指标要求达到国家、自治区“十四五”下达的总量、强度、效率等控制要求。本项目建成后</w:t>
            </w:r>
            <w:r>
              <w:rPr>
                <w:rFonts w:hint="eastAsia"/>
                <w:color w:val="000000" w:themeColor="text1"/>
                <w:lang w:val="en-US" w:eastAsia="zh-CN"/>
                <w14:textFill>
                  <w14:solidFill>
                    <w14:schemeClr w14:val="tx1"/>
                  </w14:solidFill>
                </w14:textFill>
              </w:rPr>
              <w:t>无生产、生活用水</w:t>
            </w:r>
            <w:r>
              <w:rPr>
                <w:rFonts w:hint="eastAsia"/>
                <w:color w:val="000000" w:themeColor="text1"/>
                <w:lang w:val="zh-CN"/>
                <w14:textFill>
                  <w14:solidFill>
                    <w14:schemeClr w14:val="tx1"/>
                  </w14:solidFill>
                </w14:textFill>
              </w:rPr>
              <w:t>、</w:t>
            </w:r>
            <w:r>
              <w:rPr>
                <w:rFonts w:hint="eastAsia"/>
                <w:color w:val="000000" w:themeColor="text1"/>
                <w:lang w:val="en-US" w:eastAsia="zh-CN"/>
                <w14:textFill>
                  <w14:solidFill>
                    <w14:schemeClr w14:val="tx1"/>
                  </w14:solidFill>
                </w14:textFill>
              </w:rPr>
              <w:t>仅有少量供电设施</w:t>
            </w:r>
            <w:r>
              <w:rPr>
                <w:rFonts w:hint="eastAsia"/>
                <w:color w:val="000000" w:themeColor="text1"/>
                <w:lang w:val="zh-CN"/>
                <w14:textFill>
                  <w14:solidFill>
                    <w14:schemeClr w14:val="tx1"/>
                  </w14:solidFill>
                </w14:textFill>
              </w:rPr>
              <w:t>，但用量相对较少；本项目用地面积</w:t>
            </w:r>
            <w:r>
              <w:rPr>
                <w:rFonts w:hint="eastAsia"/>
                <w:color w:val="000000" w:themeColor="text1"/>
                <w:lang w:val="en-US" w:eastAsia="zh-CN"/>
                <w14:textFill>
                  <w14:solidFill>
                    <w14:schemeClr w14:val="tx1"/>
                  </w14:solidFill>
                </w14:textFill>
              </w:rPr>
              <w:t>7㎡，在</w:t>
            </w:r>
            <w:r>
              <w:rPr>
                <w:rFonts w:hint="eastAsia" w:cs="Times New Roman"/>
                <w:color w:val="000000" w:themeColor="text1"/>
                <w:highlight w:val="none"/>
                <w:lang w:eastAsia="zh-CN"/>
                <w14:textFill>
                  <w14:solidFill>
                    <w14:schemeClr w14:val="tx1"/>
                  </w14:solidFill>
                </w14:textFill>
              </w:rPr>
              <w:t>鄂尔多斯市宇驰顺捷汽车销售服务有限公司现有</w:t>
            </w:r>
            <w:r>
              <w:rPr>
                <w:rFonts w:hint="eastAsia" w:ascii="Times New Roman" w:hAnsi="Times New Roman" w:eastAsia="宋体" w:cs="Times New Roman"/>
                <w:color w:val="000000" w:themeColor="text1"/>
                <w:highlight w:val="none"/>
                <w14:textFill>
                  <w14:solidFill>
                    <w14:schemeClr w14:val="tx1"/>
                  </w14:solidFill>
                </w14:textFill>
              </w:rPr>
              <w:t>厂区内建设，</w:t>
            </w:r>
            <w:r>
              <w:rPr>
                <w:rFonts w:hint="eastAsia"/>
                <w:color w:val="000000" w:themeColor="text1"/>
                <w14:textFill>
                  <w14:solidFill>
                    <w14:schemeClr w14:val="tx1"/>
                  </w14:solidFill>
                </w14:textFill>
              </w:rPr>
              <w:t>用地性质为</w:t>
            </w:r>
            <w:r>
              <w:rPr>
                <w:rFonts w:hint="eastAsia"/>
                <w:color w:val="000000" w:themeColor="text1"/>
                <w:lang w:val="en-US" w:eastAsia="zh-CN"/>
                <w14:textFill>
                  <w14:solidFill>
                    <w14:schemeClr w14:val="tx1"/>
                  </w14:solidFill>
                </w14:textFill>
              </w:rPr>
              <w:t>工</w:t>
            </w:r>
            <w:r>
              <w:rPr>
                <w:rFonts w:hint="eastAsia"/>
                <w:color w:val="000000" w:themeColor="text1"/>
                <w14:textFill>
                  <w14:solidFill>
                    <w14:schemeClr w14:val="tx1"/>
                  </w14:solidFill>
                </w14:textFill>
              </w:rPr>
              <w:t>业用地，</w:t>
            </w:r>
            <w:r>
              <w:rPr>
                <w:rFonts w:hint="eastAsia"/>
                <w:color w:val="000000" w:themeColor="text1"/>
                <w:lang w:val="en-US" w:eastAsia="zh-CN"/>
                <w14:textFill>
                  <w14:solidFill>
                    <w14:schemeClr w14:val="tx1"/>
                  </w14:solidFill>
                </w14:textFill>
              </w:rPr>
              <w:t>不新增用地，</w:t>
            </w:r>
            <w:r>
              <w:rPr>
                <w:rFonts w:hint="eastAsia"/>
                <w:color w:val="000000" w:themeColor="text1"/>
                <w:lang w:val="zh-CN"/>
                <w14:textFill>
                  <w14:solidFill>
                    <w14:schemeClr w14:val="tx1"/>
                  </w14:solidFill>
                </w14:textFill>
              </w:rPr>
              <w:t>不涉及永久基本农田等问题，土地资源消耗符合要求。因此，本项目资源利用不会超出当地资源利用上线，满足相关要求。</w:t>
            </w:r>
          </w:p>
          <w:p w14:paraId="46CE9FF8">
            <w:pPr>
              <w:adjustRightInd w:val="0"/>
              <w:snapToGrid w:val="0"/>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④生态环境准入清单</w:t>
            </w:r>
          </w:p>
          <w:p w14:paraId="6893528F">
            <w:pPr>
              <w:adjustRightInd w:val="0"/>
              <w:snapToGrid w:val="0"/>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本项目建设地点位于</w:t>
            </w:r>
            <w:r>
              <w:rPr>
                <w:rFonts w:hint="eastAsia"/>
                <w:color w:val="000000" w:themeColor="text1"/>
                <w:highlight w:val="none"/>
                <w:lang w:eastAsia="zh-CN"/>
                <w14:textFill>
                  <w14:solidFill>
                    <w14:schemeClr w14:val="tx1"/>
                  </w14:solidFill>
                </w14:textFill>
              </w:rPr>
              <w:t>内蒙古自治区鄂尔多斯市东胜区天骄南路42号客运中心后院5号商铺</w:t>
            </w:r>
            <w:r>
              <w:rPr>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鄂尔多斯市宇驰顺捷汽车销售服务有限公司现有</w:t>
            </w:r>
            <w:r>
              <w:rPr>
                <w:color w:val="000000" w:themeColor="text1"/>
                <w:highlight w:val="none"/>
                <w14:textFill>
                  <w14:solidFill>
                    <w14:schemeClr w14:val="tx1"/>
                  </w14:solidFill>
                </w14:textFill>
              </w:rPr>
              <w:t>厂区内，根据《鄂尔多斯市生态环境准入清单》，本项目位于东胜区城镇边界重点管控单元</w:t>
            </w:r>
            <w:r>
              <w:rPr>
                <w:rFonts w:hint="eastAsia"/>
                <w:color w:val="000000" w:themeColor="text1"/>
                <w:highlight w:val="none"/>
                <w14:textFill>
                  <w14:solidFill>
                    <w14:schemeClr w14:val="tx1"/>
                  </w14:solidFill>
                </w14:textFill>
              </w:rPr>
              <w:t>，</w:t>
            </w:r>
            <w:r>
              <w:rPr>
                <w:color w:val="000000" w:themeColor="text1"/>
                <w:highlight w:val="none"/>
                <w14:textFill>
                  <w14:solidFill>
                    <w14:schemeClr w14:val="tx1"/>
                  </w14:solidFill>
                </w14:textFill>
              </w:rPr>
              <w:t>管控单元编码为：ZH1506</w:t>
            </w:r>
            <w:r>
              <w:rPr>
                <w:rFonts w:hint="eastAsia"/>
                <w:color w:val="000000" w:themeColor="text1"/>
                <w:highlight w:val="none"/>
                <w14:textFill>
                  <w14:solidFill>
                    <w14:schemeClr w14:val="tx1"/>
                  </w14:solidFill>
                </w14:textFill>
              </w:rPr>
              <w:t>022001</w:t>
            </w:r>
            <w:r>
              <w:rPr>
                <w:rFonts w:hint="eastAsia"/>
                <w:color w:val="000000" w:themeColor="text1"/>
                <w:highlight w:val="none"/>
                <w:lang w:val="en-US" w:eastAsia="zh-CN"/>
                <w14:textFill>
                  <w14:solidFill>
                    <w14:schemeClr w14:val="tx1"/>
                  </w14:solidFill>
                </w14:textFill>
              </w:rPr>
              <w:t>0</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本项目与该单元管控要求符合性分析见下</w:t>
            </w:r>
            <w:r>
              <w:rPr>
                <w:color w:val="000000" w:themeColor="text1"/>
                <w:highlight w:val="none"/>
                <w14:textFill>
                  <w14:solidFill>
                    <w14:schemeClr w14:val="tx1"/>
                  </w14:solidFill>
                </w14:textFill>
              </w:rPr>
              <w:t>表1-</w:t>
            </w:r>
            <w:r>
              <w:rPr>
                <w:rFonts w:hint="eastAsia"/>
                <w:color w:val="000000" w:themeColor="text1"/>
                <w:highlight w:val="none"/>
                <w:lang w:val="en-US" w:eastAsia="zh-CN"/>
                <w14:textFill>
                  <w14:solidFill>
                    <w14:schemeClr w14:val="tx1"/>
                  </w14:solidFill>
                </w14:textFill>
              </w:rPr>
              <w:t>4</w:t>
            </w:r>
            <w:r>
              <w:rPr>
                <w:color w:val="000000" w:themeColor="text1"/>
                <w:highlight w:val="none"/>
                <w14:textFill>
                  <w14:solidFill>
                    <w14:schemeClr w14:val="tx1"/>
                  </w14:solidFill>
                </w14:textFill>
              </w:rPr>
              <w:t>。</w:t>
            </w:r>
          </w:p>
          <w:p w14:paraId="070F28C7">
            <w:pPr>
              <w:pStyle w:val="10"/>
              <w:ind w:left="0" w:leftChars="0" w:firstLine="482"/>
              <w:jc w:val="center"/>
              <w:rPr>
                <w:b/>
                <w:bCs/>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表1-</w:t>
            </w:r>
            <w:r>
              <w:rPr>
                <w:rFonts w:hint="eastAsia"/>
                <w:b/>
                <w:bCs/>
                <w:color w:val="000000" w:themeColor="text1"/>
                <w:highlight w:val="none"/>
                <w:lang w:val="en-US" w:eastAsia="zh-CN"/>
                <w14:textFill>
                  <w14:solidFill>
                    <w14:schemeClr w14:val="tx1"/>
                  </w14:solidFill>
                </w14:textFill>
              </w:rPr>
              <w:t>4</w:t>
            </w:r>
            <w:r>
              <w:rPr>
                <w:b/>
                <w:bCs/>
                <w:color w:val="000000" w:themeColor="text1"/>
                <w:highlight w:val="none"/>
                <w14:textFill>
                  <w14:solidFill>
                    <w14:schemeClr w14:val="tx1"/>
                  </w14:solidFill>
                </w14:textFill>
              </w:rPr>
              <w:t>与《鄂尔多斯市生态环境准入清单》符合性分析</w:t>
            </w:r>
          </w:p>
          <w:tbl>
            <w:tblPr>
              <w:tblStyle w:val="14"/>
              <w:tblW w:w="65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5"/>
              <w:gridCol w:w="1125"/>
              <w:gridCol w:w="1108"/>
              <w:gridCol w:w="848"/>
              <w:gridCol w:w="110"/>
              <w:gridCol w:w="1059"/>
              <w:gridCol w:w="1083"/>
            </w:tblGrid>
            <w:tr w14:paraId="2DDA7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185" w:type="dxa"/>
                  <w:vMerge w:val="restart"/>
                  <w:noWrap w:val="0"/>
                  <w:vAlign w:val="center"/>
                </w:tcPr>
                <w:p w14:paraId="4958D748">
                  <w:pPr>
                    <w:pStyle w:val="3"/>
                    <w:spacing w:line="240" w:lineRule="auto"/>
                    <w:ind w:firstLine="0" w:firstLineChars="0"/>
                    <w:jc w:val="center"/>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环境管控单元编码</w:t>
                  </w:r>
                </w:p>
              </w:tc>
              <w:tc>
                <w:tcPr>
                  <w:tcW w:w="1125" w:type="dxa"/>
                  <w:vMerge w:val="restart"/>
                  <w:noWrap w:val="0"/>
                  <w:vAlign w:val="center"/>
                </w:tcPr>
                <w:p w14:paraId="5544C69A">
                  <w:pPr>
                    <w:pStyle w:val="3"/>
                    <w:spacing w:line="240" w:lineRule="auto"/>
                    <w:ind w:firstLine="0" w:firstLineChars="0"/>
                    <w:jc w:val="center"/>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环境管控单元名称</w:t>
                  </w:r>
                </w:p>
              </w:tc>
              <w:tc>
                <w:tcPr>
                  <w:tcW w:w="3125" w:type="dxa"/>
                  <w:gridSpan w:val="4"/>
                  <w:noWrap w:val="0"/>
                  <w:vAlign w:val="center"/>
                </w:tcPr>
                <w:p w14:paraId="3F988C33">
                  <w:pPr>
                    <w:pStyle w:val="3"/>
                    <w:spacing w:line="240" w:lineRule="auto"/>
                    <w:ind w:firstLine="0" w:firstLineChars="0"/>
                    <w:jc w:val="center"/>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行政区划</w:t>
                  </w:r>
                </w:p>
              </w:tc>
              <w:tc>
                <w:tcPr>
                  <w:tcW w:w="1083" w:type="dxa"/>
                  <w:vMerge w:val="restart"/>
                  <w:noWrap w:val="0"/>
                  <w:vAlign w:val="center"/>
                </w:tcPr>
                <w:p w14:paraId="5B645BB7">
                  <w:pPr>
                    <w:pStyle w:val="3"/>
                    <w:spacing w:line="240" w:lineRule="auto"/>
                    <w:ind w:firstLine="0" w:firstLineChars="0"/>
                    <w:jc w:val="center"/>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管控单元分类</w:t>
                  </w:r>
                </w:p>
              </w:tc>
            </w:tr>
            <w:tr w14:paraId="5C74D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185" w:type="dxa"/>
                  <w:vMerge w:val="continue"/>
                  <w:noWrap w:val="0"/>
                  <w:vAlign w:val="center"/>
                </w:tcPr>
                <w:p w14:paraId="671B1030">
                  <w:pPr>
                    <w:pStyle w:val="3"/>
                    <w:spacing w:line="240" w:lineRule="auto"/>
                    <w:ind w:firstLine="0" w:firstLineChars="0"/>
                    <w:jc w:val="center"/>
                    <w:rPr>
                      <w:color w:val="000000" w:themeColor="text1"/>
                      <w:sz w:val="22"/>
                      <w:szCs w:val="22"/>
                      <w:highlight w:val="none"/>
                      <w14:textFill>
                        <w14:solidFill>
                          <w14:schemeClr w14:val="tx1"/>
                        </w14:solidFill>
                      </w14:textFill>
                    </w:rPr>
                  </w:pPr>
                </w:p>
              </w:tc>
              <w:tc>
                <w:tcPr>
                  <w:tcW w:w="1125" w:type="dxa"/>
                  <w:vMerge w:val="continue"/>
                  <w:noWrap w:val="0"/>
                  <w:vAlign w:val="center"/>
                </w:tcPr>
                <w:p w14:paraId="78F30138">
                  <w:pPr>
                    <w:pStyle w:val="3"/>
                    <w:spacing w:line="240" w:lineRule="auto"/>
                    <w:ind w:firstLine="0" w:firstLineChars="0"/>
                    <w:jc w:val="center"/>
                    <w:rPr>
                      <w:color w:val="000000" w:themeColor="text1"/>
                      <w:sz w:val="22"/>
                      <w:szCs w:val="22"/>
                      <w:highlight w:val="none"/>
                      <w14:textFill>
                        <w14:solidFill>
                          <w14:schemeClr w14:val="tx1"/>
                        </w14:solidFill>
                      </w14:textFill>
                    </w:rPr>
                  </w:pPr>
                </w:p>
              </w:tc>
              <w:tc>
                <w:tcPr>
                  <w:tcW w:w="1108" w:type="dxa"/>
                  <w:noWrap w:val="0"/>
                  <w:vAlign w:val="center"/>
                </w:tcPr>
                <w:p w14:paraId="46321E78">
                  <w:pPr>
                    <w:pStyle w:val="3"/>
                    <w:spacing w:line="240" w:lineRule="auto"/>
                    <w:ind w:firstLine="0" w:firstLineChars="0"/>
                    <w:jc w:val="center"/>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省</w:t>
                  </w:r>
                </w:p>
              </w:tc>
              <w:tc>
                <w:tcPr>
                  <w:tcW w:w="958" w:type="dxa"/>
                  <w:gridSpan w:val="2"/>
                  <w:noWrap w:val="0"/>
                  <w:vAlign w:val="center"/>
                </w:tcPr>
                <w:p w14:paraId="74DFA416">
                  <w:pPr>
                    <w:pStyle w:val="3"/>
                    <w:spacing w:line="240" w:lineRule="auto"/>
                    <w:ind w:firstLine="0" w:firstLineChars="0"/>
                    <w:jc w:val="center"/>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市</w:t>
                  </w:r>
                </w:p>
              </w:tc>
              <w:tc>
                <w:tcPr>
                  <w:tcW w:w="1059" w:type="dxa"/>
                  <w:noWrap w:val="0"/>
                  <w:vAlign w:val="center"/>
                </w:tcPr>
                <w:p w14:paraId="5B919E7C">
                  <w:pPr>
                    <w:pStyle w:val="3"/>
                    <w:spacing w:line="240" w:lineRule="auto"/>
                    <w:ind w:firstLine="0" w:firstLineChars="0"/>
                    <w:jc w:val="center"/>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区</w:t>
                  </w:r>
                </w:p>
              </w:tc>
              <w:tc>
                <w:tcPr>
                  <w:tcW w:w="1083" w:type="dxa"/>
                  <w:vMerge w:val="continue"/>
                  <w:noWrap w:val="0"/>
                  <w:vAlign w:val="center"/>
                </w:tcPr>
                <w:p w14:paraId="2BD903BD">
                  <w:pPr>
                    <w:pStyle w:val="3"/>
                    <w:spacing w:line="240" w:lineRule="auto"/>
                    <w:ind w:firstLine="0" w:firstLineChars="0"/>
                    <w:jc w:val="center"/>
                    <w:rPr>
                      <w:color w:val="000000" w:themeColor="text1"/>
                      <w:sz w:val="22"/>
                      <w:szCs w:val="22"/>
                      <w:highlight w:val="none"/>
                      <w14:textFill>
                        <w14:solidFill>
                          <w14:schemeClr w14:val="tx1"/>
                        </w14:solidFill>
                      </w14:textFill>
                    </w:rPr>
                  </w:pPr>
                </w:p>
              </w:tc>
            </w:tr>
            <w:tr w14:paraId="56EEF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185" w:type="dxa"/>
                  <w:noWrap w:val="0"/>
                  <w:vAlign w:val="center"/>
                </w:tcPr>
                <w:p w14:paraId="6E212B90">
                  <w:pPr>
                    <w:pStyle w:val="3"/>
                    <w:spacing w:line="240" w:lineRule="auto"/>
                    <w:ind w:firstLine="0" w:firstLineChars="0"/>
                    <w:jc w:val="center"/>
                    <w:rPr>
                      <w:rFonts w:hint="eastAsia" w:eastAsia="宋体"/>
                      <w:color w:val="000000" w:themeColor="text1"/>
                      <w:sz w:val="22"/>
                      <w:szCs w:val="22"/>
                      <w:highlight w:val="none"/>
                      <w:lang w:eastAsia="zh-CN"/>
                      <w14:textFill>
                        <w14:solidFill>
                          <w14:schemeClr w14:val="tx1"/>
                        </w14:solidFill>
                      </w14:textFill>
                    </w:rPr>
                  </w:pPr>
                  <w:r>
                    <w:rPr>
                      <w:color w:val="000000" w:themeColor="text1"/>
                      <w:sz w:val="22"/>
                      <w:szCs w:val="22"/>
                      <w:highlight w:val="none"/>
                      <w14:textFill>
                        <w14:solidFill>
                          <w14:schemeClr w14:val="tx1"/>
                        </w14:solidFill>
                      </w14:textFill>
                    </w:rPr>
                    <w:t>ZH1506</w:t>
                  </w:r>
                  <w:r>
                    <w:rPr>
                      <w:rFonts w:hint="eastAsia"/>
                      <w:color w:val="000000" w:themeColor="text1"/>
                      <w:sz w:val="22"/>
                      <w:szCs w:val="22"/>
                      <w:highlight w:val="none"/>
                      <w14:textFill>
                        <w14:solidFill>
                          <w14:schemeClr w14:val="tx1"/>
                        </w14:solidFill>
                      </w14:textFill>
                    </w:rPr>
                    <w:t>022001</w:t>
                  </w:r>
                  <w:r>
                    <w:rPr>
                      <w:rFonts w:hint="eastAsia"/>
                      <w:color w:val="000000" w:themeColor="text1"/>
                      <w:sz w:val="22"/>
                      <w:szCs w:val="22"/>
                      <w:highlight w:val="none"/>
                      <w:lang w:val="en-US" w:eastAsia="zh-CN"/>
                      <w14:textFill>
                        <w14:solidFill>
                          <w14:schemeClr w14:val="tx1"/>
                        </w14:solidFill>
                      </w14:textFill>
                    </w:rPr>
                    <w:t>0</w:t>
                  </w:r>
                </w:p>
              </w:tc>
              <w:tc>
                <w:tcPr>
                  <w:tcW w:w="1125" w:type="dxa"/>
                  <w:noWrap w:val="0"/>
                  <w:vAlign w:val="center"/>
                </w:tcPr>
                <w:p w14:paraId="4E3F62D3">
                  <w:pPr>
                    <w:pStyle w:val="3"/>
                    <w:spacing w:line="240" w:lineRule="auto"/>
                    <w:ind w:firstLine="0" w:firstLineChars="0"/>
                    <w:jc w:val="center"/>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东胜区城镇边界</w:t>
                  </w:r>
                </w:p>
              </w:tc>
              <w:tc>
                <w:tcPr>
                  <w:tcW w:w="1108" w:type="dxa"/>
                  <w:noWrap w:val="0"/>
                  <w:vAlign w:val="center"/>
                </w:tcPr>
                <w:p w14:paraId="6B0BF9C4">
                  <w:pPr>
                    <w:pStyle w:val="3"/>
                    <w:spacing w:line="240" w:lineRule="auto"/>
                    <w:ind w:firstLine="0" w:firstLineChars="0"/>
                    <w:jc w:val="center"/>
                    <w:rPr>
                      <w:color w:val="000000" w:themeColor="text1"/>
                      <w:sz w:val="22"/>
                      <w:szCs w:val="22"/>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内蒙古自治区</w:t>
                  </w:r>
                </w:p>
              </w:tc>
              <w:tc>
                <w:tcPr>
                  <w:tcW w:w="958" w:type="dxa"/>
                  <w:gridSpan w:val="2"/>
                  <w:noWrap w:val="0"/>
                  <w:vAlign w:val="center"/>
                </w:tcPr>
                <w:p w14:paraId="20498D72">
                  <w:pPr>
                    <w:pStyle w:val="3"/>
                    <w:spacing w:line="240" w:lineRule="auto"/>
                    <w:ind w:firstLine="0" w:firstLineChars="0"/>
                    <w:jc w:val="center"/>
                    <w:rPr>
                      <w:rFonts w:hint="eastAsia"/>
                      <w:color w:val="000000" w:themeColor="text1"/>
                      <w:sz w:val="22"/>
                      <w:szCs w:val="22"/>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鄂尔多斯市</w:t>
                  </w:r>
                </w:p>
              </w:tc>
              <w:tc>
                <w:tcPr>
                  <w:tcW w:w="1059" w:type="dxa"/>
                  <w:noWrap w:val="0"/>
                  <w:vAlign w:val="center"/>
                </w:tcPr>
                <w:p w14:paraId="127F48A0">
                  <w:pPr>
                    <w:pStyle w:val="3"/>
                    <w:spacing w:line="240" w:lineRule="auto"/>
                    <w:ind w:firstLine="0" w:firstLineChars="0"/>
                    <w:jc w:val="center"/>
                    <w:rPr>
                      <w:color w:val="000000" w:themeColor="text1"/>
                      <w:sz w:val="22"/>
                      <w:szCs w:val="22"/>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东胜区</w:t>
                  </w:r>
                </w:p>
              </w:tc>
              <w:tc>
                <w:tcPr>
                  <w:tcW w:w="1083" w:type="dxa"/>
                  <w:noWrap w:val="0"/>
                  <w:vAlign w:val="center"/>
                </w:tcPr>
                <w:p w14:paraId="2509CA02">
                  <w:pPr>
                    <w:pStyle w:val="3"/>
                    <w:spacing w:line="240" w:lineRule="auto"/>
                    <w:ind w:firstLine="0" w:firstLineChars="0"/>
                    <w:jc w:val="center"/>
                    <w:rPr>
                      <w:color w:val="000000" w:themeColor="text1"/>
                      <w:sz w:val="22"/>
                      <w:szCs w:val="22"/>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重点管控单元</w:t>
                  </w:r>
                </w:p>
              </w:tc>
            </w:tr>
            <w:tr w14:paraId="4C56F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1185" w:type="dxa"/>
                  <w:noWrap w:val="0"/>
                  <w:vAlign w:val="center"/>
                </w:tcPr>
                <w:p w14:paraId="7EA102EF">
                  <w:pPr>
                    <w:pStyle w:val="3"/>
                    <w:spacing w:line="240" w:lineRule="auto"/>
                    <w:ind w:firstLine="0" w:firstLineChars="0"/>
                    <w:jc w:val="center"/>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管控维度</w:t>
                  </w:r>
                </w:p>
              </w:tc>
              <w:tc>
                <w:tcPr>
                  <w:tcW w:w="3081" w:type="dxa"/>
                  <w:gridSpan w:val="3"/>
                  <w:noWrap w:val="0"/>
                  <w:vAlign w:val="center"/>
                </w:tcPr>
                <w:p w14:paraId="5F1C20E7">
                  <w:pPr>
                    <w:pStyle w:val="3"/>
                    <w:spacing w:line="240" w:lineRule="auto"/>
                    <w:ind w:firstLine="0" w:firstLineChars="0"/>
                    <w:jc w:val="center"/>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管控要求</w:t>
                  </w:r>
                </w:p>
              </w:tc>
              <w:tc>
                <w:tcPr>
                  <w:tcW w:w="2252" w:type="dxa"/>
                  <w:gridSpan w:val="3"/>
                  <w:noWrap w:val="0"/>
                  <w:vAlign w:val="center"/>
                </w:tcPr>
                <w:p w14:paraId="1734B4F7">
                  <w:pPr>
                    <w:pStyle w:val="3"/>
                    <w:spacing w:line="240" w:lineRule="auto"/>
                    <w:ind w:firstLine="0" w:firstLineChars="0"/>
                    <w:jc w:val="center"/>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符合性分析</w:t>
                  </w:r>
                </w:p>
              </w:tc>
            </w:tr>
            <w:tr w14:paraId="3657D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jc w:val="center"/>
              </w:trPr>
              <w:tc>
                <w:tcPr>
                  <w:tcW w:w="1185" w:type="dxa"/>
                  <w:noWrap w:val="0"/>
                  <w:vAlign w:val="center"/>
                </w:tcPr>
                <w:p w14:paraId="3020E0D9">
                  <w:pPr>
                    <w:pStyle w:val="3"/>
                    <w:spacing w:line="240" w:lineRule="auto"/>
                    <w:ind w:firstLine="0" w:firstLineChars="0"/>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空间布局约束</w:t>
                  </w:r>
                </w:p>
              </w:tc>
              <w:tc>
                <w:tcPr>
                  <w:tcW w:w="3081" w:type="dxa"/>
                  <w:gridSpan w:val="3"/>
                  <w:noWrap w:val="0"/>
                  <w:vAlign w:val="center"/>
                </w:tcPr>
                <w:p w14:paraId="370DF938">
                  <w:pPr>
                    <w:autoSpaceDE w:val="0"/>
                    <w:autoSpaceDN w:val="0"/>
                    <w:spacing w:line="240" w:lineRule="auto"/>
                    <w:ind w:firstLine="0" w:firstLineChars="0"/>
                    <w:jc w:val="left"/>
                    <w:rPr>
                      <w:rFonts w:hint="eastAsia"/>
                      <w:color w:val="000000" w:themeColor="text1"/>
                      <w:sz w:val="22"/>
                      <w:szCs w:val="22"/>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1.城市建成区禁止新建35蒸吨/小时以下燃煤锅炉。</w:t>
                  </w:r>
                </w:p>
                <w:p w14:paraId="57E660AA">
                  <w:pPr>
                    <w:autoSpaceDE w:val="0"/>
                    <w:autoSpaceDN w:val="0"/>
                    <w:spacing w:line="240" w:lineRule="auto"/>
                    <w:ind w:firstLine="0" w:firstLineChars="0"/>
                    <w:jc w:val="left"/>
                    <w:rPr>
                      <w:rFonts w:hint="eastAsia"/>
                      <w:color w:val="000000" w:themeColor="text1"/>
                      <w:sz w:val="22"/>
                      <w:szCs w:val="22"/>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2.禁止在居民区和学校、医院、疗养院、养老院等单位周边新建、改建、扩建可能造成土壤污染的建设项目。禁止在人口聚居区域内新</w:t>
                  </w:r>
                  <w:r>
                    <w:rPr>
                      <w:rFonts w:hint="eastAsia"/>
                      <w:color w:val="000000" w:themeColor="text1"/>
                      <w:sz w:val="22"/>
                      <w:szCs w:val="22"/>
                      <w:highlight w:val="none"/>
                      <w:lang w:eastAsia="zh-CN"/>
                      <w14:textFill>
                        <w14:solidFill>
                          <w14:schemeClr w14:val="tx1"/>
                        </w14:solidFill>
                      </w14:textFill>
                    </w:rPr>
                    <w:t>（</w:t>
                  </w:r>
                  <w:r>
                    <w:rPr>
                      <w:rFonts w:hint="eastAsia"/>
                      <w:color w:val="000000" w:themeColor="text1"/>
                      <w:sz w:val="22"/>
                      <w:szCs w:val="22"/>
                      <w:highlight w:val="none"/>
                      <w14:textFill>
                        <w14:solidFill>
                          <w14:schemeClr w14:val="tx1"/>
                        </w14:solidFill>
                      </w14:textFill>
                    </w:rPr>
                    <w:t>改、扩</w:t>
                  </w:r>
                  <w:r>
                    <w:rPr>
                      <w:rFonts w:hint="eastAsia"/>
                      <w:color w:val="000000" w:themeColor="text1"/>
                      <w:sz w:val="22"/>
                      <w:szCs w:val="22"/>
                      <w:highlight w:val="none"/>
                      <w:lang w:eastAsia="zh-CN"/>
                      <w14:textFill>
                        <w14:solidFill>
                          <w14:schemeClr w14:val="tx1"/>
                        </w14:solidFill>
                      </w14:textFill>
                    </w:rPr>
                    <w:t>）</w:t>
                  </w:r>
                  <w:r>
                    <w:rPr>
                      <w:rFonts w:hint="eastAsia"/>
                      <w:color w:val="000000" w:themeColor="text1"/>
                      <w:sz w:val="22"/>
                      <w:szCs w:val="22"/>
                      <w:highlight w:val="none"/>
                      <w14:textFill>
                        <w14:solidFill>
                          <w14:schemeClr w14:val="tx1"/>
                        </w14:solidFill>
                      </w14:textFill>
                    </w:rPr>
                    <w:t>建涉重金属及恶臭气体排放企业。</w:t>
                  </w:r>
                </w:p>
                <w:p w14:paraId="5E6D9DA1">
                  <w:pPr>
                    <w:autoSpaceDE w:val="0"/>
                    <w:autoSpaceDN w:val="0"/>
                    <w:spacing w:line="240" w:lineRule="auto"/>
                    <w:ind w:firstLine="0" w:firstLineChars="0"/>
                    <w:jc w:val="left"/>
                    <w:rPr>
                      <w:color w:val="000000" w:themeColor="text1"/>
                      <w:sz w:val="22"/>
                      <w:szCs w:val="22"/>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3.有计划关闭超采区已批自备水井，禁止超采区工农业生产及服务业新增取用地下水。</w:t>
                  </w:r>
                </w:p>
              </w:tc>
              <w:tc>
                <w:tcPr>
                  <w:tcW w:w="2252" w:type="dxa"/>
                  <w:gridSpan w:val="3"/>
                  <w:noWrap w:val="0"/>
                  <w:vAlign w:val="center"/>
                </w:tcPr>
                <w:p w14:paraId="335322C7">
                  <w:pPr>
                    <w:pStyle w:val="3"/>
                    <w:spacing w:line="240" w:lineRule="auto"/>
                    <w:ind w:firstLine="0" w:firstLineChars="0"/>
                    <w:rPr>
                      <w:rFonts w:hint="eastAsia"/>
                      <w:color w:val="000000" w:themeColor="text1"/>
                      <w:kern w:val="2"/>
                      <w:sz w:val="22"/>
                      <w:szCs w:val="22"/>
                      <w:highlight w:val="none"/>
                      <w14:textFill>
                        <w14:solidFill>
                          <w14:schemeClr w14:val="tx1"/>
                        </w14:solidFill>
                      </w14:textFill>
                    </w:rPr>
                  </w:pPr>
                  <w:r>
                    <w:rPr>
                      <w:rFonts w:hint="eastAsia"/>
                      <w:color w:val="000000" w:themeColor="text1"/>
                      <w:kern w:val="2"/>
                      <w:sz w:val="22"/>
                      <w:szCs w:val="22"/>
                      <w:highlight w:val="none"/>
                      <w:lang w:val="en-US" w:eastAsia="zh-CN"/>
                      <w14:textFill>
                        <w14:solidFill>
                          <w14:schemeClr w14:val="tx1"/>
                        </w14:solidFill>
                      </w14:textFill>
                    </w:rPr>
                    <w:t>1</w:t>
                  </w:r>
                  <w:r>
                    <w:rPr>
                      <w:rFonts w:hint="eastAsia"/>
                      <w:color w:val="000000" w:themeColor="text1"/>
                      <w:kern w:val="2"/>
                      <w:sz w:val="22"/>
                      <w:szCs w:val="22"/>
                      <w:highlight w:val="none"/>
                      <w14:textFill>
                        <w14:solidFill>
                          <w14:schemeClr w14:val="tx1"/>
                        </w14:solidFill>
                      </w14:textFill>
                    </w:rPr>
                    <w:t>.未新建35蒸吨/小时燃煤锅炉；</w:t>
                  </w:r>
                </w:p>
                <w:p w14:paraId="423BF29B">
                  <w:pPr>
                    <w:pStyle w:val="3"/>
                    <w:spacing w:line="240" w:lineRule="auto"/>
                    <w:ind w:firstLine="0" w:firstLineChars="0"/>
                    <w:rPr>
                      <w:rFonts w:hint="eastAsia"/>
                      <w:color w:val="000000" w:themeColor="text1"/>
                      <w:kern w:val="2"/>
                      <w:sz w:val="22"/>
                      <w:szCs w:val="22"/>
                      <w:highlight w:val="none"/>
                      <w14:textFill>
                        <w14:solidFill>
                          <w14:schemeClr w14:val="tx1"/>
                        </w14:solidFill>
                      </w14:textFill>
                    </w:rPr>
                  </w:pPr>
                  <w:r>
                    <w:rPr>
                      <w:rFonts w:hint="eastAsia"/>
                      <w:color w:val="000000" w:themeColor="text1"/>
                      <w:kern w:val="2"/>
                      <w:sz w:val="22"/>
                      <w:szCs w:val="22"/>
                      <w:highlight w:val="none"/>
                      <w:lang w:val="en-US" w:eastAsia="zh-CN"/>
                      <w14:textFill>
                        <w14:solidFill>
                          <w14:schemeClr w14:val="tx1"/>
                        </w14:solidFill>
                      </w14:textFill>
                    </w:rPr>
                    <w:t>2</w:t>
                  </w:r>
                  <w:r>
                    <w:rPr>
                      <w:rFonts w:hint="eastAsia"/>
                      <w:color w:val="000000" w:themeColor="text1"/>
                      <w:kern w:val="2"/>
                      <w:sz w:val="22"/>
                      <w:szCs w:val="22"/>
                      <w:highlight w:val="none"/>
                      <w14:textFill>
                        <w14:solidFill>
                          <w14:schemeClr w14:val="tx1"/>
                        </w14:solidFill>
                      </w14:textFill>
                    </w:rPr>
                    <w:t>.本项目周边无学校、医院、疗养院、养老院；本项目不涉及重金属及恶臭气体的排放；</w:t>
                  </w:r>
                </w:p>
                <w:p w14:paraId="6E4C9277">
                  <w:pPr>
                    <w:pStyle w:val="3"/>
                    <w:spacing w:line="240" w:lineRule="auto"/>
                    <w:ind w:firstLine="0" w:firstLineChars="0"/>
                    <w:rPr>
                      <w:rFonts w:hint="eastAsia" w:eastAsia="宋体"/>
                      <w:color w:val="000000" w:themeColor="text1"/>
                      <w:sz w:val="22"/>
                      <w:szCs w:val="22"/>
                      <w:highlight w:val="none"/>
                      <w:lang w:eastAsia="zh-CN"/>
                      <w14:textFill>
                        <w14:solidFill>
                          <w14:schemeClr w14:val="tx1"/>
                        </w14:solidFill>
                      </w14:textFill>
                    </w:rPr>
                  </w:pPr>
                  <w:r>
                    <w:rPr>
                      <w:rFonts w:hint="eastAsia"/>
                      <w:color w:val="000000" w:themeColor="text1"/>
                      <w:kern w:val="2"/>
                      <w:sz w:val="22"/>
                      <w:szCs w:val="22"/>
                      <w:highlight w:val="none"/>
                      <w:lang w:val="en-US" w:eastAsia="zh-CN"/>
                      <w14:textFill>
                        <w14:solidFill>
                          <w14:schemeClr w14:val="tx1"/>
                        </w14:solidFill>
                      </w14:textFill>
                    </w:rPr>
                    <w:t>3</w:t>
                  </w:r>
                  <w:r>
                    <w:rPr>
                      <w:rFonts w:hint="eastAsia"/>
                      <w:color w:val="000000" w:themeColor="text1"/>
                      <w:kern w:val="2"/>
                      <w:sz w:val="22"/>
                      <w:szCs w:val="22"/>
                      <w:highlight w:val="none"/>
                      <w14:textFill>
                        <w14:solidFill>
                          <w14:schemeClr w14:val="tx1"/>
                        </w14:solidFill>
                      </w14:textFill>
                    </w:rPr>
                    <w:t>.本项目不开采地下水</w:t>
                  </w:r>
                  <w:r>
                    <w:rPr>
                      <w:rFonts w:hint="eastAsia"/>
                      <w:color w:val="000000" w:themeColor="text1"/>
                      <w:kern w:val="2"/>
                      <w:sz w:val="22"/>
                      <w:szCs w:val="22"/>
                      <w:highlight w:val="none"/>
                      <w:lang w:eastAsia="zh-CN"/>
                      <w14:textFill>
                        <w14:solidFill>
                          <w14:schemeClr w14:val="tx1"/>
                        </w14:solidFill>
                      </w14:textFill>
                    </w:rPr>
                    <w:t>。</w:t>
                  </w:r>
                </w:p>
              </w:tc>
            </w:tr>
            <w:tr w14:paraId="78838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0" w:hRule="atLeast"/>
                <w:jc w:val="center"/>
              </w:trPr>
              <w:tc>
                <w:tcPr>
                  <w:tcW w:w="1185" w:type="dxa"/>
                  <w:noWrap w:val="0"/>
                  <w:vAlign w:val="center"/>
                </w:tcPr>
                <w:p w14:paraId="14AAC003">
                  <w:pPr>
                    <w:pStyle w:val="3"/>
                    <w:spacing w:line="240" w:lineRule="auto"/>
                    <w:ind w:firstLine="0" w:firstLineChars="0"/>
                    <w:jc w:val="center"/>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污染物排放管控</w:t>
                  </w:r>
                </w:p>
              </w:tc>
              <w:tc>
                <w:tcPr>
                  <w:tcW w:w="3081" w:type="dxa"/>
                  <w:gridSpan w:val="3"/>
                  <w:noWrap w:val="0"/>
                  <w:vAlign w:val="center"/>
                </w:tcPr>
                <w:p w14:paraId="63CA3D04">
                  <w:pPr>
                    <w:tabs>
                      <w:tab w:val="left" w:pos="1021"/>
                    </w:tabs>
                    <w:adjustRightInd w:val="0"/>
                    <w:snapToGrid w:val="0"/>
                    <w:spacing w:line="240" w:lineRule="auto"/>
                    <w:ind w:firstLine="0" w:firstLineChars="0"/>
                    <w:rPr>
                      <w:color w:val="000000" w:themeColor="text1"/>
                      <w:sz w:val="22"/>
                      <w:szCs w:val="22"/>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1.提升城镇生活污水收集管网覆盖率，逐步实施雨污管网分流改造、管网更新、破损修复</w:t>
                  </w:r>
                  <w:r>
                    <w:rPr>
                      <w:rFonts w:hint="eastAsia"/>
                      <w:color w:val="000000" w:themeColor="text1"/>
                      <w:sz w:val="22"/>
                      <w:szCs w:val="22"/>
                      <w:highlight w:val="none"/>
                      <w:lang w:eastAsia="zh-CN"/>
                      <w14:textFill>
                        <w14:solidFill>
                          <w14:schemeClr w14:val="tx1"/>
                        </w14:solidFill>
                      </w14:textFill>
                    </w:rPr>
                    <w:t>改造</w:t>
                  </w:r>
                  <w:r>
                    <w:rPr>
                      <w:rFonts w:hint="eastAsia"/>
                      <w:color w:val="000000" w:themeColor="text1"/>
                      <w:sz w:val="22"/>
                      <w:szCs w:val="22"/>
                      <w:highlight w:val="none"/>
                      <w14:textFill>
                        <w14:solidFill>
                          <w14:schemeClr w14:val="tx1"/>
                        </w14:solidFill>
                      </w14:textFill>
                    </w:rPr>
                    <w:t>、中水回用等工程。城镇生活污水实现“应收尽收、应处尽处”</w:t>
                  </w:r>
                </w:p>
              </w:tc>
              <w:tc>
                <w:tcPr>
                  <w:tcW w:w="2252" w:type="dxa"/>
                  <w:gridSpan w:val="3"/>
                  <w:noWrap w:val="0"/>
                  <w:vAlign w:val="center"/>
                </w:tcPr>
                <w:p w14:paraId="57449608">
                  <w:pPr>
                    <w:pStyle w:val="3"/>
                    <w:spacing w:line="240" w:lineRule="auto"/>
                    <w:ind w:firstLine="0" w:firstLineChars="0"/>
                    <w:rPr>
                      <w:rFonts w:hint="eastAsia" w:eastAsia="宋体"/>
                      <w:color w:val="000000" w:themeColor="text1"/>
                      <w:sz w:val="22"/>
                      <w:szCs w:val="22"/>
                      <w:highlight w:val="none"/>
                      <w:lang w:eastAsia="zh-CN"/>
                      <w14:textFill>
                        <w14:solidFill>
                          <w14:schemeClr w14:val="tx1"/>
                        </w14:solidFill>
                      </w14:textFill>
                    </w:rPr>
                  </w:pPr>
                  <w:r>
                    <w:rPr>
                      <w:rFonts w:hint="eastAsia"/>
                      <w:color w:val="000000" w:themeColor="text1"/>
                      <w:sz w:val="22"/>
                      <w:szCs w:val="22"/>
                      <w:highlight w:val="none"/>
                      <w14:textFill>
                        <w14:solidFill>
                          <w14:schemeClr w14:val="tx1"/>
                        </w14:solidFill>
                      </w14:textFill>
                    </w:rPr>
                    <w:t>本项目无新增用水，无废水排放</w:t>
                  </w:r>
                  <w:r>
                    <w:rPr>
                      <w:rFonts w:hint="eastAsia"/>
                      <w:color w:val="000000" w:themeColor="text1"/>
                      <w:sz w:val="22"/>
                      <w:szCs w:val="22"/>
                      <w:highlight w:val="none"/>
                      <w:lang w:eastAsia="zh-CN"/>
                      <w14:textFill>
                        <w14:solidFill>
                          <w14:schemeClr w14:val="tx1"/>
                        </w14:solidFill>
                      </w14:textFill>
                    </w:rPr>
                    <w:t>。</w:t>
                  </w:r>
                </w:p>
              </w:tc>
            </w:tr>
            <w:tr w14:paraId="2B336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85" w:type="dxa"/>
                  <w:noWrap w:val="0"/>
                  <w:vAlign w:val="center"/>
                </w:tcPr>
                <w:p w14:paraId="185B03F0">
                  <w:pPr>
                    <w:pStyle w:val="3"/>
                    <w:spacing w:line="240" w:lineRule="auto"/>
                    <w:ind w:firstLine="0" w:firstLineChars="0"/>
                    <w:jc w:val="center"/>
                    <w:rPr>
                      <w:color w:val="000000" w:themeColor="text1"/>
                      <w:sz w:val="22"/>
                      <w:szCs w:val="22"/>
                      <w:highlight w:val="none"/>
                      <w14:textFill>
                        <w14:solidFill>
                          <w14:schemeClr w14:val="tx1"/>
                        </w14:solidFill>
                      </w14:textFill>
                    </w:rPr>
                  </w:pPr>
                  <w:r>
                    <w:rPr>
                      <w:color w:val="000000" w:themeColor="text1"/>
                      <w:sz w:val="22"/>
                      <w:szCs w:val="22"/>
                      <w:highlight w:val="none"/>
                      <w14:textFill>
                        <w14:solidFill>
                          <w14:schemeClr w14:val="tx1"/>
                        </w14:solidFill>
                      </w14:textFill>
                    </w:rPr>
                    <w:t>资源利用效率</w:t>
                  </w:r>
                </w:p>
              </w:tc>
              <w:tc>
                <w:tcPr>
                  <w:tcW w:w="3081" w:type="dxa"/>
                  <w:gridSpan w:val="3"/>
                  <w:noWrap w:val="0"/>
                  <w:vAlign w:val="center"/>
                </w:tcPr>
                <w:p w14:paraId="23A36F5B">
                  <w:pPr>
                    <w:widowControl/>
                    <w:spacing w:line="240" w:lineRule="auto"/>
                    <w:ind w:firstLine="0" w:firstLineChars="0"/>
                    <w:rPr>
                      <w:rFonts w:hint="eastAsia"/>
                      <w:color w:val="000000" w:themeColor="text1"/>
                      <w:sz w:val="22"/>
                      <w:szCs w:val="22"/>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1.强化水资源论证管理，优化</w:t>
                  </w:r>
                  <w:r>
                    <w:rPr>
                      <w:rFonts w:hint="eastAsia"/>
                      <w:color w:val="000000" w:themeColor="text1"/>
                      <w:sz w:val="22"/>
                      <w:szCs w:val="22"/>
                      <w:highlight w:val="none"/>
                      <w:lang w:eastAsia="zh-CN"/>
                      <w14:textFill>
                        <w14:solidFill>
                          <w14:schemeClr w14:val="tx1"/>
                        </w14:solidFill>
                      </w14:textFill>
                    </w:rPr>
                    <w:t>水资</w:t>
                  </w:r>
                  <w:r>
                    <w:rPr>
                      <w:rFonts w:hint="eastAsia"/>
                      <w:color w:val="000000" w:themeColor="text1"/>
                      <w:sz w:val="22"/>
                      <w:szCs w:val="22"/>
                      <w:highlight w:val="none"/>
                      <w14:textFill>
                        <w14:solidFill>
                          <w14:schemeClr w14:val="tx1"/>
                        </w14:solidFill>
                      </w14:textFill>
                    </w:rPr>
                    <w:t>源配置，鼓励优先配置利用非常规水源。</w:t>
                  </w:r>
                </w:p>
                <w:p w14:paraId="2ECAE1F6">
                  <w:pPr>
                    <w:widowControl/>
                    <w:spacing w:line="240" w:lineRule="auto"/>
                    <w:ind w:firstLine="0" w:firstLineChars="0"/>
                    <w:rPr>
                      <w:color w:val="000000" w:themeColor="text1"/>
                      <w:sz w:val="22"/>
                      <w:szCs w:val="22"/>
                      <w:highlight w:val="none"/>
                      <w14:textFill>
                        <w14:solidFill>
                          <w14:schemeClr w14:val="tx1"/>
                        </w14:solidFill>
                      </w14:textFill>
                    </w:rPr>
                  </w:pPr>
                  <w:r>
                    <w:rPr>
                      <w:rFonts w:hint="eastAsia"/>
                      <w:color w:val="000000" w:themeColor="text1"/>
                      <w:sz w:val="22"/>
                      <w:szCs w:val="22"/>
                      <w:highlight w:val="none"/>
                      <w14:textFill>
                        <w14:solidFill>
                          <w14:schemeClr w14:val="tx1"/>
                        </w14:solidFill>
                      </w14:textFill>
                    </w:rPr>
                    <w:t>2.严控地下水超采，执行地下水“五控”制度。</w:t>
                  </w:r>
                </w:p>
              </w:tc>
              <w:tc>
                <w:tcPr>
                  <w:tcW w:w="2252" w:type="dxa"/>
                  <w:gridSpan w:val="3"/>
                  <w:noWrap w:val="0"/>
                  <w:vAlign w:val="center"/>
                </w:tcPr>
                <w:p w14:paraId="595267D6">
                  <w:pPr>
                    <w:pStyle w:val="3"/>
                    <w:spacing w:line="240" w:lineRule="auto"/>
                    <w:ind w:firstLine="0" w:firstLineChars="0"/>
                    <w:rPr>
                      <w:rFonts w:hint="default" w:eastAsia="宋体"/>
                      <w:color w:val="000000" w:themeColor="text1"/>
                      <w:sz w:val="22"/>
                      <w:szCs w:val="22"/>
                      <w:highlight w:val="none"/>
                      <w:lang w:val="en-US" w:eastAsia="zh-CN"/>
                      <w14:textFill>
                        <w14:solidFill>
                          <w14:schemeClr w14:val="tx1"/>
                        </w14:solidFill>
                      </w14:textFill>
                    </w:rPr>
                  </w:pPr>
                  <w:r>
                    <w:rPr>
                      <w:rFonts w:hint="eastAsia"/>
                      <w:color w:val="000000" w:themeColor="text1"/>
                      <w:sz w:val="22"/>
                      <w:szCs w:val="22"/>
                      <w:highlight w:val="none"/>
                      <w14:textFill>
                        <w14:solidFill>
                          <w14:schemeClr w14:val="tx1"/>
                        </w14:solidFill>
                      </w14:textFill>
                    </w:rPr>
                    <w:t>1.本项目</w:t>
                  </w:r>
                  <w:r>
                    <w:rPr>
                      <w:rFonts w:hint="eastAsia"/>
                      <w:color w:val="000000" w:themeColor="text1"/>
                      <w:sz w:val="22"/>
                      <w:szCs w:val="22"/>
                      <w:highlight w:val="none"/>
                      <w:lang w:val="en-US" w:eastAsia="zh-CN"/>
                      <w14:textFill>
                        <w14:solidFill>
                          <w14:schemeClr w14:val="tx1"/>
                        </w14:solidFill>
                      </w14:textFill>
                    </w:rPr>
                    <w:t>新增生活用水及生产用水。</w:t>
                  </w:r>
                </w:p>
                <w:p w14:paraId="3B37F950">
                  <w:pPr>
                    <w:pStyle w:val="3"/>
                    <w:spacing w:line="240" w:lineRule="auto"/>
                    <w:ind w:firstLine="0" w:firstLineChars="0"/>
                    <w:rPr>
                      <w:color w:val="000000" w:themeColor="text1"/>
                      <w:sz w:val="22"/>
                      <w:szCs w:val="22"/>
                      <w:highlight w:val="none"/>
                      <w14:textFill>
                        <w14:solidFill>
                          <w14:schemeClr w14:val="tx1"/>
                        </w14:solidFill>
                      </w14:textFill>
                    </w:rPr>
                  </w:pPr>
                  <w:r>
                    <w:rPr>
                      <w:rFonts w:hint="eastAsia"/>
                      <w:color w:val="000000" w:themeColor="text1"/>
                      <w:sz w:val="22"/>
                      <w:szCs w:val="22"/>
                      <w:highlight w:val="none"/>
                      <w:lang w:val="en-US" w:eastAsia="zh-CN"/>
                      <w14:textFill>
                        <w14:solidFill>
                          <w14:schemeClr w14:val="tx1"/>
                        </w14:solidFill>
                      </w14:textFill>
                    </w:rPr>
                    <w:t>2</w:t>
                  </w:r>
                  <w:r>
                    <w:rPr>
                      <w:rFonts w:hint="eastAsia"/>
                      <w:color w:val="000000" w:themeColor="text1"/>
                      <w:sz w:val="22"/>
                      <w:szCs w:val="22"/>
                      <w:highlight w:val="none"/>
                      <w14:textFill>
                        <w14:solidFill>
                          <w14:schemeClr w14:val="tx1"/>
                        </w14:solidFill>
                      </w14:textFill>
                    </w:rPr>
                    <w:t>.本项目</w:t>
                  </w:r>
                  <w:r>
                    <w:rPr>
                      <w:rFonts w:hint="eastAsia"/>
                      <w:color w:val="000000" w:themeColor="text1"/>
                      <w:sz w:val="22"/>
                      <w:szCs w:val="22"/>
                      <w:highlight w:val="none"/>
                      <w:lang w:val="en-US" w:eastAsia="zh-CN"/>
                      <w14:textFill>
                        <w14:solidFill>
                          <w14:schemeClr w14:val="tx1"/>
                        </w14:solidFill>
                      </w14:textFill>
                    </w:rPr>
                    <w:t>不开采地下水</w:t>
                  </w:r>
                </w:p>
              </w:tc>
            </w:tr>
          </w:tbl>
          <w:p w14:paraId="27D16C74">
            <w:pPr>
              <w:adjustRightInd w:val="0"/>
              <w:snapToGrid w:val="0"/>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因此，项目符合生态环境准入清单要求。</w:t>
            </w:r>
          </w:p>
          <w:p w14:paraId="77D71D4D">
            <w:pPr>
              <w:adjustRightInd w:val="0"/>
              <w:snapToGrid w:val="0"/>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综上所述，本项目符合国家和地方“三线一单”的相关要求。</w:t>
            </w:r>
          </w:p>
          <w:p w14:paraId="009369F5">
            <w:pPr>
              <w:autoSpaceDE w:val="0"/>
              <w:autoSpaceDN w:val="0"/>
              <w:adjustRightInd w:val="0"/>
              <w:snapToGrid w:val="0"/>
              <w:ind w:firstLine="0" w:firstLineChars="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4086860" cy="2585720"/>
                  <wp:effectExtent l="0" t="0" r="8890" b="5080"/>
                  <wp:docPr id="4"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3"/>
                          <pic:cNvPicPr>
                            <a:picLocks noChangeAspect="1"/>
                          </pic:cNvPicPr>
                        </pic:nvPicPr>
                        <pic:blipFill>
                          <a:blip r:embed="rId14"/>
                          <a:stretch>
                            <a:fillRect/>
                          </a:stretch>
                        </pic:blipFill>
                        <pic:spPr>
                          <a:xfrm>
                            <a:off x="0" y="0"/>
                            <a:ext cx="4086860" cy="2585720"/>
                          </a:xfrm>
                          <a:prstGeom prst="rect">
                            <a:avLst/>
                          </a:prstGeom>
                          <a:noFill/>
                          <a:ln>
                            <a:noFill/>
                          </a:ln>
                        </pic:spPr>
                      </pic:pic>
                    </a:graphicData>
                  </a:graphic>
                </wp:inline>
              </w:drawing>
            </w:r>
          </w:p>
          <w:p w14:paraId="47D63AC4">
            <w:pPr>
              <w:ind w:left="0" w:leftChars="0" w:firstLine="0" w:firstLineChars="0"/>
              <w:jc w:val="both"/>
              <w:rPr>
                <w:rFonts w:hint="eastAsia" w:eastAsia="宋体"/>
                <w:b/>
                <w:bCs/>
                <w:color w:val="000000" w:themeColor="text1"/>
                <w:highlight w:val="none"/>
                <w:lang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4097020" cy="2935605"/>
                  <wp:effectExtent l="0" t="0" r="17780" b="17145"/>
                  <wp:docPr id="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pic:cNvPicPr>
                            <a:picLocks noChangeAspect="1"/>
                          </pic:cNvPicPr>
                        </pic:nvPicPr>
                        <pic:blipFill>
                          <a:blip r:embed="rId15"/>
                          <a:stretch>
                            <a:fillRect/>
                          </a:stretch>
                        </pic:blipFill>
                        <pic:spPr>
                          <a:xfrm>
                            <a:off x="0" y="0"/>
                            <a:ext cx="4097020" cy="2935605"/>
                          </a:xfrm>
                          <a:prstGeom prst="rect">
                            <a:avLst/>
                          </a:prstGeom>
                          <a:noFill/>
                          <a:ln>
                            <a:noFill/>
                          </a:ln>
                        </pic:spPr>
                      </pic:pic>
                    </a:graphicData>
                  </a:graphic>
                </wp:inline>
              </w:drawing>
            </w:r>
          </w:p>
          <w:p w14:paraId="2C625E4B">
            <w:pPr>
              <w:ind w:left="0" w:leftChars="0" w:firstLine="0" w:firstLineChars="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4038600" cy="2859405"/>
                  <wp:effectExtent l="0" t="0" r="0" b="17145"/>
                  <wp:docPr id="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
                          <pic:cNvPicPr>
                            <a:picLocks noChangeAspect="1"/>
                          </pic:cNvPicPr>
                        </pic:nvPicPr>
                        <pic:blipFill>
                          <a:blip r:embed="rId16"/>
                          <a:stretch>
                            <a:fillRect/>
                          </a:stretch>
                        </pic:blipFill>
                        <pic:spPr>
                          <a:xfrm>
                            <a:off x="0" y="0"/>
                            <a:ext cx="4038600" cy="2859405"/>
                          </a:xfrm>
                          <a:prstGeom prst="rect">
                            <a:avLst/>
                          </a:prstGeom>
                          <a:noFill/>
                          <a:ln>
                            <a:noFill/>
                          </a:ln>
                        </pic:spPr>
                      </pic:pic>
                    </a:graphicData>
                  </a:graphic>
                </wp:inline>
              </w:drawing>
            </w:r>
          </w:p>
          <w:p w14:paraId="40753234">
            <w:pPr>
              <w:ind w:left="0" w:leftChars="0" w:firstLine="0" w:firstLineChars="0"/>
              <w:jc w:val="center"/>
              <w:rPr>
                <w:color w:val="000000" w:themeColor="text1"/>
                <w:highlight w:val="none"/>
                <w14:textFill>
                  <w14:solidFill>
                    <w14:schemeClr w14:val="tx1"/>
                  </w14:solidFill>
                </w14:textFill>
              </w:rPr>
            </w:pPr>
            <w:r>
              <w:rPr>
                <w:b/>
                <w:bCs/>
                <w:color w:val="000000" w:themeColor="text1"/>
                <w:highlight w:val="none"/>
                <w14:textFill>
                  <w14:solidFill>
                    <w14:schemeClr w14:val="tx1"/>
                  </w14:solidFill>
                </w14:textFill>
              </w:rPr>
              <w:t>图1-1鄂尔多斯市环境管控单元图</w:t>
            </w:r>
          </w:p>
        </w:tc>
      </w:tr>
    </w:tbl>
    <w:p w14:paraId="7AB79132">
      <w:pPr>
        <w:ind w:firstLine="600"/>
        <w:outlineLvl w:val="0"/>
        <w:rPr>
          <w:rFonts w:eastAsia="黑体"/>
          <w:color w:val="000000" w:themeColor="text1"/>
          <w:sz w:val="30"/>
          <w:highlight w:val="none"/>
          <w14:textFill>
            <w14:solidFill>
              <w14:schemeClr w14:val="tx1"/>
            </w14:solidFill>
          </w14:textFill>
        </w:rPr>
        <w:sectPr>
          <w:headerReference r:id="rId8" w:type="default"/>
          <w:footerReference r:id="rId9" w:type="default"/>
          <w:pgSz w:w="11906" w:h="16838"/>
          <w:pgMar w:top="1701" w:right="1531" w:bottom="1701" w:left="1531" w:header="1191" w:footer="964" w:gutter="0"/>
          <w:pgNumType w:fmt="numberInDash" w:start="1"/>
          <w:cols w:space="720" w:num="1"/>
          <w:docGrid w:linePitch="312" w:charSpace="0"/>
        </w:sectPr>
      </w:pPr>
    </w:p>
    <w:p w14:paraId="23614A5E">
      <w:pPr>
        <w:pStyle w:val="12"/>
        <w:ind w:firstLine="600"/>
        <w:jc w:val="center"/>
        <w:outlineLvl w:val="0"/>
        <w:rPr>
          <w:rFonts w:ascii="Times New Roman" w:hAnsi="Times New Roman" w:eastAsia="黑体"/>
          <w:snapToGrid w:val="0"/>
          <w:color w:val="000000" w:themeColor="text1"/>
          <w:sz w:val="30"/>
          <w:szCs w:val="30"/>
          <w:highlight w:val="none"/>
          <w14:textFill>
            <w14:solidFill>
              <w14:schemeClr w14:val="tx1"/>
            </w14:solidFill>
          </w14:textFill>
        </w:rPr>
      </w:pPr>
      <w:r>
        <w:rPr>
          <w:rFonts w:ascii="Times New Roman" w:hAnsi="Times New Roman" w:eastAsia="黑体"/>
          <w:snapToGrid w:val="0"/>
          <w:color w:val="000000" w:themeColor="text1"/>
          <w:sz w:val="30"/>
          <w:szCs w:val="30"/>
          <w:highlight w:val="none"/>
          <w14:textFill>
            <w14:solidFill>
              <w14:schemeClr w14:val="tx1"/>
            </w14:solidFill>
          </w14:textFill>
        </w:rPr>
        <w:t>二、建设项目工程分析</w:t>
      </w:r>
    </w:p>
    <w:tbl>
      <w:tblPr>
        <w:tblStyle w:val="1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3"/>
        <w:gridCol w:w="1237"/>
        <w:gridCol w:w="6924"/>
      </w:tblGrid>
      <w:tr w14:paraId="689D8E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97" w:hRule="atLeast"/>
          <w:jc w:val="center"/>
        </w:trPr>
        <w:tc>
          <w:tcPr>
            <w:tcW w:w="823" w:type="dxa"/>
            <w:noWrap w:val="0"/>
            <w:vAlign w:val="center"/>
          </w:tcPr>
          <w:p w14:paraId="4A0A628C">
            <w:pPr>
              <w:pStyle w:val="12"/>
              <w:adjustRightInd w:val="0"/>
              <w:snapToGrid w:val="0"/>
              <w:spacing w:before="0" w:beforeAutospacing="0" w:after="0" w:afterAutospacing="0"/>
              <w:ind w:firstLine="0" w:firstLineChars="0"/>
              <w:jc w:val="center"/>
              <w:rPr>
                <w:rFonts w:ascii="Times New Roman" w:hAnsi="Times New Roman"/>
                <w:color w:val="auto"/>
                <w:szCs w:val="24"/>
                <w:highlight w:val="none"/>
              </w:rPr>
            </w:pPr>
            <w:r>
              <w:rPr>
                <w:rFonts w:ascii="Times New Roman" w:hAnsi="Times New Roman"/>
                <w:color w:val="auto"/>
                <w:szCs w:val="24"/>
                <w:highlight w:val="none"/>
              </w:rPr>
              <w:t>建设内容</w:t>
            </w:r>
          </w:p>
        </w:tc>
        <w:tc>
          <w:tcPr>
            <w:tcW w:w="8161" w:type="dxa"/>
            <w:gridSpan w:val="2"/>
            <w:noWrap w:val="0"/>
            <w:vAlign w:val="top"/>
          </w:tcPr>
          <w:p w14:paraId="7026E9AB">
            <w:pPr>
              <w:adjustRightInd w:val="0"/>
              <w:snapToGrid w:val="0"/>
              <w:ind w:firstLine="482"/>
              <w:rPr>
                <w:rFonts w:hint="eastAsia"/>
                <w:b/>
                <w:color w:val="auto"/>
                <w:highlight w:val="none"/>
              </w:rPr>
            </w:pPr>
            <w:r>
              <w:rPr>
                <w:rFonts w:hint="eastAsia"/>
                <w:b/>
                <w:color w:val="auto"/>
                <w:highlight w:val="none"/>
              </w:rPr>
              <w:t>一、项目由来</w:t>
            </w:r>
          </w:p>
          <w:p w14:paraId="474B73C1">
            <w:pPr>
              <w:adjustRightInd w:val="0"/>
              <w:snapToGrid w:val="0"/>
              <w:ind w:firstLine="480"/>
              <w:rPr>
                <w:rFonts w:hint="default"/>
                <w:color w:val="auto"/>
                <w:highlight w:val="none"/>
                <w:lang w:val="en-US" w:eastAsia="zh-CN"/>
              </w:rPr>
            </w:pPr>
            <w:r>
              <w:rPr>
                <w:rFonts w:hint="eastAsia"/>
                <w:color w:val="auto"/>
                <w:highlight w:val="none"/>
                <w:lang w:eastAsia="zh-CN"/>
              </w:rPr>
              <w:t>鄂尔多斯市宇驰顺捷汽车销售服务有限公司成立于2024</w:t>
            </w:r>
            <w:r>
              <w:rPr>
                <w:rFonts w:hint="eastAsia"/>
                <w:color w:val="auto"/>
                <w:highlight w:val="none"/>
                <w:lang w:val="en-US" w:eastAsia="zh-CN"/>
              </w:rPr>
              <w:t>年</w:t>
            </w:r>
            <w:r>
              <w:rPr>
                <w:rFonts w:hint="eastAsia"/>
                <w:color w:val="auto"/>
                <w:highlight w:val="none"/>
                <w:lang w:eastAsia="zh-CN"/>
              </w:rPr>
              <w:t>8</w:t>
            </w:r>
            <w:r>
              <w:rPr>
                <w:rFonts w:hint="eastAsia"/>
                <w:color w:val="auto"/>
                <w:highlight w:val="none"/>
                <w:lang w:val="en-US" w:eastAsia="zh-CN"/>
              </w:rPr>
              <w:t>月</w:t>
            </w:r>
            <w:r>
              <w:rPr>
                <w:rFonts w:hint="eastAsia"/>
                <w:color w:val="auto"/>
                <w:highlight w:val="none"/>
                <w:lang w:eastAsia="zh-CN"/>
              </w:rPr>
              <w:t>21</w:t>
            </w:r>
            <w:r>
              <w:rPr>
                <w:rFonts w:hint="eastAsia"/>
                <w:color w:val="auto"/>
                <w:highlight w:val="none"/>
                <w:lang w:val="en-US" w:eastAsia="zh-CN"/>
              </w:rPr>
              <w:t>日</w:t>
            </w:r>
            <w:r>
              <w:rPr>
                <w:rFonts w:hint="eastAsia"/>
                <w:color w:val="auto"/>
                <w:highlight w:val="none"/>
                <w:lang w:eastAsia="zh-CN"/>
              </w:rPr>
              <w:t>，注册资本为200万元，统一社会信用代码为91150602MADY03Q56H，位于内蒙古自治区鄂尔多斯市东胜区天骄南路42号客运中心后院5号商铺，经营范围包含：机动车修理和维护；汽车零配件零售；汽车零配件批发；汽车销售；新能源汽车整车销售；汽车装饰用品销售</w:t>
            </w:r>
            <w:r>
              <w:rPr>
                <w:rFonts w:hint="eastAsia"/>
                <w:color w:val="auto"/>
                <w:highlight w:val="none"/>
                <w:lang w:val="en-US" w:eastAsia="zh-CN"/>
              </w:rPr>
              <w:t>等</w:t>
            </w:r>
            <w:r>
              <w:rPr>
                <w:rFonts w:hint="eastAsia"/>
                <w:color w:val="auto"/>
                <w:highlight w:val="none"/>
                <w:lang w:eastAsia="zh-CN"/>
              </w:rPr>
              <w:t>。</w:t>
            </w:r>
          </w:p>
          <w:p w14:paraId="07490006">
            <w:pPr>
              <w:ind w:firstLine="480"/>
              <w:rPr>
                <w:rFonts w:hint="eastAsia"/>
                <w:color w:val="auto"/>
                <w:highlight w:val="none"/>
                <w:lang w:val="en-US" w:eastAsia="zh-CN"/>
              </w:rPr>
            </w:pPr>
            <w:r>
              <w:rPr>
                <w:rFonts w:hint="eastAsia"/>
                <w:color w:val="auto"/>
                <w:highlight w:val="none"/>
              </w:rPr>
              <w:t>由于</w:t>
            </w:r>
            <w:r>
              <w:rPr>
                <w:rFonts w:hint="eastAsia"/>
                <w:color w:val="auto"/>
                <w:highlight w:val="none"/>
                <w:lang w:eastAsia="zh-CN"/>
              </w:rPr>
              <w:t>鄂尔多斯市宇驰顺捷汽车销售服务有限公司</w:t>
            </w:r>
            <w:r>
              <w:rPr>
                <w:rFonts w:hint="eastAsia"/>
                <w:color w:val="auto"/>
                <w:highlight w:val="none"/>
                <w:lang w:val="en-US" w:eastAsia="zh-CN"/>
              </w:rPr>
              <w:t>新增</w:t>
            </w:r>
            <w:r>
              <w:rPr>
                <w:rFonts w:hint="eastAsia"/>
                <w:color w:val="auto"/>
                <w:highlight w:val="none"/>
                <w:lang w:eastAsia="zh-CN"/>
              </w:rPr>
              <w:t>机动车修理和</w:t>
            </w:r>
            <w:r>
              <w:rPr>
                <w:rFonts w:hint="eastAsia"/>
                <w:color w:val="auto"/>
                <w:highlight w:val="none"/>
                <w:lang w:val="en-US" w:eastAsia="zh-CN"/>
              </w:rPr>
              <w:t>维护服务中心</w:t>
            </w:r>
            <w:r>
              <w:rPr>
                <w:rFonts w:hint="eastAsia"/>
                <w:color w:val="auto"/>
                <w:highlight w:val="none"/>
              </w:rPr>
              <w:t>，</w:t>
            </w:r>
            <w:r>
              <w:rPr>
                <w:rFonts w:hint="eastAsia"/>
                <w:color w:val="auto"/>
                <w:highlight w:val="none"/>
                <w:lang w:val="en-US" w:eastAsia="zh-CN"/>
              </w:rPr>
              <w:t>维修车间占地面积为220㎡，根据《建设项目环境影响评价管理名录》（2021年版），维修车间项目无需编制环境影响评价报告，项目现已建设完成。</w:t>
            </w:r>
          </w:p>
          <w:p w14:paraId="283A3862">
            <w:pPr>
              <w:ind w:firstLine="480"/>
              <w:rPr>
                <w:rFonts w:hint="default" w:eastAsia="宋体"/>
                <w:color w:val="auto"/>
                <w:highlight w:val="none"/>
                <w:lang w:val="en-US" w:eastAsia="zh-CN"/>
              </w:rPr>
            </w:pPr>
            <w:r>
              <w:rPr>
                <w:rFonts w:hint="eastAsia"/>
                <w:color w:val="auto"/>
                <w:highlight w:val="none"/>
                <w:lang w:eastAsia="zh-CN"/>
              </w:rPr>
              <w:t>机动车修理和维护</w:t>
            </w:r>
            <w:r>
              <w:rPr>
                <w:rFonts w:hint="eastAsia"/>
                <w:color w:val="auto"/>
                <w:highlight w:val="none"/>
                <w:lang w:val="en-US" w:eastAsia="zh-CN"/>
              </w:rPr>
              <w:t>过程中会产生废润滑油、废机油、废油桶，对照</w:t>
            </w:r>
            <w:r>
              <w:rPr>
                <w:rFonts w:hint="eastAsia"/>
                <w:color w:val="auto"/>
                <w:highlight w:val="none"/>
              </w:rPr>
              <w:t>《国家危险废物名录》（202</w:t>
            </w:r>
            <w:r>
              <w:rPr>
                <w:rFonts w:hint="eastAsia"/>
                <w:color w:val="auto"/>
                <w:highlight w:val="none"/>
                <w:lang w:val="en-US" w:eastAsia="zh-CN"/>
              </w:rPr>
              <w:t>5</w:t>
            </w:r>
            <w:r>
              <w:rPr>
                <w:rFonts w:hint="eastAsia"/>
                <w:color w:val="auto"/>
                <w:highlight w:val="none"/>
              </w:rPr>
              <w:t>版）可知，</w:t>
            </w:r>
            <w:r>
              <w:rPr>
                <w:rFonts w:hint="eastAsia"/>
                <w:color w:val="auto"/>
                <w:highlight w:val="none"/>
                <w:lang w:val="en-US" w:eastAsia="zh-CN"/>
              </w:rPr>
              <w:t>上述均为危险废物。</w:t>
            </w:r>
            <w:r>
              <w:rPr>
                <w:rFonts w:hint="eastAsia"/>
                <w:color w:val="auto"/>
                <w:highlight w:val="none"/>
              </w:rPr>
              <w:t>故建设单位</w:t>
            </w:r>
            <w:r>
              <w:rPr>
                <w:rFonts w:hint="eastAsia"/>
                <w:color w:val="auto"/>
                <w:highlight w:val="none"/>
                <w:lang w:eastAsia="zh-CN"/>
              </w:rPr>
              <w:t>鄂尔多斯市宇驰顺捷汽车销售服务有限公司</w:t>
            </w:r>
            <w:r>
              <w:rPr>
                <w:rFonts w:hint="eastAsia"/>
                <w:color w:val="auto"/>
                <w:highlight w:val="none"/>
              </w:rPr>
              <w:t>拟在</w:t>
            </w:r>
            <w:r>
              <w:rPr>
                <w:rFonts w:hint="eastAsia"/>
                <w:color w:val="auto"/>
                <w:highlight w:val="none"/>
                <w:lang w:eastAsia="zh-CN"/>
              </w:rPr>
              <w:t>鄂尔多斯市宇驰顺捷汽车销售服务有限公司</w:t>
            </w:r>
            <w:r>
              <w:rPr>
                <w:rFonts w:hint="eastAsia"/>
                <w:color w:val="auto"/>
                <w:highlight w:val="none"/>
                <w:lang w:val="en-US" w:eastAsia="zh-CN"/>
              </w:rPr>
              <w:t>利用厂区内现有空闲库房</w:t>
            </w:r>
            <w:r>
              <w:rPr>
                <w:rFonts w:hint="eastAsia"/>
                <w:color w:val="auto"/>
                <w:highlight w:val="none"/>
              </w:rPr>
              <w:t>新建1座</w:t>
            </w:r>
            <w:r>
              <w:rPr>
                <w:rFonts w:hint="eastAsia"/>
                <w:color w:val="auto"/>
                <w:highlight w:val="none"/>
                <w:lang w:eastAsia="zh-CN"/>
              </w:rPr>
              <w:t>7㎡</w:t>
            </w:r>
            <w:r>
              <w:rPr>
                <w:rFonts w:hint="eastAsia"/>
                <w:color w:val="auto"/>
                <w:highlight w:val="none"/>
              </w:rPr>
              <w:t>的</w:t>
            </w:r>
            <w:r>
              <w:rPr>
                <w:rFonts w:hint="eastAsia"/>
                <w:color w:val="auto"/>
                <w:highlight w:val="none"/>
                <w:lang w:val="en-US" w:eastAsia="zh-CN"/>
              </w:rPr>
              <w:t>全封闭砖混结构</w:t>
            </w:r>
            <w:r>
              <w:rPr>
                <w:rFonts w:hint="eastAsia"/>
                <w:color w:val="auto"/>
                <w:highlight w:val="none"/>
              </w:rPr>
              <w:t>危险废物</w:t>
            </w:r>
            <w:r>
              <w:rPr>
                <w:rFonts w:hint="eastAsia"/>
                <w:color w:val="auto"/>
                <w:highlight w:val="none"/>
                <w:lang w:eastAsia="zh-CN"/>
              </w:rPr>
              <w:t>贮存库</w:t>
            </w:r>
            <w:r>
              <w:rPr>
                <w:rFonts w:hint="eastAsia"/>
                <w:color w:val="auto"/>
                <w:highlight w:val="none"/>
              </w:rPr>
              <w:t>，用于存放</w:t>
            </w:r>
            <w:r>
              <w:rPr>
                <w:rFonts w:hint="eastAsia"/>
                <w:color w:val="auto"/>
                <w:highlight w:val="none"/>
                <w:lang w:eastAsia="zh-CN"/>
              </w:rPr>
              <w:t>机动车修理和维护</w:t>
            </w:r>
            <w:r>
              <w:rPr>
                <w:rFonts w:hint="eastAsia"/>
                <w:color w:val="auto"/>
                <w:highlight w:val="none"/>
              </w:rPr>
              <w:t>过程中产生的危险废物。</w:t>
            </w:r>
            <w:r>
              <w:rPr>
                <w:rFonts w:hint="eastAsia"/>
                <w:color w:val="auto"/>
                <w:highlight w:val="none"/>
                <w:lang w:val="en-US" w:eastAsia="zh-CN"/>
              </w:rPr>
              <w:t>原有空闲库房用于厂区内设备存放，根据《建设项目环境影响评价管理名录》（2021年版），无需进行环境影响报告的编制。</w:t>
            </w:r>
          </w:p>
          <w:p w14:paraId="1EFAD786">
            <w:pPr>
              <w:ind w:firstLine="480"/>
              <w:rPr>
                <w:color w:val="auto"/>
                <w:highlight w:val="none"/>
              </w:rPr>
            </w:pPr>
            <w:r>
              <w:rPr>
                <w:color w:val="auto"/>
                <w:highlight w:val="none"/>
              </w:rPr>
              <w:t>按照《中华人民共和国环境保护法》、《中华人民共和国环境影响评价法》和《建设项目环境保护管理条例》（2021版）的相关规定，该项目应进行环境影响评价。参照《建设项目环境影响评价分类管理名录》，本项目属于“四十七、生态保护和环境治理业，101危险废物（不含医疗废物）利用及处置其他”，应编制环境影响报告表。</w:t>
            </w:r>
          </w:p>
          <w:p w14:paraId="74D1E39E">
            <w:pPr>
              <w:ind w:firstLine="480"/>
              <w:rPr>
                <w:color w:val="auto"/>
                <w:highlight w:val="none"/>
              </w:rPr>
            </w:pPr>
            <w:bookmarkStart w:id="3" w:name="2、项目概况"/>
            <w:bookmarkEnd w:id="3"/>
            <w:r>
              <w:rPr>
                <w:color w:val="auto"/>
                <w:highlight w:val="none"/>
              </w:rPr>
              <w:t>受</w:t>
            </w:r>
            <w:r>
              <w:rPr>
                <w:rFonts w:hint="eastAsia"/>
                <w:color w:val="auto"/>
                <w:highlight w:val="none"/>
                <w:lang w:eastAsia="zh-CN"/>
              </w:rPr>
              <w:t>鄂尔多斯市宇驰顺捷汽车销售服务有限公司</w:t>
            </w:r>
            <w:r>
              <w:rPr>
                <w:color w:val="auto"/>
                <w:highlight w:val="none"/>
              </w:rPr>
              <w:t>委托，我公司承担该项目的环境影响评价工作。评价单位在接受委托后，结合本项目的性质、特点以及该区域环境功能特征，通过实地调查、现场踏勘、资料收集，并依据有关资料和在同类工程分析、类比的基础上，按照环评技术导则的要求，编制完成了该建设项目的环境影响报告表。</w:t>
            </w:r>
          </w:p>
          <w:p w14:paraId="282E24DB">
            <w:pPr>
              <w:adjustRightInd w:val="0"/>
              <w:snapToGrid w:val="0"/>
              <w:ind w:firstLine="482"/>
              <w:rPr>
                <w:rFonts w:hint="eastAsia"/>
                <w:b/>
                <w:color w:val="auto"/>
                <w:highlight w:val="none"/>
              </w:rPr>
            </w:pPr>
            <w:r>
              <w:rPr>
                <w:rFonts w:hint="eastAsia"/>
                <w:b/>
                <w:color w:val="auto"/>
                <w:highlight w:val="none"/>
              </w:rPr>
              <w:t>二、项目概况</w:t>
            </w:r>
          </w:p>
          <w:p w14:paraId="581ED53A">
            <w:pPr>
              <w:ind w:firstLine="482"/>
              <w:rPr>
                <w:b/>
                <w:bCs/>
                <w:color w:val="auto"/>
                <w:highlight w:val="none"/>
              </w:rPr>
            </w:pPr>
            <w:r>
              <w:rPr>
                <w:rFonts w:hint="eastAsia"/>
                <w:b/>
                <w:bCs/>
                <w:color w:val="auto"/>
                <w:highlight w:val="none"/>
              </w:rPr>
              <w:t>1、项目建设基本情况</w:t>
            </w:r>
          </w:p>
          <w:p w14:paraId="62A12E68">
            <w:pPr>
              <w:ind w:firstLine="480"/>
              <w:rPr>
                <w:rFonts w:hint="eastAsia"/>
                <w:color w:val="auto"/>
                <w:highlight w:val="none"/>
              </w:rPr>
            </w:pPr>
            <w:r>
              <w:rPr>
                <w:rFonts w:hint="eastAsia"/>
                <w:color w:val="auto"/>
                <w:highlight w:val="none"/>
              </w:rPr>
              <w:t>项目名称：</w:t>
            </w:r>
            <w:r>
              <w:rPr>
                <w:rFonts w:hint="eastAsia"/>
                <w:color w:val="auto"/>
                <w:highlight w:val="none"/>
                <w:lang w:eastAsia="zh-CN"/>
              </w:rPr>
              <w:t>鄂尔多斯市宇驰顺捷汽车销售服务有限公司</w:t>
            </w:r>
            <w:r>
              <w:rPr>
                <w:rFonts w:hint="eastAsia"/>
                <w:color w:val="auto"/>
                <w:highlight w:val="none"/>
              </w:rPr>
              <w:t>危险废物贮存库建设项目</w:t>
            </w:r>
          </w:p>
          <w:p w14:paraId="733B0CC9">
            <w:pPr>
              <w:ind w:firstLine="480"/>
              <w:rPr>
                <w:rFonts w:hint="eastAsia" w:eastAsia="宋体"/>
                <w:b/>
                <w:bCs/>
                <w:color w:val="auto"/>
                <w:highlight w:val="none"/>
                <w:lang w:eastAsia="zh-CN"/>
              </w:rPr>
            </w:pPr>
            <w:r>
              <w:rPr>
                <w:rFonts w:hint="eastAsia"/>
                <w:color w:val="auto"/>
                <w:highlight w:val="none"/>
              </w:rPr>
              <w:t>建设单位：</w:t>
            </w:r>
            <w:r>
              <w:rPr>
                <w:rFonts w:hint="eastAsia"/>
                <w:color w:val="auto"/>
                <w:highlight w:val="none"/>
                <w:lang w:eastAsia="zh-CN"/>
              </w:rPr>
              <w:t>鄂尔多斯市宇驰顺捷汽车销售服务有限公司</w:t>
            </w:r>
          </w:p>
          <w:p w14:paraId="6E2A4A4C">
            <w:pPr>
              <w:ind w:firstLine="480"/>
              <w:rPr>
                <w:rFonts w:hint="eastAsia"/>
                <w:color w:val="auto"/>
                <w:highlight w:val="none"/>
              </w:rPr>
            </w:pPr>
            <w:r>
              <w:rPr>
                <w:rFonts w:hint="eastAsia"/>
                <w:color w:val="auto"/>
                <w:highlight w:val="none"/>
              </w:rPr>
              <w:t>建设地点：</w:t>
            </w:r>
            <w:r>
              <w:rPr>
                <w:rFonts w:hint="eastAsia"/>
                <w:color w:val="auto"/>
                <w:highlight w:val="none"/>
                <w:lang w:eastAsia="zh-CN"/>
              </w:rPr>
              <w:t>内蒙古自治区鄂尔多斯市东胜区天骄南路42号客运中心后院5号商铺</w:t>
            </w:r>
            <w:r>
              <w:rPr>
                <w:rFonts w:hint="eastAsia"/>
                <w:color w:val="auto"/>
                <w:highlight w:val="none"/>
              </w:rPr>
              <w:t>，</w:t>
            </w:r>
            <w:r>
              <w:rPr>
                <w:rFonts w:hint="eastAsia"/>
                <w:color w:val="auto"/>
                <w:highlight w:val="none"/>
                <w:lang w:eastAsia="zh-CN"/>
              </w:rPr>
              <w:t>鄂尔多斯市宇驰顺捷汽车销售服务有限公司现有</w:t>
            </w:r>
            <w:r>
              <w:rPr>
                <w:rFonts w:hint="eastAsia"/>
                <w:color w:val="auto"/>
                <w:highlight w:val="none"/>
              </w:rPr>
              <w:t>厂区内</w:t>
            </w:r>
          </w:p>
          <w:p w14:paraId="53413953">
            <w:pPr>
              <w:ind w:firstLine="480"/>
              <w:rPr>
                <w:rFonts w:hint="eastAsia" w:eastAsia="宋体"/>
                <w:color w:val="auto"/>
                <w:highlight w:val="none"/>
                <w:lang w:val="en-US" w:eastAsia="zh-CN"/>
              </w:rPr>
            </w:pPr>
            <w:r>
              <w:rPr>
                <w:rFonts w:hint="eastAsia"/>
                <w:color w:val="auto"/>
                <w:highlight w:val="none"/>
              </w:rPr>
              <w:t>建设性质：</w:t>
            </w:r>
            <w:r>
              <w:rPr>
                <w:rFonts w:hint="eastAsia"/>
                <w:color w:val="auto"/>
                <w:highlight w:val="none"/>
                <w:lang w:val="en-US" w:eastAsia="zh-CN"/>
              </w:rPr>
              <w:t>新建</w:t>
            </w:r>
          </w:p>
          <w:p w14:paraId="3B873425">
            <w:pPr>
              <w:ind w:firstLine="480"/>
              <w:rPr>
                <w:rFonts w:hint="eastAsia"/>
                <w:color w:val="auto"/>
                <w:highlight w:val="none"/>
              </w:rPr>
            </w:pPr>
            <w:r>
              <w:rPr>
                <w:rFonts w:hint="eastAsia"/>
                <w:color w:val="auto"/>
                <w:highlight w:val="none"/>
              </w:rPr>
              <w:t>项目投资：本项目总投资为10万元，全部为环保投资。</w:t>
            </w:r>
          </w:p>
          <w:p w14:paraId="4B59BEA7">
            <w:pPr>
              <w:ind w:firstLine="480"/>
              <w:rPr>
                <w:color w:val="auto"/>
                <w:highlight w:val="none"/>
              </w:rPr>
            </w:pPr>
            <w:r>
              <w:rPr>
                <w:rFonts w:hint="eastAsia"/>
                <w:color w:val="auto"/>
                <w:highlight w:val="none"/>
              </w:rPr>
              <w:t>危险废物收集类别：项目主要收集机械维修过程中产生的</w:t>
            </w:r>
            <w:r>
              <w:rPr>
                <w:rFonts w:hint="eastAsia"/>
                <w:color w:val="auto"/>
                <w:highlight w:val="none"/>
                <w:lang w:val="en-US" w:eastAsia="zh-CN"/>
              </w:rPr>
              <w:t>废机油</w:t>
            </w:r>
            <w:r>
              <w:rPr>
                <w:rFonts w:hint="eastAsia"/>
                <w:color w:val="auto"/>
                <w:highlight w:val="none"/>
              </w:rPr>
              <w:t>（HW08废矿物油与含矿物油废物900-214-08）</w:t>
            </w:r>
            <w:r>
              <w:rPr>
                <w:rFonts w:hint="eastAsia"/>
                <w:color w:val="auto"/>
                <w:highlight w:val="none"/>
                <w:lang w:eastAsia="zh-CN"/>
              </w:rPr>
              <w:t>，</w:t>
            </w:r>
            <w:r>
              <w:rPr>
                <w:rFonts w:hint="eastAsia"/>
                <w:color w:val="auto"/>
                <w:highlight w:val="none"/>
                <w:lang w:val="en-US" w:eastAsia="zh-CN"/>
              </w:rPr>
              <w:t>最大储存量为0.5t，周转周期为183d</w:t>
            </w:r>
            <w:r>
              <w:rPr>
                <w:rFonts w:hint="eastAsia"/>
                <w:color w:val="auto"/>
                <w:highlight w:val="none"/>
                <w:lang w:eastAsia="zh-CN"/>
              </w:rPr>
              <w:t>；</w:t>
            </w:r>
            <w:r>
              <w:rPr>
                <w:rFonts w:hint="eastAsia"/>
                <w:color w:val="auto"/>
                <w:highlight w:val="none"/>
                <w:lang w:val="en-US" w:eastAsia="zh-CN"/>
              </w:rPr>
              <w:t>废润滑油（H</w:t>
            </w:r>
            <w:r>
              <w:rPr>
                <w:rFonts w:hint="eastAsia"/>
                <w:color w:val="auto"/>
                <w:highlight w:val="none"/>
              </w:rPr>
              <w:t>W08废矿物油与含矿物油废物900-21</w:t>
            </w:r>
            <w:r>
              <w:rPr>
                <w:rFonts w:hint="eastAsia"/>
                <w:color w:val="auto"/>
                <w:highlight w:val="none"/>
                <w:lang w:val="en-US" w:eastAsia="zh-CN"/>
              </w:rPr>
              <w:t>7</w:t>
            </w:r>
            <w:r>
              <w:rPr>
                <w:rFonts w:hint="eastAsia"/>
                <w:color w:val="auto"/>
                <w:highlight w:val="none"/>
              </w:rPr>
              <w:t>-08</w:t>
            </w:r>
            <w:r>
              <w:rPr>
                <w:rFonts w:hint="eastAsia"/>
                <w:color w:val="auto"/>
                <w:highlight w:val="none"/>
                <w:lang w:val="en-US" w:eastAsia="zh-CN"/>
              </w:rPr>
              <w:t>），最大储存量为1.5t，周转周期为108d；</w:t>
            </w:r>
            <w:r>
              <w:rPr>
                <w:rFonts w:hint="eastAsia"/>
                <w:color w:val="auto"/>
                <w:highlight w:val="none"/>
              </w:rPr>
              <w:t>废油桶（HW</w:t>
            </w:r>
            <w:r>
              <w:rPr>
                <w:rFonts w:hint="eastAsia"/>
                <w:color w:val="auto"/>
                <w:highlight w:val="none"/>
                <w:lang w:val="en-US" w:eastAsia="zh-CN"/>
              </w:rPr>
              <w:t>49</w:t>
            </w:r>
            <w:r>
              <w:rPr>
                <w:rFonts w:hint="eastAsia"/>
                <w:color w:val="auto"/>
                <w:highlight w:val="none"/>
                <w:lang w:eastAsia="zh-CN"/>
              </w:rPr>
              <w:t>废润滑油</w:t>
            </w:r>
            <w:r>
              <w:rPr>
                <w:rFonts w:hint="eastAsia"/>
                <w:color w:val="auto"/>
                <w:highlight w:val="none"/>
              </w:rPr>
              <w:t>与含矿物油废物900-</w:t>
            </w:r>
            <w:r>
              <w:rPr>
                <w:rFonts w:hint="eastAsia"/>
                <w:color w:val="auto"/>
                <w:highlight w:val="none"/>
                <w:lang w:val="en-US" w:eastAsia="zh-CN"/>
              </w:rPr>
              <w:t>041</w:t>
            </w:r>
            <w:r>
              <w:rPr>
                <w:rFonts w:hint="eastAsia"/>
                <w:color w:val="auto"/>
                <w:highlight w:val="none"/>
              </w:rPr>
              <w:t>-</w:t>
            </w:r>
            <w:r>
              <w:rPr>
                <w:rFonts w:hint="eastAsia"/>
                <w:color w:val="auto"/>
                <w:highlight w:val="none"/>
                <w:lang w:val="en-US" w:eastAsia="zh-CN"/>
              </w:rPr>
              <w:t>49</w:t>
            </w:r>
            <w:r>
              <w:rPr>
                <w:rFonts w:hint="eastAsia"/>
                <w:color w:val="auto"/>
                <w:highlight w:val="none"/>
              </w:rPr>
              <w:t>）</w:t>
            </w:r>
            <w:r>
              <w:rPr>
                <w:rFonts w:hint="eastAsia"/>
                <w:color w:val="auto"/>
                <w:highlight w:val="none"/>
                <w:lang w:eastAsia="zh-CN"/>
              </w:rPr>
              <w:t>，</w:t>
            </w:r>
            <w:r>
              <w:rPr>
                <w:rFonts w:hint="eastAsia"/>
                <w:color w:val="auto"/>
                <w:highlight w:val="none"/>
                <w:lang w:val="en-US" w:eastAsia="zh-CN"/>
              </w:rPr>
              <w:t>最大储存量为0.02t，周转周期为183d；依据</w:t>
            </w:r>
            <w:r>
              <w:rPr>
                <w:rFonts w:hint="eastAsia"/>
                <w:color w:val="auto"/>
                <w:highlight w:val="none"/>
              </w:rPr>
              <w:t>《国家危险废物名录》（202</w:t>
            </w:r>
            <w:r>
              <w:rPr>
                <w:rFonts w:hint="eastAsia"/>
                <w:color w:val="auto"/>
                <w:highlight w:val="none"/>
                <w:lang w:val="en-US" w:eastAsia="zh-CN"/>
              </w:rPr>
              <w:t>5</w:t>
            </w:r>
            <w:r>
              <w:rPr>
                <w:rFonts w:hint="eastAsia"/>
                <w:color w:val="auto"/>
                <w:highlight w:val="none"/>
              </w:rPr>
              <w:t>版）可知，上述物质均属于危险废物。</w:t>
            </w:r>
          </w:p>
          <w:p w14:paraId="32AB5AD1">
            <w:pPr>
              <w:bidi w:val="0"/>
              <w:rPr>
                <w:rFonts w:hint="eastAsia"/>
                <w:color w:val="auto"/>
                <w:highlight w:val="none"/>
              </w:rPr>
            </w:pPr>
            <w:r>
              <w:rPr>
                <w:rFonts w:hint="eastAsia"/>
                <w:color w:val="auto"/>
                <w:highlight w:val="none"/>
              </w:rPr>
              <w:t>地理位置及周边环境：本项目位于</w:t>
            </w:r>
            <w:r>
              <w:rPr>
                <w:rFonts w:hint="eastAsia"/>
                <w:color w:val="auto"/>
                <w:highlight w:val="none"/>
                <w:lang w:eastAsia="zh-CN"/>
              </w:rPr>
              <w:t>内蒙古自治区鄂尔多斯市东胜区天骄南路42号客运中心后院5号商铺</w:t>
            </w:r>
            <w:r>
              <w:rPr>
                <w:rFonts w:hint="eastAsia"/>
                <w:color w:val="auto"/>
                <w:highlight w:val="none"/>
              </w:rPr>
              <w:t>，</w:t>
            </w:r>
            <w:r>
              <w:rPr>
                <w:rFonts w:hint="eastAsia"/>
                <w:color w:val="auto"/>
                <w:highlight w:val="none"/>
                <w:lang w:val="en-US" w:eastAsia="zh-CN"/>
              </w:rPr>
              <w:t>项目东侧为聚能大厦、西侧为鄂尔多斯市安众机动车检测技术有限责任公司、南侧为鄂尔多斯市鑫源汽车维修服务有限公司、北侧为正道运输公司停车场。</w:t>
            </w:r>
            <w:r>
              <w:rPr>
                <w:rFonts w:hint="eastAsia"/>
                <w:color w:val="auto"/>
                <w:highlight w:val="none"/>
                <w:lang w:eastAsia="zh-CN"/>
              </w:rPr>
              <w:t>鄂尔多斯市宇驰顺捷汽车销售服务有限公司现有</w:t>
            </w:r>
            <w:r>
              <w:rPr>
                <w:rFonts w:hint="eastAsia"/>
                <w:color w:val="auto"/>
                <w:highlight w:val="none"/>
              </w:rPr>
              <w:t>厂区内建设，本项目四周基本情况见图2-1。</w:t>
            </w:r>
          </w:p>
          <w:tbl>
            <w:tblPr>
              <w:tblStyle w:val="14"/>
              <w:tblW w:w="7979" w:type="dxa"/>
              <w:tblInd w:w="5" w:type="dxa"/>
              <w:tblLayout w:type="fixed"/>
              <w:tblCellMar>
                <w:top w:w="0" w:type="dxa"/>
                <w:left w:w="108" w:type="dxa"/>
                <w:bottom w:w="0" w:type="dxa"/>
                <w:right w:w="108" w:type="dxa"/>
              </w:tblCellMar>
            </w:tblPr>
            <w:tblGrid>
              <w:gridCol w:w="3989"/>
              <w:gridCol w:w="3990"/>
            </w:tblGrid>
            <w:tr w14:paraId="669E8085">
              <w:tblPrEx>
                <w:tblCellMar>
                  <w:top w:w="0" w:type="dxa"/>
                  <w:left w:w="108" w:type="dxa"/>
                  <w:bottom w:w="0" w:type="dxa"/>
                  <w:right w:w="108" w:type="dxa"/>
                </w:tblCellMar>
              </w:tblPrEx>
              <w:trPr>
                <w:trHeight w:val="2449" w:hRule="atLeast"/>
              </w:trPr>
              <w:tc>
                <w:tcPr>
                  <w:tcW w:w="3989" w:type="dxa"/>
                  <w:noWrap w:val="0"/>
                  <w:vAlign w:val="top"/>
                </w:tcPr>
                <w:p w14:paraId="4C4BA923">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2372360" cy="1494155"/>
                        <wp:effectExtent l="0" t="0" r="8890" b="10795"/>
                        <wp:docPr id="44" name="图片 44" descr="ff85bd495f5becaa5e963059eae5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ff85bd495f5becaa5e963059eae5989"/>
                                <pic:cNvPicPr>
                                  <a:picLocks noChangeAspect="1"/>
                                </pic:cNvPicPr>
                              </pic:nvPicPr>
                              <pic:blipFill>
                                <a:blip r:embed="rId17"/>
                                <a:stretch>
                                  <a:fillRect/>
                                </a:stretch>
                              </pic:blipFill>
                              <pic:spPr>
                                <a:xfrm>
                                  <a:off x="0" y="0"/>
                                  <a:ext cx="2372360" cy="1494155"/>
                                </a:xfrm>
                                <a:prstGeom prst="rect">
                                  <a:avLst/>
                                </a:prstGeom>
                              </pic:spPr>
                            </pic:pic>
                          </a:graphicData>
                        </a:graphic>
                      </wp:inline>
                    </w:drawing>
                  </w:r>
                </w:p>
                <w:p w14:paraId="1E3C2F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highlight w:val="none"/>
                    </w:rPr>
                  </w:pPr>
                  <w:r>
                    <w:rPr>
                      <w:rFonts w:hint="eastAsia"/>
                      <w:color w:val="auto"/>
                      <w:highlight w:val="none"/>
                    </w:rPr>
                    <w:t>项目东侧</w:t>
                  </w:r>
                </w:p>
              </w:tc>
              <w:tc>
                <w:tcPr>
                  <w:tcW w:w="3990" w:type="dxa"/>
                  <w:noWrap w:val="0"/>
                  <w:vAlign w:val="top"/>
                </w:tcPr>
                <w:p w14:paraId="701BC309">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2372360" cy="1499870"/>
                        <wp:effectExtent l="0" t="0" r="8890" b="5080"/>
                        <wp:docPr id="43" name="图片 43" descr="7b0119a2194922b6ee1e4498fe90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7b0119a2194922b6ee1e4498fe90384"/>
                                <pic:cNvPicPr>
                                  <a:picLocks noChangeAspect="1"/>
                                </pic:cNvPicPr>
                              </pic:nvPicPr>
                              <pic:blipFill>
                                <a:blip r:embed="rId18"/>
                                <a:stretch>
                                  <a:fillRect/>
                                </a:stretch>
                              </pic:blipFill>
                              <pic:spPr>
                                <a:xfrm>
                                  <a:off x="0" y="0"/>
                                  <a:ext cx="2372360" cy="1499870"/>
                                </a:xfrm>
                                <a:prstGeom prst="rect">
                                  <a:avLst/>
                                </a:prstGeom>
                              </pic:spPr>
                            </pic:pic>
                          </a:graphicData>
                        </a:graphic>
                      </wp:inline>
                    </w:drawing>
                  </w:r>
                </w:p>
                <w:p w14:paraId="311E04E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color w:val="auto"/>
                      <w:highlight w:val="none"/>
                    </w:rPr>
                  </w:pPr>
                  <w:r>
                    <w:rPr>
                      <w:rFonts w:hint="eastAsia"/>
                      <w:color w:val="auto"/>
                      <w:highlight w:val="none"/>
                    </w:rPr>
                    <w:t>项目西侧</w:t>
                  </w:r>
                </w:p>
              </w:tc>
            </w:tr>
            <w:tr w14:paraId="7DFD3863">
              <w:tblPrEx>
                <w:tblCellMar>
                  <w:top w:w="0" w:type="dxa"/>
                  <w:left w:w="108" w:type="dxa"/>
                  <w:bottom w:w="0" w:type="dxa"/>
                  <w:right w:w="108" w:type="dxa"/>
                </w:tblCellMar>
              </w:tblPrEx>
              <w:trPr>
                <w:trHeight w:val="2542" w:hRule="atLeast"/>
              </w:trPr>
              <w:tc>
                <w:tcPr>
                  <w:tcW w:w="3989" w:type="dxa"/>
                  <w:noWrap w:val="0"/>
                  <w:vAlign w:val="top"/>
                </w:tcPr>
                <w:p w14:paraId="78B4A7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highlight w:val="none"/>
                    </w:rPr>
                  </w:pPr>
                  <w:r>
                    <w:rPr>
                      <w:rFonts w:hint="eastAsia" w:eastAsia="宋体"/>
                      <w:color w:val="auto"/>
                      <w:highlight w:val="none"/>
                      <w:lang w:eastAsia="zh-CN"/>
                    </w:rPr>
                    <w:drawing>
                      <wp:inline distT="0" distB="0" distL="114300" distR="114300">
                        <wp:extent cx="2362200" cy="1478280"/>
                        <wp:effectExtent l="0" t="0" r="0" b="7620"/>
                        <wp:docPr id="42" name="图片 42" descr="2cb0583ea9714580fdde5841e6c49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2cb0583ea9714580fdde5841e6c49e7"/>
                                <pic:cNvPicPr>
                                  <a:picLocks noChangeAspect="1"/>
                                </pic:cNvPicPr>
                              </pic:nvPicPr>
                              <pic:blipFill>
                                <a:blip r:embed="rId19"/>
                                <a:stretch>
                                  <a:fillRect/>
                                </a:stretch>
                              </pic:blipFill>
                              <pic:spPr>
                                <a:xfrm>
                                  <a:off x="0" y="0"/>
                                  <a:ext cx="2362200" cy="1478280"/>
                                </a:xfrm>
                                <a:prstGeom prst="rect">
                                  <a:avLst/>
                                </a:prstGeom>
                              </pic:spPr>
                            </pic:pic>
                          </a:graphicData>
                        </a:graphic>
                      </wp:inline>
                    </w:drawing>
                  </w:r>
                  <w:r>
                    <w:rPr>
                      <w:rFonts w:hint="eastAsia"/>
                      <w:color w:val="auto"/>
                      <w:highlight w:val="none"/>
                    </w:rPr>
                    <w:t>项目南侧</w:t>
                  </w:r>
                </w:p>
              </w:tc>
              <w:tc>
                <w:tcPr>
                  <w:tcW w:w="3990" w:type="dxa"/>
                  <w:noWrap w:val="0"/>
                  <w:vAlign w:val="top"/>
                </w:tcPr>
                <w:p w14:paraId="780EEA16">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2372360" cy="1456690"/>
                        <wp:effectExtent l="0" t="0" r="8890" b="10160"/>
                        <wp:docPr id="45" name="图片 45" descr="b2aa56b14b900664d8298aecc734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b2aa56b14b900664d8298aecc734325"/>
                                <pic:cNvPicPr>
                                  <a:picLocks noChangeAspect="1"/>
                                </pic:cNvPicPr>
                              </pic:nvPicPr>
                              <pic:blipFill>
                                <a:blip r:embed="rId20"/>
                                <a:stretch>
                                  <a:fillRect/>
                                </a:stretch>
                              </pic:blipFill>
                              <pic:spPr>
                                <a:xfrm>
                                  <a:off x="0" y="0"/>
                                  <a:ext cx="2372360" cy="1456690"/>
                                </a:xfrm>
                                <a:prstGeom prst="rect">
                                  <a:avLst/>
                                </a:prstGeom>
                              </pic:spPr>
                            </pic:pic>
                          </a:graphicData>
                        </a:graphic>
                      </wp:inline>
                    </w:drawing>
                  </w:r>
                </w:p>
                <w:p w14:paraId="61B3524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color w:val="auto"/>
                      <w:highlight w:val="none"/>
                    </w:rPr>
                  </w:pPr>
                  <w:r>
                    <w:rPr>
                      <w:rFonts w:hint="eastAsia"/>
                      <w:color w:val="auto"/>
                      <w:highlight w:val="none"/>
                    </w:rPr>
                    <w:t>项目北侧</w:t>
                  </w:r>
                </w:p>
              </w:tc>
            </w:tr>
            <w:tr w14:paraId="6E3B1105">
              <w:tblPrEx>
                <w:tblCellMar>
                  <w:top w:w="0" w:type="dxa"/>
                  <w:left w:w="108" w:type="dxa"/>
                  <w:bottom w:w="0" w:type="dxa"/>
                  <w:right w:w="108" w:type="dxa"/>
                </w:tblCellMar>
              </w:tblPrEx>
              <w:trPr>
                <w:trHeight w:val="2542" w:hRule="atLeast"/>
              </w:trPr>
              <w:tc>
                <w:tcPr>
                  <w:tcW w:w="3989" w:type="dxa"/>
                  <w:noWrap w:val="0"/>
                  <w:vAlign w:val="top"/>
                </w:tcPr>
                <w:p w14:paraId="26FF4D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2390775" cy="2014220"/>
                        <wp:effectExtent l="0" t="0" r="9525" b="5080"/>
                        <wp:docPr id="6" name="图片 6" descr="ef49216d4727a685b16d518d4567a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f49216d4727a685b16d518d4567ab1"/>
                                <pic:cNvPicPr>
                                  <a:picLocks noChangeAspect="1"/>
                                </pic:cNvPicPr>
                              </pic:nvPicPr>
                              <pic:blipFill>
                                <a:blip r:embed="rId21"/>
                                <a:srcRect b="24734"/>
                                <a:stretch>
                                  <a:fillRect/>
                                </a:stretch>
                              </pic:blipFill>
                              <pic:spPr>
                                <a:xfrm>
                                  <a:off x="0" y="0"/>
                                  <a:ext cx="2390775" cy="2014220"/>
                                </a:xfrm>
                                <a:prstGeom prst="rect">
                                  <a:avLst/>
                                </a:prstGeom>
                              </pic:spPr>
                            </pic:pic>
                          </a:graphicData>
                        </a:graphic>
                      </wp:inline>
                    </w:drawing>
                  </w:r>
                </w:p>
                <w:p w14:paraId="1F4616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highlight w:val="none"/>
                      <w:lang w:val="en-US" w:eastAsia="zh-CN"/>
                    </w:rPr>
                  </w:pPr>
                  <w:r>
                    <w:rPr>
                      <w:rFonts w:hint="eastAsia"/>
                      <w:color w:val="auto"/>
                      <w:highlight w:val="none"/>
                      <w:lang w:val="en-US" w:eastAsia="zh-CN"/>
                    </w:rPr>
                    <w:t>现有厂房</w:t>
                  </w:r>
                </w:p>
              </w:tc>
              <w:tc>
                <w:tcPr>
                  <w:tcW w:w="3990" w:type="dxa"/>
                  <w:noWrap w:val="0"/>
                  <w:vAlign w:val="top"/>
                </w:tcPr>
                <w:p w14:paraId="41EA511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olor w:val="auto"/>
                      <w:highlight w:val="none"/>
                    </w:rPr>
                  </w:pPr>
                </w:p>
                <w:p w14:paraId="5310166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olor w:val="auto"/>
                      <w:highlight w:val="none"/>
                    </w:rPr>
                  </w:pPr>
                </w:p>
              </w:tc>
            </w:tr>
          </w:tbl>
          <w:p w14:paraId="0FB3176F">
            <w:pPr>
              <w:ind w:left="0" w:leftChars="0" w:firstLine="0" w:firstLineChars="0"/>
              <w:jc w:val="center"/>
              <w:rPr>
                <w:b/>
                <w:bCs/>
                <w:color w:val="auto"/>
                <w:highlight w:val="none"/>
              </w:rPr>
            </w:pPr>
            <w:r>
              <w:rPr>
                <w:rFonts w:hint="eastAsia"/>
                <w:b/>
                <w:bCs/>
                <w:color w:val="auto"/>
                <w:highlight w:val="none"/>
              </w:rPr>
              <w:t>图2-1项目四周情况图</w:t>
            </w:r>
          </w:p>
          <w:p w14:paraId="393CCC46">
            <w:pPr>
              <w:ind w:firstLine="480"/>
              <w:rPr>
                <w:rFonts w:hint="eastAsia"/>
                <w:color w:val="auto"/>
                <w:highlight w:val="none"/>
              </w:rPr>
            </w:pPr>
            <w:r>
              <w:rPr>
                <w:rFonts w:hint="eastAsia"/>
                <w:color w:val="auto"/>
                <w:highlight w:val="none"/>
              </w:rPr>
              <w:t>建设内容及规模：本项目新建1座全封闭</w:t>
            </w:r>
            <w:r>
              <w:rPr>
                <w:rFonts w:hint="eastAsia"/>
                <w:color w:val="auto"/>
                <w:highlight w:val="none"/>
                <w:lang w:eastAsia="zh-CN"/>
              </w:rPr>
              <w:t>7㎡</w:t>
            </w:r>
            <w:r>
              <w:rPr>
                <w:rFonts w:hint="eastAsia"/>
                <w:color w:val="auto"/>
                <w:highlight w:val="none"/>
              </w:rPr>
              <w:t>的</w:t>
            </w:r>
            <w:r>
              <w:rPr>
                <w:rFonts w:hint="eastAsia"/>
                <w:color w:val="auto"/>
                <w:highlight w:val="none"/>
                <w:lang w:eastAsia="zh-CN"/>
              </w:rPr>
              <w:t>全封闭</w:t>
            </w:r>
            <w:r>
              <w:rPr>
                <w:rFonts w:hint="eastAsia"/>
                <w:color w:val="auto"/>
                <w:highlight w:val="none"/>
                <w:lang w:val="en-US" w:eastAsia="zh-CN"/>
              </w:rPr>
              <w:t>砖混结构</w:t>
            </w:r>
            <w:r>
              <w:rPr>
                <w:rFonts w:hint="eastAsia"/>
                <w:color w:val="auto"/>
                <w:highlight w:val="none"/>
              </w:rPr>
              <w:t>危险废物贮存库，危险废物</w:t>
            </w:r>
            <w:r>
              <w:rPr>
                <w:rFonts w:hint="eastAsia"/>
                <w:color w:val="auto"/>
                <w:highlight w:val="none"/>
                <w:lang w:eastAsia="zh-CN"/>
              </w:rPr>
              <w:t>贮存库</w:t>
            </w:r>
            <w:r>
              <w:rPr>
                <w:rFonts w:hint="eastAsia"/>
                <w:color w:val="auto"/>
                <w:highlight w:val="none"/>
              </w:rPr>
              <w:t>内设导流渠（200mm×200mm）、集液池（1m³），集液池与导流渠相连，四周设置防渗裙脚，上翻300mm；本项目地面、导流渠、集液池、裙脚均采用防渗措施进行防渗，具体防渗措施采用：</w:t>
            </w:r>
            <w:r>
              <w:rPr>
                <w:rFonts w:hint="eastAsia"/>
                <w:color w:val="auto"/>
                <w:highlight w:val="none"/>
                <w:lang w:eastAsia="zh-CN"/>
              </w:rPr>
              <w:t>防渗层为至少1m厚黏土层（渗透系数≤10</w:t>
            </w:r>
            <w:r>
              <w:rPr>
                <w:rFonts w:hint="eastAsia"/>
                <w:color w:val="auto"/>
                <w:highlight w:val="none"/>
                <w:vertAlign w:val="superscript"/>
                <w:lang w:eastAsia="zh-CN"/>
              </w:rPr>
              <w:t>-7</w:t>
            </w:r>
            <w:r>
              <w:rPr>
                <w:rFonts w:hint="eastAsia"/>
                <w:color w:val="auto"/>
                <w:highlight w:val="none"/>
                <w:lang w:eastAsia="zh-CN"/>
              </w:rPr>
              <w:t>cm/s），或至少2mm厚高密度聚乙烯膜等人工防渗材料（渗透系数≤10</w:t>
            </w:r>
            <w:r>
              <w:rPr>
                <w:rFonts w:hint="eastAsia"/>
                <w:color w:val="auto"/>
                <w:highlight w:val="none"/>
                <w:vertAlign w:val="superscript"/>
                <w:lang w:eastAsia="zh-CN"/>
              </w:rPr>
              <w:t>-10</w:t>
            </w:r>
            <w:r>
              <w:rPr>
                <w:rFonts w:hint="eastAsia"/>
                <w:color w:val="auto"/>
                <w:highlight w:val="none"/>
                <w:lang w:eastAsia="zh-CN"/>
              </w:rPr>
              <w:t>cm/s），或其他防渗性能等效的材料，并涂刷环氧树脂地坪漆。</w:t>
            </w:r>
          </w:p>
          <w:p w14:paraId="7CDF58EB">
            <w:pPr>
              <w:ind w:firstLine="0" w:firstLineChars="0"/>
              <w:jc w:val="center"/>
              <w:rPr>
                <w:rFonts w:hint="eastAsia"/>
                <w:b/>
                <w:bCs/>
                <w:color w:val="auto"/>
                <w:highlight w:val="none"/>
              </w:rPr>
            </w:pPr>
            <w:r>
              <w:rPr>
                <w:rFonts w:hint="eastAsia"/>
                <w:b/>
                <w:bCs/>
                <w:color w:val="auto"/>
                <w:highlight w:val="none"/>
              </w:rPr>
              <w:t>表2-1主要建设内容</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742"/>
              <w:gridCol w:w="5748"/>
              <w:gridCol w:w="724"/>
            </w:tblGrid>
            <w:tr w14:paraId="7AAED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 w:hRule="atLeast"/>
                <w:jc w:val="center"/>
              </w:trPr>
              <w:tc>
                <w:tcPr>
                  <w:tcW w:w="454" w:type="pct"/>
                  <w:noWrap w:val="0"/>
                  <w:vAlign w:val="center"/>
                </w:tcPr>
                <w:p w14:paraId="202E69C2">
                  <w:pPr>
                    <w:spacing w:line="240" w:lineRule="auto"/>
                    <w:ind w:firstLine="0" w:firstLineChars="0"/>
                    <w:rPr>
                      <w:rFonts w:hint="eastAsia"/>
                      <w:color w:val="auto"/>
                      <w:highlight w:val="none"/>
                    </w:rPr>
                  </w:pPr>
                  <w:r>
                    <w:rPr>
                      <w:rFonts w:hint="eastAsia"/>
                      <w:color w:val="auto"/>
                      <w:highlight w:val="none"/>
                    </w:rPr>
                    <w:t>项目</w:t>
                  </w:r>
                </w:p>
              </w:tc>
              <w:tc>
                <w:tcPr>
                  <w:tcW w:w="467" w:type="pct"/>
                  <w:noWrap w:val="0"/>
                  <w:vAlign w:val="center"/>
                </w:tcPr>
                <w:p w14:paraId="2CF12A85">
                  <w:pPr>
                    <w:spacing w:line="240" w:lineRule="auto"/>
                    <w:ind w:firstLine="0" w:firstLineChars="0"/>
                    <w:rPr>
                      <w:rFonts w:hint="eastAsia"/>
                      <w:color w:val="auto"/>
                      <w:highlight w:val="none"/>
                    </w:rPr>
                  </w:pPr>
                  <w:r>
                    <w:rPr>
                      <w:rFonts w:hint="eastAsia"/>
                      <w:color w:val="auto"/>
                      <w:highlight w:val="none"/>
                    </w:rPr>
                    <w:t>内容</w:t>
                  </w:r>
                </w:p>
              </w:tc>
              <w:tc>
                <w:tcPr>
                  <w:tcW w:w="3621" w:type="pct"/>
                  <w:noWrap w:val="0"/>
                  <w:vAlign w:val="center"/>
                </w:tcPr>
                <w:p w14:paraId="0FCD63FD">
                  <w:pPr>
                    <w:spacing w:line="240" w:lineRule="auto"/>
                    <w:ind w:firstLine="0" w:firstLineChars="0"/>
                    <w:rPr>
                      <w:color w:val="auto"/>
                      <w:highlight w:val="none"/>
                    </w:rPr>
                  </w:pPr>
                  <w:r>
                    <w:rPr>
                      <w:color w:val="auto"/>
                      <w:highlight w:val="none"/>
                    </w:rPr>
                    <w:t>建设内容</w:t>
                  </w:r>
                </w:p>
              </w:tc>
              <w:tc>
                <w:tcPr>
                  <w:tcW w:w="456" w:type="pct"/>
                  <w:noWrap w:val="0"/>
                  <w:vAlign w:val="center"/>
                </w:tcPr>
                <w:p w14:paraId="63460098">
                  <w:pPr>
                    <w:spacing w:line="240" w:lineRule="auto"/>
                    <w:ind w:firstLine="0" w:firstLineChars="0"/>
                    <w:rPr>
                      <w:color w:val="auto"/>
                      <w:highlight w:val="none"/>
                    </w:rPr>
                  </w:pPr>
                  <w:r>
                    <w:rPr>
                      <w:color w:val="auto"/>
                      <w:highlight w:val="none"/>
                    </w:rPr>
                    <w:t>备注</w:t>
                  </w:r>
                </w:p>
              </w:tc>
            </w:tr>
            <w:tr w14:paraId="42BC6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4" w:type="pct"/>
                  <w:vMerge w:val="restart"/>
                  <w:noWrap w:val="0"/>
                  <w:vAlign w:val="center"/>
                </w:tcPr>
                <w:p w14:paraId="27BFE5C3">
                  <w:pPr>
                    <w:spacing w:line="240" w:lineRule="auto"/>
                    <w:ind w:firstLine="0" w:firstLineChars="0"/>
                    <w:rPr>
                      <w:color w:val="auto"/>
                      <w:highlight w:val="none"/>
                    </w:rPr>
                  </w:pPr>
                  <w:r>
                    <w:rPr>
                      <w:color w:val="auto"/>
                      <w:highlight w:val="none"/>
                    </w:rPr>
                    <w:t>主体工程</w:t>
                  </w:r>
                </w:p>
              </w:tc>
              <w:tc>
                <w:tcPr>
                  <w:tcW w:w="467" w:type="pct"/>
                  <w:vMerge w:val="restart"/>
                  <w:noWrap w:val="0"/>
                  <w:vAlign w:val="center"/>
                </w:tcPr>
                <w:p w14:paraId="4BCBEF06">
                  <w:pPr>
                    <w:spacing w:line="240" w:lineRule="auto"/>
                    <w:ind w:firstLine="0" w:firstLineChars="0"/>
                    <w:rPr>
                      <w:rFonts w:hint="eastAsia" w:eastAsia="宋体"/>
                      <w:color w:val="auto"/>
                      <w:highlight w:val="none"/>
                      <w:lang w:eastAsia="zh-CN"/>
                    </w:rPr>
                  </w:pPr>
                  <w:r>
                    <w:rPr>
                      <w:rFonts w:hint="eastAsia"/>
                      <w:color w:val="auto"/>
                      <w:highlight w:val="none"/>
                      <w:lang w:eastAsia="zh-CN"/>
                    </w:rPr>
                    <w:t>危险废物贮存库</w:t>
                  </w:r>
                </w:p>
              </w:tc>
              <w:tc>
                <w:tcPr>
                  <w:tcW w:w="3621" w:type="pct"/>
                  <w:noWrap w:val="0"/>
                  <w:vAlign w:val="center"/>
                </w:tcPr>
                <w:p w14:paraId="2007197B">
                  <w:pPr>
                    <w:spacing w:line="240" w:lineRule="auto"/>
                    <w:ind w:firstLine="0" w:firstLineChars="0"/>
                    <w:rPr>
                      <w:color w:val="auto"/>
                      <w:highlight w:val="none"/>
                    </w:rPr>
                  </w:pPr>
                  <w:r>
                    <w:rPr>
                      <w:rFonts w:hint="eastAsia"/>
                      <w:color w:val="auto"/>
                      <w:highlight w:val="none"/>
                      <w:lang w:val="en-US" w:eastAsia="zh-CN"/>
                    </w:rPr>
                    <w:t>本项目利用厂区内现有空闲库房进行改造建设，</w:t>
                  </w:r>
                  <w:r>
                    <w:rPr>
                      <w:rFonts w:hint="eastAsia"/>
                      <w:color w:val="auto"/>
                      <w:highlight w:val="none"/>
                    </w:rPr>
                    <w:t>全封闭</w:t>
                  </w:r>
                  <w:r>
                    <w:rPr>
                      <w:rFonts w:hint="eastAsia"/>
                      <w:color w:val="auto"/>
                      <w:highlight w:val="none"/>
                      <w:lang w:eastAsia="zh-CN"/>
                    </w:rPr>
                    <w:t>砖混结构</w:t>
                  </w:r>
                  <w:r>
                    <w:rPr>
                      <w:rFonts w:hint="eastAsia"/>
                      <w:color w:val="auto"/>
                      <w:highlight w:val="none"/>
                    </w:rPr>
                    <w:t>，</w:t>
                  </w:r>
                  <w:r>
                    <w:rPr>
                      <w:color w:val="auto"/>
                      <w:highlight w:val="none"/>
                    </w:rPr>
                    <w:t>建筑面积</w:t>
                  </w:r>
                  <w:r>
                    <w:rPr>
                      <w:rFonts w:hint="eastAsia"/>
                      <w:color w:val="auto"/>
                      <w:highlight w:val="none"/>
                      <w:lang w:eastAsia="zh-CN"/>
                    </w:rPr>
                    <w:t>7㎡</w:t>
                  </w:r>
                  <w:r>
                    <w:rPr>
                      <w:color w:val="auto"/>
                      <w:highlight w:val="none"/>
                    </w:rPr>
                    <w:t>（规格为</w:t>
                  </w:r>
                  <w:r>
                    <w:rPr>
                      <w:rFonts w:hint="eastAsia"/>
                      <w:color w:val="auto"/>
                      <w:highlight w:val="none"/>
                      <w:lang w:val="en-US" w:eastAsia="zh-CN"/>
                    </w:rPr>
                    <w:t>7</w:t>
                  </w:r>
                  <w:r>
                    <w:rPr>
                      <w:rFonts w:hint="eastAsia"/>
                      <w:color w:val="auto"/>
                      <w:highlight w:val="none"/>
                    </w:rPr>
                    <w:t>m×</w:t>
                  </w:r>
                  <w:r>
                    <w:rPr>
                      <w:rFonts w:hint="eastAsia"/>
                      <w:color w:val="auto"/>
                      <w:highlight w:val="none"/>
                      <w:lang w:val="en-US" w:eastAsia="zh-CN"/>
                    </w:rPr>
                    <w:t>1</w:t>
                  </w:r>
                  <w:r>
                    <w:rPr>
                      <w:rFonts w:hint="eastAsia"/>
                      <w:color w:val="auto"/>
                      <w:highlight w:val="none"/>
                    </w:rPr>
                    <w:t>m×</w:t>
                  </w:r>
                  <w:r>
                    <w:rPr>
                      <w:rFonts w:hint="eastAsia"/>
                      <w:color w:val="auto"/>
                      <w:highlight w:val="none"/>
                      <w:lang w:val="en-US" w:eastAsia="zh-CN"/>
                    </w:rPr>
                    <w:t>2.5</w:t>
                  </w:r>
                  <w:r>
                    <w:rPr>
                      <w:rFonts w:hint="eastAsia"/>
                      <w:color w:val="auto"/>
                      <w:highlight w:val="none"/>
                    </w:rPr>
                    <w:t>m</w:t>
                  </w:r>
                  <w:r>
                    <w:rPr>
                      <w:color w:val="auto"/>
                      <w:highlight w:val="none"/>
                    </w:rPr>
                    <w:t>），</w:t>
                  </w:r>
                  <w:r>
                    <w:rPr>
                      <w:rFonts w:hint="eastAsia"/>
                      <w:color w:val="auto"/>
                      <w:highlight w:val="none"/>
                      <w:lang w:val="en-US" w:eastAsia="zh-CN"/>
                    </w:rPr>
                    <w:t>将现有厂房地面进行开挖，进行导流渠及集液池的施工，铺设防渗施工，</w:t>
                  </w:r>
                  <w:r>
                    <w:rPr>
                      <w:rFonts w:hint="eastAsia"/>
                      <w:color w:val="auto"/>
                      <w:highlight w:val="none"/>
                    </w:rPr>
                    <w:t>独立并上锁，分区暂存</w:t>
                  </w:r>
                  <w:r>
                    <w:rPr>
                      <w:rFonts w:hint="eastAsia"/>
                      <w:color w:val="auto"/>
                      <w:highlight w:val="none"/>
                      <w:lang w:eastAsia="zh-CN"/>
                    </w:rPr>
                    <w:t>废润滑油、</w:t>
                  </w:r>
                  <w:r>
                    <w:rPr>
                      <w:rFonts w:hint="eastAsia"/>
                      <w:color w:val="auto"/>
                      <w:highlight w:val="none"/>
                      <w:lang w:val="en-US" w:eastAsia="zh-CN"/>
                    </w:rPr>
                    <w:t>废机油、</w:t>
                  </w:r>
                  <w:r>
                    <w:rPr>
                      <w:rFonts w:hint="eastAsia"/>
                      <w:color w:val="auto"/>
                      <w:highlight w:val="none"/>
                    </w:rPr>
                    <w:t>废油桶</w:t>
                  </w:r>
                  <w:r>
                    <w:rPr>
                      <w:rFonts w:hint="eastAsia"/>
                      <w:color w:val="auto"/>
                      <w:highlight w:val="none"/>
                      <w:lang w:val="en-US" w:eastAsia="zh-CN"/>
                    </w:rPr>
                    <w:t>沾染油污的废抹布、废手套</w:t>
                  </w:r>
                  <w:r>
                    <w:rPr>
                      <w:rFonts w:hint="eastAsia"/>
                      <w:color w:val="auto"/>
                      <w:highlight w:val="none"/>
                    </w:rPr>
                    <w:t>，内设</w:t>
                  </w:r>
                  <w:r>
                    <w:rPr>
                      <w:rFonts w:hint="eastAsia"/>
                      <w:color w:val="auto"/>
                      <w:highlight w:val="none"/>
                      <w:lang w:val="en-US" w:eastAsia="zh-CN"/>
                    </w:rPr>
                    <w:t>3</w:t>
                  </w:r>
                  <w:r>
                    <w:rPr>
                      <w:rFonts w:hint="eastAsia"/>
                      <w:color w:val="auto"/>
                      <w:highlight w:val="none"/>
                      <w:lang w:eastAsia="zh-CN"/>
                    </w:rPr>
                    <w:t>个分区</w:t>
                  </w:r>
                  <w:r>
                    <w:rPr>
                      <w:rFonts w:hint="eastAsia"/>
                      <w:color w:val="auto"/>
                      <w:highlight w:val="none"/>
                    </w:rPr>
                    <w:t>，</w:t>
                  </w:r>
                  <w:r>
                    <w:rPr>
                      <w:rFonts w:hint="eastAsia"/>
                      <w:color w:val="auto"/>
                      <w:highlight w:val="none"/>
                      <w:lang w:val="en-US" w:eastAsia="zh-CN"/>
                    </w:rPr>
                    <w:t>分区一用于存放废润滑油、分区二用于存放废机油，分区三用于</w:t>
                  </w:r>
                  <w:r>
                    <w:rPr>
                      <w:rFonts w:hint="eastAsia"/>
                      <w:color w:val="auto"/>
                      <w:lang w:val="en-US" w:eastAsia="zh-CN"/>
                    </w:rPr>
                    <w:t>含油废抹布、废手套，</w:t>
                  </w:r>
                  <w:r>
                    <w:rPr>
                      <w:rFonts w:hint="eastAsia"/>
                      <w:color w:val="auto"/>
                      <w:highlight w:val="none"/>
                    </w:rPr>
                    <w:t>采用隔墙进行隔离</w:t>
                  </w:r>
                  <w:r>
                    <w:rPr>
                      <w:color w:val="auto"/>
                      <w:highlight w:val="none"/>
                    </w:rPr>
                    <w:t>。</w:t>
                  </w:r>
                  <w:r>
                    <w:rPr>
                      <w:rFonts w:hint="eastAsia" w:ascii="Times New Roman" w:hAnsi="Times New Roman" w:cs="Times New Roman"/>
                      <w:color w:val="auto"/>
                      <w:szCs w:val="21"/>
                      <w:highlight w:val="none"/>
                      <w:lang w:val="en-US" w:eastAsia="zh-CN"/>
                    </w:rPr>
                    <w:t>危险废物贮存库</w:t>
                  </w:r>
                  <w:r>
                    <w:rPr>
                      <w:rFonts w:hint="eastAsia" w:ascii="Times New Roman" w:hAnsi="Times New Roman" w:eastAsia="宋体" w:cs="Times New Roman"/>
                      <w:color w:val="auto"/>
                      <w:szCs w:val="21"/>
                      <w:highlight w:val="none"/>
                      <w:lang w:val="en-US" w:eastAsia="zh-CN"/>
                    </w:rPr>
                    <w:t>地面与裙脚要用坚固、防渗的材料建造，设施内要有安全照明设备和观察窗口，建设有耐腐蚀的硬化地面，且表面无裂隙。</w:t>
                  </w:r>
                </w:p>
              </w:tc>
              <w:tc>
                <w:tcPr>
                  <w:tcW w:w="456" w:type="pct"/>
                  <w:vMerge w:val="restart"/>
                  <w:noWrap w:val="0"/>
                  <w:vAlign w:val="center"/>
                </w:tcPr>
                <w:p w14:paraId="0E7F8953">
                  <w:pPr>
                    <w:spacing w:line="240" w:lineRule="auto"/>
                    <w:ind w:firstLine="0" w:firstLineChars="0"/>
                    <w:rPr>
                      <w:rFonts w:hint="default"/>
                      <w:color w:val="auto"/>
                      <w:highlight w:val="none"/>
                      <w:lang w:val="en-US"/>
                    </w:rPr>
                  </w:pPr>
                  <w:r>
                    <w:rPr>
                      <w:rFonts w:hint="eastAsia"/>
                      <w:color w:val="auto"/>
                      <w:highlight w:val="none"/>
                      <w:lang w:val="en-US" w:eastAsia="zh-CN"/>
                    </w:rPr>
                    <w:t>依托+改造</w:t>
                  </w:r>
                </w:p>
              </w:tc>
            </w:tr>
            <w:tr w14:paraId="18AA5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2" w:hRule="atLeast"/>
                <w:jc w:val="center"/>
              </w:trPr>
              <w:tc>
                <w:tcPr>
                  <w:tcW w:w="454" w:type="pct"/>
                  <w:vMerge w:val="continue"/>
                  <w:noWrap w:val="0"/>
                  <w:vAlign w:val="center"/>
                </w:tcPr>
                <w:p w14:paraId="22531169">
                  <w:pPr>
                    <w:spacing w:line="240" w:lineRule="auto"/>
                    <w:ind w:firstLine="0" w:firstLineChars="0"/>
                    <w:rPr>
                      <w:color w:val="auto"/>
                    </w:rPr>
                  </w:pPr>
                </w:p>
              </w:tc>
              <w:tc>
                <w:tcPr>
                  <w:tcW w:w="467" w:type="pct"/>
                  <w:vMerge w:val="continue"/>
                  <w:noWrap w:val="0"/>
                  <w:vAlign w:val="center"/>
                </w:tcPr>
                <w:p w14:paraId="0FC3E0CF">
                  <w:pPr>
                    <w:spacing w:line="240" w:lineRule="auto"/>
                    <w:ind w:firstLine="0" w:firstLineChars="0"/>
                    <w:rPr>
                      <w:color w:val="auto"/>
                    </w:rPr>
                  </w:pPr>
                </w:p>
              </w:tc>
              <w:tc>
                <w:tcPr>
                  <w:tcW w:w="3621" w:type="pct"/>
                  <w:noWrap w:val="0"/>
                  <w:vAlign w:val="center"/>
                </w:tcPr>
                <w:p w14:paraId="42B4B34D">
                  <w:pPr>
                    <w:spacing w:line="240" w:lineRule="auto"/>
                    <w:ind w:firstLine="0" w:firstLineChars="0"/>
                    <w:rPr>
                      <w:rFonts w:hint="eastAsia"/>
                      <w:color w:val="auto"/>
                      <w:highlight w:val="none"/>
                    </w:rPr>
                  </w:pPr>
                  <w:r>
                    <w:rPr>
                      <w:rFonts w:hint="eastAsia"/>
                      <w:color w:val="auto"/>
                      <w:highlight w:val="none"/>
                      <w:lang w:val="en-US" w:eastAsia="zh-CN"/>
                    </w:rPr>
                    <w:t>危险废物贮存库内</w:t>
                  </w:r>
                  <w:r>
                    <w:rPr>
                      <w:rFonts w:hint="eastAsia"/>
                      <w:color w:val="auto"/>
                      <w:highlight w:val="none"/>
                    </w:rPr>
                    <w:t>四周设置导流渠，导流渠宽200mm，深200mm；内设1m³的集液池；四周设置300mm高的裙脚；本项目</w:t>
                  </w:r>
                  <w:r>
                    <w:rPr>
                      <w:color w:val="auto"/>
                      <w:highlight w:val="none"/>
                    </w:rPr>
                    <w:t>地面、</w:t>
                  </w:r>
                  <w:r>
                    <w:rPr>
                      <w:rFonts w:hint="eastAsia"/>
                      <w:color w:val="auto"/>
                      <w:highlight w:val="none"/>
                    </w:rPr>
                    <w:t>导流渠</w:t>
                  </w:r>
                  <w:r>
                    <w:rPr>
                      <w:color w:val="auto"/>
                      <w:highlight w:val="none"/>
                    </w:rPr>
                    <w:t>、</w:t>
                  </w:r>
                  <w:r>
                    <w:rPr>
                      <w:rFonts w:hint="eastAsia"/>
                      <w:color w:val="auto"/>
                      <w:highlight w:val="none"/>
                    </w:rPr>
                    <w:t>集液池</w:t>
                  </w:r>
                  <w:r>
                    <w:rPr>
                      <w:color w:val="auto"/>
                      <w:highlight w:val="none"/>
                    </w:rPr>
                    <w:t>及裙</w:t>
                  </w:r>
                  <w:r>
                    <w:rPr>
                      <w:rFonts w:hint="eastAsia"/>
                      <w:color w:val="auto"/>
                      <w:highlight w:val="none"/>
                    </w:rPr>
                    <w:t>脚</w:t>
                  </w:r>
                  <w:r>
                    <w:rPr>
                      <w:color w:val="auto"/>
                      <w:highlight w:val="none"/>
                    </w:rPr>
                    <w:t>采取</w:t>
                  </w:r>
                  <w:r>
                    <w:rPr>
                      <w:rFonts w:hint="eastAsia"/>
                      <w:color w:val="auto"/>
                      <w:highlight w:val="none"/>
                    </w:rPr>
                    <w:t>相同</w:t>
                  </w:r>
                  <w:r>
                    <w:rPr>
                      <w:color w:val="auto"/>
                      <w:highlight w:val="none"/>
                    </w:rPr>
                    <w:t>防渗措施，具体防渗措施为：</w:t>
                  </w:r>
                  <w:r>
                    <w:rPr>
                      <w:rFonts w:hint="eastAsia"/>
                      <w:color w:val="auto"/>
                      <w:highlight w:val="none"/>
                      <w:lang w:val="en-US" w:eastAsia="zh-CN"/>
                    </w:rPr>
                    <w:t>防渗层为至少1m厚黏土层（渗透系数≤10</w:t>
                  </w:r>
                  <w:r>
                    <w:rPr>
                      <w:rFonts w:hint="eastAsia"/>
                      <w:color w:val="auto"/>
                      <w:highlight w:val="none"/>
                      <w:vertAlign w:val="superscript"/>
                      <w:lang w:val="en-US" w:eastAsia="zh-CN"/>
                    </w:rPr>
                    <w:t>-7</w:t>
                  </w:r>
                  <w:r>
                    <w:rPr>
                      <w:rFonts w:hint="eastAsia"/>
                      <w:color w:val="auto"/>
                      <w:highlight w:val="none"/>
                      <w:lang w:val="en-US" w:eastAsia="zh-CN"/>
                    </w:rPr>
                    <w:t>cm/s），或至少2mm厚高密度聚乙烯膜等人工防渗材料（渗透系数≤10</w:t>
                  </w:r>
                  <w:r>
                    <w:rPr>
                      <w:rFonts w:hint="eastAsia"/>
                      <w:color w:val="auto"/>
                      <w:highlight w:val="none"/>
                      <w:vertAlign w:val="superscript"/>
                      <w:lang w:val="en-US" w:eastAsia="zh-CN"/>
                    </w:rPr>
                    <w:t>-10</w:t>
                  </w:r>
                  <w:r>
                    <w:rPr>
                      <w:rFonts w:hint="eastAsia"/>
                      <w:color w:val="auto"/>
                      <w:highlight w:val="none"/>
                      <w:lang w:val="en-US" w:eastAsia="zh-CN"/>
                    </w:rPr>
                    <w:t>cm/s），或其他防渗性能等效的材料</w:t>
                  </w:r>
                  <w:r>
                    <w:rPr>
                      <w:rFonts w:hint="default"/>
                      <w:color w:val="auto"/>
                      <w:highlight w:val="none"/>
                      <w:lang w:val="en-US" w:eastAsia="zh-CN"/>
                    </w:rPr>
                    <w:t>，</w:t>
                  </w:r>
                  <w:r>
                    <w:rPr>
                      <w:rFonts w:hint="eastAsia"/>
                      <w:color w:val="auto"/>
                      <w:highlight w:val="none"/>
                      <w:lang w:val="en-US" w:eastAsia="zh-CN"/>
                    </w:rPr>
                    <w:t>并</w:t>
                  </w:r>
                  <w:r>
                    <w:rPr>
                      <w:rFonts w:hint="default"/>
                      <w:color w:val="auto"/>
                      <w:highlight w:val="none"/>
                    </w:rPr>
                    <w:t>涂刷环氧树脂地坪漆</w:t>
                  </w:r>
                  <w:r>
                    <w:rPr>
                      <w:rFonts w:hint="eastAsia"/>
                      <w:color w:val="auto"/>
                      <w:highlight w:val="none"/>
                      <w:lang w:eastAsia="zh-CN"/>
                    </w:rPr>
                    <w:t>。</w:t>
                  </w:r>
                </w:p>
              </w:tc>
              <w:tc>
                <w:tcPr>
                  <w:tcW w:w="456" w:type="pct"/>
                  <w:vMerge w:val="continue"/>
                  <w:noWrap w:val="0"/>
                  <w:vAlign w:val="center"/>
                </w:tcPr>
                <w:p w14:paraId="0CBFF677">
                  <w:pPr>
                    <w:spacing w:line="240" w:lineRule="auto"/>
                    <w:ind w:firstLine="0" w:firstLineChars="0"/>
                    <w:rPr>
                      <w:rFonts w:hint="eastAsia"/>
                      <w:color w:val="auto"/>
                      <w:highlight w:val="none"/>
                    </w:rPr>
                  </w:pPr>
                </w:p>
              </w:tc>
            </w:tr>
            <w:tr w14:paraId="1841F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454" w:type="pct"/>
                  <w:vMerge w:val="restart"/>
                  <w:noWrap w:val="0"/>
                  <w:vAlign w:val="center"/>
                </w:tcPr>
                <w:p w14:paraId="2F57FD6A">
                  <w:pPr>
                    <w:spacing w:line="240" w:lineRule="auto"/>
                    <w:ind w:firstLine="0" w:firstLineChars="0"/>
                    <w:rPr>
                      <w:color w:val="auto"/>
                      <w:highlight w:val="none"/>
                    </w:rPr>
                  </w:pPr>
                  <w:r>
                    <w:rPr>
                      <w:color w:val="auto"/>
                      <w:highlight w:val="none"/>
                    </w:rPr>
                    <w:t>公用工程</w:t>
                  </w:r>
                </w:p>
              </w:tc>
              <w:tc>
                <w:tcPr>
                  <w:tcW w:w="467" w:type="pct"/>
                  <w:noWrap w:val="0"/>
                  <w:vAlign w:val="center"/>
                </w:tcPr>
                <w:p w14:paraId="5F13E4DB">
                  <w:pPr>
                    <w:spacing w:line="240" w:lineRule="auto"/>
                    <w:ind w:firstLine="0" w:firstLineChars="0"/>
                    <w:rPr>
                      <w:color w:val="auto"/>
                      <w:highlight w:val="none"/>
                    </w:rPr>
                  </w:pPr>
                  <w:r>
                    <w:rPr>
                      <w:color w:val="auto"/>
                      <w:highlight w:val="none"/>
                    </w:rPr>
                    <w:t>供水</w:t>
                  </w:r>
                </w:p>
              </w:tc>
              <w:tc>
                <w:tcPr>
                  <w:tcW w:w="3621" w:type="pct"/>
                  <w:noWrap w:val="0"/>
                  <w:vAlign w:val="center"/>
                </w:tcPr>
                <w:p w14:paraId="64C19F1D">
                  <w:pPr>
                    <w:spacing w:line="240" w:lineRule="auto"/>
                    <w:ind w:firstLine="0" w:firstLineChars="0"/>
                    <w:rPr>
                      <w:color w:val="auto"/>
                      <w:highlight w:val="none"/>
                    </w:rPr>
                  </w:pPr>
                  <w:r>
                    <w:rPr>
                      <w:color w:val="auto"/>
                      <w:highlight w:val="none"/>
                    </w:rPr>
                    <w:t>项目无新增劳动定员，同时暂存期间无需用水。</w:t>
                  </w:r>
                </w:p>
              </w:tc>
              <w:tc>
                <w:tcPr>
                  <w:tcW w:w="456" w:type="pct"/>
                  <w:noWrap w:val="0"/>
                  <w:vAlign w:val="center"/>
                </w:tcPr>
                <w:p w14:paraId="6F4E2471">
                  <w:pPr>
                    <w:spacing w:line="240" w:lineRule="auto"/>
                    <w:ind w:firstLine="0" w:firstLineChars="0"/>
                    <w:rPr>
                      <w:color w:val="auto"/>
                      <w:highlight w:val="none"/>
                    </w:rPr>
                  </w:pPr>
                  <w:r>
                    <w:rPr>
                      <w:color w:val="auto"/>
                      <w:highlight w:val="none"/>
                    </w:rPr>
                    <w:t>依托</w:t>
                  </w:r>
                </w:p>
              </w:tc>
            </w:tr>
            <w:tr w14:paraId="68655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454" w:type="pct"/>
                  <w:vMerge w:val="continue"/>
                  <w:noWrap w:val="0"/>
                  <w:vAlign w:val="center"/>
                </w:tcPr>
                <w:p w14:paraId="68033EA6">
                  <w:pPr>
                    <w:spacing w:line="240" w:lineRule="auto"/>
                    <w:ind w:firstLine="0" w:firstLineChars="0"/>
                    <w:rPr>
                      <w:color w:val="auto"/>
                      <w:highlight w:val="none"/>
                    </w:rPr>
                  </w:pPr>
                </w:p>
              </w:tc>
              <w:tc>
                <w:tcPr>
                  <w:tcW w:w="467" w:type="pct"/>
                  <w:noWrap w:val="0"/>
                  <w:vAlign w:val="center"/>
                </w:tcPr>
                <w:p w14:paraId="371D5D13">
                  <w:pPr>
                    <w:spacing w:line="240" w:lineRule="auto"/>
                    <w:ind w:firstLine="0" w:firstLineChars="0"/>
                    <w:rPr>
                      <w:color w:val="auto"/>
                      <w:highlight w:val="none"/>
                    </w:rPr>
                  </w:pPr>
                  <w:r>
                    <w:rPr>
                      <w:color w:val="auto"/>
                      <w:highlight w:val="none"/>
                    </w:rPr>
                    <w:t>供电</w:t>
                  </w:r>
                </w:p>
              </w:tc>
              <w:tc>
                <w:tcPr>
                  <w:tcW w:w="3621" w:type="pct"/>
                  <w:noWrap w:val="0"/>
                  <w:vAlign w:val="center"/>
                </w:tcPr>
                <w:p w14:paraId="080B5B05">
                  <w:pPr>
                    <w:spacing w:line="240" w:lineRule="auto"/>
                    <w:ind w:firstLine="0" w:firstLineChars="0"/>
                    <w:rPr>
                      <w:color w:val="auto"/>
                      <w:highlight w:val="none"/>
                    </w:rPr>
                  </w:pPr>
                  <w:r>
                    <w:rPr>
                      <w:color w:val="auto"/>
                      <w:highlight w:val="none"/>
                    </w:rPr>
                    <w:t>依托</w:t>
                  </w:r>
                  <w:r>
                    <w:rPr>
                      <w:rFonts w:hint="eastAsia"/>
                      <w:color w:val="auto"/>
                      <w:highlight w:val="none"/>
                    </w:rPr>
                    <w:t>现有</w:t>
                  </w:r>
                  <w:r>
                    <w:rPr>
                      <w:color w:val="auto"/>
                      <w:highlight w:val="none"/>
                    </w:rPr>
                    <w:t>供电系统，能够满足项目用电需求。</w:t>
                  </w:r>
                </w:p>
              </w:tc>
              <w:tc>
                <w:tcPr>
                  <w:tcW w:w="456" w:type="pct"/>
                  <w:noWrap w:val="0"/>
                  <w:vAlign w:val="center"/>
                </w:tcPr>
                <w:p w14:paraId="1E2FF8C8">
                  <w:pPr>
                    <w:spacing w:line="240" w:lineRule="auto"/>
                    <w:ind w:firstLine="0" w:firstLineChars="0"/>
                    <w:rPr>
                      <w:color w:val="auto"/>
                      <w:highlight w:val="none"/>
                    </w:rPr>
                  </w:pPr>
                  <w:r>
                    <w:rPr>
                      <w:color w:val="auto"/>
                      <w:highlight w:val="none"/>
                    </w:rPr>
                    <w:t>依托</w:t>
                  </w:r>
                </w:p>
              </w:tc>
            </w:tr>
            <w:tr w14:paraId="20712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454" w:type="pct"/>
                  <w:vMerge w:val="continue"/>
                  <w:noWrap w:val="0"/>
                  <w:vAlign w:val="center"/>
                </w:tcPr>
                <w:p w14:paraId="15F9FE60">
                  <w:pPr>
                    <w:spacing w:line="240" w:lineRule="auto"/>
                    <w:ind w:firstLine="0" w:firstLineChars="0"/>
                    <w:rPr>
                      <w:color w:val="auto"/>
                      <w:highlight w:val="none"/>
                    </w:rPr>
                  </w:pPr>
                </w:p>
              </w:tc>
              <w:tc>
                <w:tcPr>
                  <w:tcW w:w="467" w:type="pct"/>
                  <w:noWrap w:val="0"/>
                  <w:vAlign w:val="center"/>
                </w:tcPr>
                <w:p w14:paraId="45FC7C8F">
                  <w:pPr>
                    <w:spacing w:line="240" w:lineRule="auto"/>
                    <w:ind w:firstLine="0" w:firstLineChars="0"/>
                    <w:rPr>
                      <w:rFonts w:hint="eastAsia"/>
                      <w:color w:val="auto"/>
                      <w:highlight w:val="none"/>
                    </w:rPr>
                  </w:pPr>
                  <w:r>
                    <w:rPr>
                      <w:rFonts w:hint="eastAsia"/>
                      <w:color w:val="auto"/>
                      <w:highlight w:val="none"/>
                    </w:rPr>
                    <w:t>供热</w:t>
                  </w:r>
                </w:p>
              </w:tc>
              <w:tc>
                <w:tcPr>
                  <w:tcW w:w="3621" w:type="pct"/>
                  <w:noWrap w:val="0"/>
                  <w:vAlign w:val="center"/>
                </w:tcPr>
                <w:p w14:paraId="042E80CA">
                  <w:pPr>
                    <w:spacing w:line="240" w:lineRule="auto"/>
                    <w:ind w:firstLine="0" w:firstLineChars="0"/>
                    <w:rPr>
                      <w:color w:val="auto"/>
                      <w:highlight w:val="none"/>
                    </w:rPr>
                  </w:pPr>
                  <w:r>
                    <w:rPr>
                      <w:rFonts w:hint="eastAsia"/>
                      <w:color w:val="auto"/>
                      <w:highlight w:val="none"/>
                    </w:rPr>
                    <w:t>本项目无需供热。</w:t>
                  </w:r>
                </w:p>
              </w:tc>
              <w:tc>
                <w:tcPr>
                  <w:tcW w:w="456" w:type="pct"/>
                  <w:noWrap w:val="0"/>
                  <w:vAlign w:val="center"/>
                </w:tcPr>
                <w:p w14:paraId="5A943A13">
                  <w:pPr>
                    <w:spacing w:line="240" w:lineRule="auto"/>
                    <w:ind w:firstLine="0" w:firstLineChars="0"/>
                    <w:jc w:val="center"/>
                    <w:rPr>
                      <w:rFonts w:hint="eastAsia"/>
                      <w:color w:val="auto"/>
                      <w:highlight w:val="none"/>
                    </w:rPr>
                  </w:pPr>
                  <w:r>
                    <w:rPr>
                      <w:rFonts w:hint="eastAsia"/>
                      <w:color w:val="auto"/>
                      <w:highlight w:val="none"/>
                    </w:rPr>
                    <w:t>/</w:t>
                  </w:r>
                </w:p>
              </w:tc>
            </w:tr>
            <w:tr w14:paraId="1B059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3" w:hRule="atLeast"/>
                <w:jc w:val="center"/>
              </w:trPr>
              <w:tc>
                <w:tcPr>
                  <w:tcW w:w="454" w:type="pct"/>
                  <w:vMerge w:val="continue"/>
                  <w:noWrap w:val="0"/>
                  <w:vAlign w:val="center"/>
                </w:tcPr>
                <w:p w14:paraId="16475BEC">
                  <w:pPr>
                    <w:spacing w:line="240" w:lineRule="auto"/>
                    <w:ind w:firstLine="0" w:firstLineChars="0"/>
                    <w:rPr>
                      <w:color w:val="auto"/>
                      <w:highlight w:val="none"/>
                    </w:rPr>
                  </w:pPr>
                </w:p>
              </w:tc>
              <w:tc>
                <w:tcPr>
                  <w:tcW w:w="467" w:type="pct"/>
                  <w:noWrap w:val="0"/>
                  <w:vAlign w:val="center"/>
                </w:tcPr>
                <w:p w14:paraId="072E4661">
                  <w:pPr>
                    <w:spacing w:line="240" w:lineRule="auto"/>
                    <w:ind w:firstLine="0" w:firstLineChars="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消防</w:t>
                  </w:r>
                </w:p>
              </w:tc>
              <w:tc>
                <w:tcPr>
                  <w:tcW w:w="3621" w:type="pct"/>
                  <w:noWrap w:val="0"/>
                  <w:vAlign w:val="center"/>
                </w:tcPr>
                <w:p w14:paraId="1C38AF29">
                  <w:pPr>
                    <w:spacing w:line="240" w:lineRule="auto"/>
                    <w:ind w:firstLine="0" w:firstLineChars="0"/>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rPr>
                    <w:t>危险废物贮存库门口处配置消防沙箱及其相关配套设施一套，灭火器两套，铁锹2把，并按照要求合理放置于库房</w:t>
                  </w:r>
                  <w:r>
                    <w:rPr>
                      <w:rFonts w:hint="eastAsia" w:ascii="Times New Roman" w:hAnsi="Times New Roman" w:eastAsia="宋体" w:cs="Times New Roman"/>
                      <w:color w:val="auto"/>
                      <w:highlight w:val="none"/>
                      <w:lang w:eastAsia="zh-CN"/>
                    </w:rPr>
                    <w:t>。</w:t>
                  </w:r>
                </w:p>
              </w:tc>
              <w:tc>
                <w:tcPr>
                  <w:tcW w:w="456" w:type="pct"/>
                  <w:noWrap w:val="0"/>
                  <w:vAlign w:val="center"/>
                </w:tcPr>
                <w:p w14:paraId="708483DE">
                  <w:pPr>
                    <w:spacing w:line="240" w:lineRule="auto"/>
                    <w:ind w:firstLine="0" w:firstLineChars="0"/>
                    <w:jc w:val="center"/>
                    <w:rPr>
                      <w:rFonts w:hint="eastAsia" w:eastAsia="宋体"/>
                      <w:color w:val="auto"/>
                      <w:highlight w:val="none"/>
                      <w:lang w:eastAsia="zh-CN"/>
                    </w:rPr>
                  </w:pPr>
                  <w:r>
                    <w:rPr>
                      <w:rFonts w:hint="eastAsia"/>
                      <w:color w:val="auto"/>
                      <w:highlight w:val="none"/>
                      <w:lang w:val="en-US" w:eastAsia="zh-CN"/>
                    </w:rPr>
                    <w:t>新建</w:t>
                  </w:r>
                </w:p>
              </w:tc>
            </w:tr>
            <w:tr w14:paraId="364F3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454" w:type="pct"/>
                  <w:vMerge w:val="restart"/>
                  <w:noWrap w:val="0"/>
                  <w:vAlign w:val="center"/>
                </w:tcPr>
                <w:p w14:paraId="08CD4E52">
                  <w:pPr>
                    <w:spacing w:line="240" w:lineRule="auto"/>
                    <w:ind w:firstLine="0" w:firstLineChars="0"/>
                    <w:rPr>
                      <w:color w:val="auto"/>
                      <w:highlight w:val="none"/>
                    </w:rPr>
                  </w:pPr>
                  <w:r>
                    <w:rPr>
                      <w:color w:val="auto"/>
                      <w:highlight w:val="none"/>
                    </w:rPr>
                    <w:t>环保工程</w:t>
                  </w:r>
                </w:p>
              </w:tc>
              <w:tc>
                <w:tcPr>
                  <w:tcW w:w="467" w:type="pct"/>
                  <w:noWrap w:val="0"/>
                  <w:vAlign w:val="center"/>
                </w:tcPr>
                <w:p w14:paraId="20D960EA">
                  <w:pPr>
                    <w:spacing w:line="240" w:lineRule="auto"/>
                    <w:ind w:firstLine="0" w:firstLineChars="0"/>
                    <w:rPr>
                      <w:color w:val="auto"/>
                      <w:highlight w:val="none"/>
                    </w:rPr>
                  </w:pPr>
                  <w:r>
                    <w:rPr>
                      <w:color w:val="auto"/>
                      <w:highlight w:val="none"/>
                    </w:rPr>
                    <w:t>废气</w:t>
                  </w:r>
                </w:p>
              </w:tc>
              <w:tc>
                <w:tcPr>
                  <w:tcW w:w="3621" w:type="pct"/>
                  <w:noWrap w:val="0"/>
                  <w:vAlign w:val="center"/>
                </w:tcPr>
                <w:p w14:paraId="73CB122C">
                  <w:pPr>
                    <w:spacing w:line="240" w:lineRule="auto"/>
                    <w:ind w:firstLine="0" w:firstLineChars="0"/>
                    <w:rPr>
                      <w:color w:val="auto"/>
                      <w:highlight w:val="none"/>
                    </w:rPr>
                  </w:pPr>
                  <w:r>
                    <w:rPr>
                      <w:rFonts w:hint="eastAsia"/>
                      <w:color w:val="auto"/>
                      <w:highlight w:val="none"/>
                    </w:rPr>
                    <w:t>项目废气主要为</w:t>
                  </w:r>
                  <w:r>
                    <w:rPr>
                      <w:rFonts w:hint="eastAsia"/>
                      <w:color w:val="auto"/>
                      <w:highlight w:val="none"/>
                      <w:lang w:val="en-US" w:eastAsia="zh-CN"/>
                    </w:rPr>
                    <w:t>废润滑油</w:t>
                  </w:r>
                  <w:r>
                    <w:rPr>
                      <w:rFonts w:hint="eastAsia"/>
                      <w:color w:val="auto"/>
                      <w:highlight w:val="none"/>
                    </w:rPr>
                    <w:t>暂存过程中产生的少量非甲烷总烃，在采取</w:t>
                  </w:r>
                  <w:r>
                    <w:rPr>
                      <w:rFonts w:hint="eastAsia"/>
                      <w:color w:val="auto"/>
                      <w:highlight w:val="none"/>
                      <w:lang w:eastAsia="zh-CN"/>
                    </w:rPr>
                    <w:t>危险废物贮存库</w:t>
                  </w:r>
                  <w:r>
                    <w:rPr>
                      <w:rFonts w:hint="eastAsia"/>
                      <w:color w:val="auto"/>
                      <w:highlight w:val="none"/>
                    </w:rPr>
                    <w:t>内设置排风扇、油桶加盖密闭、加快周转频次、减少暂存周期的措施下</w:t>
                  </w:r>
                  <w:r>
                    <w:rPr>
                      <w:rFonts w:hint="eastAsia"/>
                      <w:color w:val="auto"/>
                      <w:highlight w:val="none"/>
                      <w:lang w:val="en-US" w:eastAsia="zh-CN"/>
                    </w:rPr>
                    <w:t>对周围环境影响较小</w:t>
                  </w:r>
                  <w:r>
                    <w:rPr>
                      <w:rFonts w:hint="eastAsia"/>
                      <w:color w:val="auto"/>
                      <w:highlight w:val="none"/>
                    </w:rPr>
                    <w:t>。</w:t>
                  </w:r>
                </w:p>
              </w:tc>
              <w:tc>
                <w:tcPr>
                  <w:tcW w:w="456" w:type="pct"/>
                  <w:noWrap w:val="0"/>
                  <w:vAlign w:val="center"/>
                </w:tcPr>
                <w:p w14:paraId="1695BB6A">
                  <w:pPr>
                    <w:spacing w:line="240" w:lineRule="auto"/>
                    <w:ind w:firstLine="0" w:firstLineChars="0"/>
                    <w:jc w:val="center"/>
                    <w:rPr>
                      <w:rFonts w:hint="eastAsia" w:eastAsia="宋体"/>
                      <w:color w:val="auto"/>
                      <w:highlight w:val="none"/>
                      <w:lang w:eastAsia="zh-CN"/>
                    </w:rPr>
                  </w:pPr>
                  <w:r>
                    <w:rPr>
                      <w:rFonts w:hint="eastAsia"/>
                      <w:color w:val="auto"/>
                      <w:highlight w:val="none"/>
                      <w:lang w:val="en-US" w:eastAsia="zh-CN"/>
                    </w:rPr>
                    <w:t>新建</w:t>
                  </w:r>
                </w:p>
              </w:tc>
            </w:tr>
            <w:tr w14:paraId="3C7E0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454" w:type="pct"/>
                  <w:vMerge w:val="continue"/>
                  <w:noWrap w:val="0"/>
                  <w:vAlign w:val="center"/>
                </w:tcPr>
                <w:p w14:paraId="0A24372C">
                  <w:pPr>
                    <w:spacing w:line="240" w:lineRule="auto"/>
                    <w:ind w:firstLine="0" w:firstLineChars="0"/>
                    <w:rPr>
                      <w:color w:val="auto"/>
                      <w:highlight w:val="none"/>
                    </w:rPr>
                  </w:pPr>
                </w:p>
              </w:tc>
              <w:tc>
                <w:tcPr>
                  <w:tcW w:w="467" w:type="pct"/>
                  <w:noWrap w:val="0"/>
                  <w:vAlign w:val="center"/>
                </w:tcPr>
                <w:p w14:paraId="47646F9D">
                  <w:pPr>
                    <w:spacing w:line="240" w:lineRule="auto"/>
                    <w:ind w:firstLine="0" w:firstLineChars="0"/>
                    <w:rPr>
                      <w:color w:val="auto"/>
                      <w:highlight w:val="none"/>
                    </w:rPr>
                  </w:pPr>
                  <w:r>
                    <w:rPr>
                      <w:color w:val="auto"/>
                      <w:highlight w:val="none"/>
                    </w:rPr>
                    <w:t>废水</w:t>
                  </w:r>
                </w:p>
              </w:tc>
              <w:tc>
                <w:tcPr>
                  <w:tcW w:w="3621" w:type="pct"/>
                  <w:noWrap w:val="0"/>
                  <w:vAlign w:val="center"/>
                </w:tcPr>
                <w:p w14:paraId="10029FC3">
                  <w:pPr>
                    <w:spacing w:line="240" w:lineRule="auto"/>
                    <w:ind w:firstLine="0" w:firstLineChars="0"/>
                    <w:rPr>
                      <w:color w:val="auto"/>
                      <w:highlight w:val="none"/>
                    </w:rPr>
                  </w:pPr>
                  <w:r>
                    <w:rPr>
                      <w:color w:val="auto"/>
                      <w:highlight w:val="none"/>
                    </w:rPr>
                    <w:t>本项目无生产废水</w:t>
                  </w:r>
                  <w:r>
                    <w:rPr>
                      <w:rFonts w:hint="eastAsia"/>
                      <w:color w:val="auto"/>
                      <w:highlight w:val="none"/>
                      <w:lang w:val="en-US" w:eastAsia="zh-CN"/>
                    </w:rPr>
                    <w:t>产生</w:t>
                  </w:r>
                  <w:r>
                    <w:rPr>
                      <w:rFonts w:hint="eastAsia"/>
                      <w:color w:val="auto"/>
                      <w:highlight w:val="none"/>
                      <w:lang w:eastAsia="zh-CN"/>
                    </w:rPr>
                    <w:t>，</w:t>
                  </w:r>
                  <w:r>
                    <w:rPr>
                      <w:rFonts w:hint="eastAsia"/>
                      <w:color w:val="auto"/>
                      <w:highlight w:val="none"/>
                      <w:lang w:val="en-US" w:eastAsia="zh-CN"/>
                    </w:rPr>
                    <w:t>无新增</w:t>
                  </w:r>
                  <w:r>
                    <w:rPr>
                      <w:color w:val="auto"/>
                      <w:highlight w:val="none"/>
                    </w:rPr>
                    <w:t>生活污水。</w:t>
                  </w:r>
                </w:p>
              </w:tc>
              <w:tc>
                <w:tcPr>
                  <w:tcW w:w="456" w:type="pct"/>
                  <w:noWrap w:val="0"/>
                  <w:vAlign w:val="center"/>
                </w:tcPr>
                <w:p w14:paraId="6CA49118">
                  <w:pPr>
                    <w:spacing w:line="240" w:lineRule="auto"/>
                    <w:ind w:firstLine="0" w:firstLineChars="0"/>
                    <w:jc w:val="center"/>
                    <w:rPr>
                      <w:color w:val="auto"/>
                      <w:highlight w:val="none"/>
                    </w:rPr>
                  </w:pPr>
                  <w:r>
                    <w:rPr>
                      <w:color w:val="auto"/>
                      <w:highlight w:val="none"/>
                    </w:rPr>
                    <w:t>/</w:t>
                  </w:r>
                </w:p>
              </w:tc>
            </w:tr>
            <w:tr w14:paraId="0E050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4" w:type="pct"/>
                  <w:vMerge w:val="continue"/>
                  <w:noWrap w:val="0"/>
                  <w:vAlign w:val="center"/>
                </w:tcPr>
                <w:p w14:paraId="11CD2B62">
                  <w:pPr>
                    <w:spacing w:line="240" w:lineRule="auto"/>
                    <w:ind w:firstLine="0" w:firstLineChars="0"/>
                    <w:rPr>
                      <w:color w:val="auto"/>
                      <w:highlight w:val="none"/>
                    </w:rPr>
                  </w:pPr>
                </w:p>
              </w:tc>
              <w:tc>
                <w:tcPr>
                  <w:tcW w:w="467" w:type="pct"/>
                  <w:noWrap w:val="0"/>
                  <w:vAlign w:val="center"/>
                </w:tcPr>
                <w:p w14:paraId="7C076A1D">
                  <w:pPr>
                    <w:spacing w:line="240" w:lineRule="auto"/>
                    <w:ind w:firstLine="0" w:firstLineChars="0"/>
                    <w:rPr>
                      <w:color w:val="auto"/>
                      <w:highlight w:val="none"/>
                    </w:rPr>
                  </w:pPr>
                  <w:r>
                    <w:rPr>
                      <w:color w:val="auto"/>
                      <w:highlight w:val="none"/>
                    </w:rPr>
                    <w:t>噪声</w:t>
                  </w:r>
                </w:p>
              </w:tc>
              <w:tc>
                <w:tcPr>
                  <w:tcW w:w="3621" w:type="pct"/>
                  <w:noWrap w:val="0"/>
                  <w:vAlign w:val="center"/>
                </w:tcPr>
                <w:p w14:paraId="5DAC5919">
                  <w:pPr>
                    <w:spacing w:line="240" w:lineRule="auto"/>
                    <w:ind w:firstLine="0" w:firstLineChars="0"/>
                    <w:rPr>
                      <w:color w:val="auto"/>
                      <w:highlight w:val="none"/>
                    </w:rPr>
                  </w:pPr>
                  <w:r>
                    <w:rPr>
                      <w:rFonts w:hint="eastAsia"/>
                      <w:color w:val="auto"/>
                      <w:highlight w:val="none"/>
                    </w:rPr>
                    <w:t>选用低噪声设备、运输车辆减速慢行、禁止鸣笛。</w:t>
                  </w:r>
                </w:p>
              </w:tc>
              <w:tc>
                <w:tcPr>
                  <w:tcW w:w="456" w:type="pct"/>
                  <w:noWrap w:val="0"/>
                  <w:vAlign w:val="center"/>
                </w:tcPr>
                <w:p w14:paraId="7062BDB9">
                  <w:pPr>
                    <w:spacing w:line="240" w:lineRule="auto"/>
                    <w:ind w:firstLine="0" w:firstLineChars="0"/>
                    <w:jc w:val="center"/>
                    <w:rPr>
                      <w:rFonts w:hint="eastAsia" w:eastAsia="宋体"/>
                      <w:color w:val="auto"/>
                      <w:highlight w:val="none"/>
                      <w:lang w:eastAsia="zh-CN"/>
                    </w:rPr>
                  </w:pPr>
                  <w:r>
                    <w:rPr>
                      <w:rFonts w:hint="eastAsia"/>
                      <w:color w:val="auto"/>
                      <w:highlight w:val="none"/>
                      <w:lang w:val="en-US" w:eastAsia="zh-CN"/>
                    </w:rPr>
                    <w:t>新建</w:t>
                  </w:r>
                </w:p>
              </w:tc>
            </w:tr>
            <w:tr w14:paraId="65E53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454" w:type="pct"/>
                  <w:vMerge w:val="continue"/>
                  <w:noWrap w:val="0"/>
                  <w:vAlign w:val="center"/>
                </w:tcPr>
                <w:p w14:paraId="7B2BC9C9">
                  <w:pPr>
                    <w:spacing w:line="240" w:lineRule="auto"/>
                    <w:ind w:firstLine="0" w:firstLineChars="0"/>
                    <w:rPr>
                      <w:color w:val="auto"/>
                      <w:highlight w:val="none"/>
                    </w:rPr>
                  </w:pPr>
                </w:p>
              </w:tc>
              <w:tc>
                <w:tcPr>
                  <w:tcW w:w="467" w:type="pct"/>
                  <w:noWrap w:val="0"/>
                  <w:vAlign w:val="center"/>
                </w:tcPr>
                <w:p w14:paraId="7C3998E8">
                  <w:pPr>
                    <w:spacing w:line="240" w:lineRule="auto"/>
                    <w:ind w:firstLine="0" w:firstLineChars="0"/>
                    <w:rPr>
                      <w:color w:val="auto"/>
                      <w:highlight w:val="none"/>
                    </w:rPr>
                  </w:pPr>
                  <w:r>
                    <w:rPr>
                      <w:color w:val="auto"/>
                      <w:highlight w:val="none"/>
                    </w:rPr>
                    <w:t>固废</w:t>
                  </w:r>
                </w:p>
              </w:tc>
              <w:tc>
                <w:tcPr>
                  <w:tcW w:w="3621" w:type="pct"/>
                  <w:noWrap w:val="0"/>
                  <w:vAlign w:val="center"/>
                </w:tcPr>
                <w:p w14:paraId="705619A7">
                  <w:pPr>
                    <w:spacing w:line="240" w:lineRule="auto"/>
                    <w:ind w:firstLine="0" w:firstLineChars="0"/>
                    <w:rPr>
                      <w:color w:val="auto"/>
                      <w:highlight w:val="none"/>
                    </w:rPr>
                  </w:pPr>
                  <w:r>
                    <w:rPr>
                      <w:color w:val="auto"/>
                      <w:highlight w:val="none"/>
                    </w:rPr>
                    <w:t>项目无新增劳动定员，不新增生活垃圾</w:t>
                  </w:r>
                  <w:r>
                    <w:rPr>
                      <w:rFonts w:hint="eastAsia"/>
                      <w:color w:val="auto"/>
                      <w:highlight w:val="none"/>
                      <w:lang w:eastAsia="zh-CN"/>
                    </w:rPr>
                    <w:t>，</w:t>
                  </w:r>
                  <w:r>
                    <w:rPr>
                      <w:rFonts w:hint="eastAsia"/>
                      <w:color w:val="auto"/>
                      <w:highlight w:val="none"/>
                      <w:lang w:val="en-US" w:eastAsia="zh-CN"/>
                    </w:rPr>
                    <w:t>本项目运营过程中会产生少量含油废抹布、废手套，采取桶装密封的方式贮存在危废暂存间西南角，</w:t>
                  </w:r>
                  <w:r>
                    <w:rPr>
                      <w:color w:val="auto"/>
                      <w:highlight w:val="none"/>
                    </w:rPr>
                    <w:t>定期交由有资质单位</w:t>
                  </w:r>
                  <w:r>
                    <w:rPr>
                      <w:rFonts w:hint="eastAsia"/>
                      <w:color w:val="auto"/>
                      <w:highlight w:val="none"/>
                      <w:lang w:val="en-US" w:eastAsia="zh-CN"/>
                    </w:rPr>
                    <w:t>进行处置</w:t>
                  </w:r>
                  <w:r>
                    <w:rPr>
                      <w:rFonts w:hint="eastAsia"/>
                      <w:color w:val="auto"/>
                      <w:highlight w:val="none"/>
                      <w:lang w:eastAsia="zh-CN"/>
                    </w:rPr>
                    <w:t>。</w:t>
                  </w:r>
                </w:p>
              </w:tc>
              <w:tc>
                <w:tcPr>
                  <w:tcW w:w="456" w:type="pct"/>
                  <w:noWrap w:val="0"/>
                  <w:vAlign w:val="center"/>
                </w:tcPr>
                <w:p w14:paraId="4ED41C62">
                  <w:pPr>
                    <w:spacing w:line="240" w:lineRule="auto"/>
                    <w:ind w:firstLine="0" w:firstLineChars="0"/>
                    <w:jc w:val="center"/>
                    <w:rPr>
                      <w:rFonts w:hint="eastAsia" w:eastAsia="宋体"/>
                      <w:color w:val="auto"/>
                      <w:highlight w:val="none"/>
                      <w:lang w:val="en-US" w:eastAsia="zh-CN"/>
                    </w:rPr>
                  </w:pPr>
                  <w:r>
                    <w:rPr>
                      <w:rFonts w:hint="eastAsia"/>
                      <w:color w:val="auto"/>
                      <w:highlight w:val="none"/>
                      <w:lang w:val="en-US" w:eastAsia="zh-CN"/>
                    </w:rPr>
                    <w:t>新建</w:t>
                  </w:r>
                </w:p>
              </w:tc>
            </w:tr>
            <w:tr w14:paraId="7FAE7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454" w:type="pct"/>
                  <w:vMerge w:val="continue"/>
                  <w:noWrap w:val="0"/>
                  <w:vAlign w:val="center"/>
                </w:tcPr>
                <w:p w14:paraId="5459A234">
                  <w:pPr>
                    <w:spacing w:line="240" w:lineRule="auto"/>
                    <w:ind w:firstLine="0" w:firstLineChars="0"/>
                    <w:rPr>
                      <w:color w:val="auto"/>
                      <w:highlight w:val="none"/>
                    </w:rPr>
                  </w:pPr>
                </w:p>
              </w:tc>
              <w:tc>
                <w:tcPr>
                  <w:tcW w:w="467" w:type="pct"/>
                  <w:noWrap w:val="0"/>
                  <w:vAlign w:val="center"/>
                </w:tcPr>
                <w:p w14:paraId="638AD6D0">
                  <w:pPr>
                    <w:spacing w:line="240" w:lineRule="auto"/>
                    <w:ind w:firstLine="0" w:firstLineChars="0"/>
                    <w:rPr>
                      <w:color w:val="auto"/>
                      <w:highlight w:val="none"/>
                    </w:rPr>
                  </w:pPr>
                  <w:r>
                    <w:rPr>
                      <w:color w:val="auto"/>
                      <w:highlight w:val="none"/>
                    </w:rPr>
                    <w:t>防渗</w:t>
                  </w:r>
                </w:p>
              </w:tc>
              <w:tc>
                <w:tcPr>
                  <w:tcW w:w="3621" w:type="pct"/>
                  <w:noWrap w:val="0"/>
                  <w:vAlign w:val="center"/>
                </w:tcPr>
                <w:p w14:paraId="59840C22">
                  <w:pPr>
                    <w:spacing w:line="240" w:lineRule="auto"/>
                    <w:ind w:firstLine="0" w:firstLineChars="0"/>
                    <w:rPr>
                      <w:rFonts w:hint="eastAsia" w:eastAsia="宋体"/>
                      <w:color w:val="auto"/>
                      <w:highlight w:val="none"/>
                      <w:lang w:eastAsia="zh-CN"/>
                    </w:rPr>
                  </w:pPr>
                  <w:r>
                    <w:rPr>
                      <w:rFonts w:hint="eastAsia"/>
                      <w:color w:val="auto"/>
                      <w:highlight w:val="none"/>
                    </w:rPr>
                    <w:t>本项目</w:t>
                  </w:r>
                  <w:r>
                    <w:rPr>
                      <w:color w:val="auto"/>
                      <w:highlight w:val="none"/>
                    </w:rPr>
                    <w:t>地面、</w:t>
                  </w:r>
                  <w:r>
                    <w:rPr>
                      <w:rFonts w:hint="eastAsia"/>
                      <w:color w:val="auto"/>
                      <w:highlight w:val="none"/>
                    </w:rPr>
                    <w:t>导流渠</w:t>
                  </w:r>
                  <w:r>
                    <w:rPr>
                      <w:color w:val="auto"/>
                      <w:highlight w:val="none"/>
                    </w:rPr>
                    <w:t>、</w:t>
                  </w:r>
                  <w:r>
                    <w:rPr>
                      <w:rFonts w:hint="eastAsia"/>
                      <w:color w:val="auto"/>
                      <w:highlight w:val="none"/>
                    </w:rPr>
                    <w:t>集液池</w:t>
                  </w:r>
                  <w:r>
                    <w:rPr>
                      <w:color w:val="auto"/>
                      <w:highlight w:val="none"/>
                    </w:rPr>
                    <w:t>及裙角采取</w:t>
                  </w:r>
                  <w:r>
                    <w:rPr>
                      <w:rFonts w:hint="eastAsia"/>
                      <w:color w:val="auto"/>
                      <w:highlight w:val="none"/>
                    </w:rPr>
                    <w:t>相同</w:t>
                  </w:r>
                  <w:r>
                    <w:rPr>
                      <w:color w:val="auto"/>
                      <w:highlight w:val="none"/>
                    </w:rPr>
                    <w:t>防渗措施，具体防渗措施为：</w:t>
                  </w:r>
                  <w:r>
                    <w:rPr>
                      <w:rFonts w:hint="eastAsia"/>
                      <w:color w:val="auto"/>
                      <w:highlight w:val="none"/>
                      <w:lang w:eastAsia="zh-CN"/>
                    </w:rPr>
                    <w:t>防渗层为至少1m厚黏土层（渗透系数≤10</w:t>
                  </w:r>
                  <w:r>
                    <w:rPr>
                      <w:rFonts w:hint="eastAsia"/>
                      <w:color w:val="auto"/>
                      <w:highlight w:val="none"/>
                      <w:vertAlign w:val="superscript"/>
                      <w:lang w:eastAsia="zh-CN"/>
                    </w:rPr>
                    <w:t>-7</w:t>
                  </w:r>
                  <w:r>
                    <w:rPr>
                      <w:rFonts w:hint="eastAsia"/>
                      <w:color w:val="auto"/>
                      <w:highlight w:val="none"/>
                      <w:lang w:eastAsia="zh-CN"/>
                    </w:rPr>
                    <w:t>cm/s），或至少2mm厚高密度聚乙烯膜等人工防渗材料（渗透系数≤10</w:t>
                  </w:r>
                  <w:r>
                    <w:rPr>
                      <w:rFonts w:hint="eastAsia"/>
                      <w:color w:val="auto"/>
                      <w:highlight w:val="none"/>
                      <w:vertAlign w:val="superscript"/>
                      <w:lang w:eastAsia="zh-CN"/>
                    </w:rPr>
                    <w:t>-10</w:t>
                  </w:r>
                  <w:r>
                    <w:rPr>
                      <w:rFonts w:hint="eastAsia"/>
                      <w:color w:val="auto"/>
                      <w:highlight w:val="none"/>
                      <w:lang w:eastAsia="zh-CN"/>
                    </w:rPr>
                    <w:t>cm/s），或其他防渗性能等效的材料，并涂刷环氧树脂地坪漆。</w:t>
                  </w:r>
                </w:p>
              </w:tc>
              <w:tc>
                <w:tcPr>
                  <w:tcW w:w="456" w:type="pct"/>
                  <w:noWrap w:val="0"/>
                  <w:vAlign w:val="center"/>
                </w:tcPr>
                <w:p w14:paraId="7E471E97">
                  <w:pPr>
                    <w:spacing w:line="240" w:lineRule="auto"/>
                    <w:ind w:firstLine="0" w:firstLineChars="0"/>
                    <w:rPr>
                      <w:rFonts w:hint="eastAsia"/>
                      <w:color w:val="auto"/>
                      <w:highlight w:val="none"/>
                    </w:rPr>
                  </w:pPr>
                  <w:r>
                    <w:rPr>
                      <w:rFonts w:hint="eastAsia"/>
                      <w:color w:val="auto"/>
                      <w:highlight w:val="none"/>
                    </w:rPr>
                    <w:t>新建</w:t>
                  </w:r>
                </w:p>
              </w:tc>
            </w:tr>
          </w:tbl>
          <w:p w14:paraId="0365C0F1">
            <w:pPr>
              <w:ind w:firstLine="482"/>
              <w:rPr>
                <w:b/>
                <w:bCs/>
                <w:color w:val="auto"/>
                <w:highlight w:val="none"/>
              </w:rPr>
            </w:pPr>
            <w:r>
              <w:rPr>
                <w:rFonts w:hint="eastAsia"/>
                <w:b/>
                <w:bCs/>
                <w:color w:val="auto"/>
                <w:highlight w:val="none"/>
              </w:rPr>
              <w:t>2、主要设备</w:t>
            </w:r>
          </w:p>
          <w:p w14:paraId="6B602DC4">
            <w:pPr>
              <w:adjustRightInd w:val="0"/>
              <w:snapToGrid w:val="0"/>
              <w:ind w:firstLine="480"/>
              <w:rPr>
                <w:color w:val="auto"/>
                <w:highlight w:val="none"/>
              </w:rPr>
            </w:pPr>
            <w:r>
              <w:rPr>
                <w:color w:val="auto"/>
                <w:highlight w:val="none"/>
              </w:rPr>
              <w:t>本项目主要设备清单见表2-</w:t>
            </w:r>
            <w:r>
              <w:rPr>
                <w:rFonts w:hint="eastAsia"/>
                <w:color w:val="auto"/>
                <w:highlight w:val="none"/>
              </w:rPr>
              <w:t>2</w:t>
            </w:r>
            <w:r>
              <w:rPr>
                <w:color w:val="auto"/>
                <w:highlight w:val="none"/>
              </w:rPr>
              <w:t>。</w:t>
            </w:r>
          </w:p>
          <w:p w14:paraId="303BD7B4">
            <w:pPr>
              <w:adjustRightInd w:val="0"/>
              <w:snapToGrid w:val="0"/>
              <w:ind w:firstLine="482"/>
              <w:jc w:val="center"/>
              <w:rPr>
                <w:b/>
                <w:bCs/>
                <w:color w:val="auto"/>
                <w:highlight w:val="none"/>
              </w:rPr>
            </w:pPr>
            <w:r>
              <w:rPr>
                <w:b/>
                <w:bCs/>
                <w:color w:val="auto"/>
                <w:highlight w:val="none"/>
              </w:rPr>
              <w:t>表2-</w:t>
            </w:r>
            <w:r>
              <w:rPr>
                <w:rFonts w:hint="eastAsia"/>
                <w:b/>
                <w:bCs/>
                <w:color w:val="auto"/>
                <w:highlight w:val="none"/>
              </w:rPr>
              <w:t>2</w:t>
            </w:r>
            <w:r>
              <w:rPr>
                <w:b/>
                <w:bCs/>
                <w:color w:val="auto"/>
                <w:highlight w:val="none"/>
              </w:rPr>
              <w:t>主要项目设备一览表</w:t>
            </w:r>
          </w:p>
          <w:tbl>
            <w:tblPr>
              <w:tblStyle w:val="15"/>
              <w:tblW w:w="78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2324"/>
              <w:gridCol w:w="1580"/>
              <w:gridCol w:w="1318"/>
              <w:gridCol w:w="1842"/>
            </w:tblGrid>
            <w:tr w14:paraId="7A546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34" w:type="dxa"/>
                  <w:vAlign w:val="center"/>
                </w:tcPr>
                <w:p w14:paraId="0311E743">
                  <w:pPr>
                    <w:pStyle w:val="31"/>
                    <w:keepNext w:val="0"/>
                    <w:keepLines w:val="0"/>
                    <w:pageBreakBefore w:val="0"/>
                    <w:widowControl w:val="0"/>
                    <w:shd w:val="clear"/>
                    <w:kinsoku/>
                    <w:wordWrap/>
                    <w:overflowPunct/>
                    <w:topLinePunct w:val="0"/>
                    <w:autoSpaceDE/>
                    <w:autoSpaceDN/>
                    <w:bidi w:val="0"/>
                    <w:adjustRightInd w:val="0"/>
                    <w:snapToGrid w:val="0"/>
                    <w:spacing w:line="240" w:lineRule="auto"/>
                    <w:ind w:left="0" w:right="0"/>
                    <w:jc w:val="center"/>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序号</w:t>
                  </w:r>
                </w:p>
              </w:tc>
              <w:tc>
                <w:tcPr>
                  <w:tcW w:w="2324" w:type="dxa"/>
                  <w:vAlign w:val="center"/>
                </w:tcPr>
                <w:p w14:paraId="272CCC72">
                  <w:pPr>
                    <w:pStyle w:val="31"/>
                    <w:keepNext w:val="0"/>
                    <w:keepLines w:val="0"/>
                    <w:pageBreakBefore w:val="0"/>
                    <w:widowControl w:val="0"/>
                    <w:shd w:val="clear"/>
                    <w:kinsoku/>
                    <w:wordWrap/>
                    <w:overflowPunct/>
                    <w:topLinePunct w:val="0"/>
                    <w:autoSpaceDE/>
                    <w:autoSpaceDN/>
                    <w:bidi w:val="0"/>
                    <w:adjustRightInd w:val="0"/>
                    <w:snapToGrid w:val="0"/>
                    <w:spacing w:line="240" w:lineRule="auto"/>
                    <w:ind w:left="0" w:right="0"/>
                    <w:jc w:val="center"/>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设备名称</w:t>
                  </w:r>
                </w:p>
              </w:tc>
              <w:tc>
                <w:tcPr>
                  <w:tcW w:w="1580" w:type="dxa"/>
                  <w:vAlign w:val="center"/>
                </w:tcPr>
                <w:p w14:paraId="3E2729EF">
                  <w:pPr>
                    <w:pStyle w:val="31"/>
                    <w:keepNext w:val="0"/>
                    <w:keepLines w:val="0"/>
                    <w:pageBreakBefore w:val="0"/>
                    <w:widowControl w:val="0"/>
                    <w:shd w:val="clear"/>
                    <w:kinsoku/>
                    <w:wordWrap/>
                    <w:overflowPunct/>
                    <w:topLinePunct w:val="0"/>
                    <w:autoSpaceDE/>
                    <w:autoSpaceDN/>
                    <w:bidi w:val="0"/>
                    <w:adjustRightInd w:val="0"/>
                    <w:snapToGrid w:val="0"/>
                    <w:spacing w:line="240" w:lineRule="auto"/>
                    <w:ind w:left="0" w:right="0"/>
                    <w:jc w:val="center"/>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单位</w:t>
                  </w:r>
                </w:p>
              </w:tc>
              <w:tc>
                <w:tcPr>
                  <w:tcW w:w="1318" w:type="dxa"/>
                  <w:vAlign w:val="center"/>
                </w:tcPr>
                <w:p w14:paraId="47724F3E">
                  <w:pPr>
                    <w:pStyle w:val="31"/>
                    <w:keepNext w:val="0"/>
                    <w:keepLines w:val="0"/>
                    <w:pageBreakBefore w:val="0"/>
                    <w:widowControl w:val="0"/>
                    <w:shd w:val="clear"/>
                    <w:kinsoku/>
                    <w:wordWrap/>
                    <w:overflowPunct/>
                    <w:topLinePunct w:val="0"/>
                    <w:autoSpaceDE/>
                    <w:autoSpaceDN/>
                    <w:bidi w:val="0"/>
                    <w:adjustRightInd w:val="0"/>
                    <w:snapToGrid w:val="0"/>
                    <w:spacing w:line="240" w:lineRule="auto"/>
                    <w:ind w:left="0" w:right="0"/>
                    <w:jc w:val="center"/>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数量</w:t>
                  </w:r>
                </w:p>
              </w:tc>
              <w:tc>
                <w:tcPr>
                  <w:tcW w:w="1842" w:type="dxa"/>
                  <w:vAlign w:val="center"/>
                </w:tcPr>
                <w:p w14:paraId="4C3EE304">
                  <w:pPr>
                    <w:pStyle w:val="31"/>
                    <w:keepNext w:val="0"/>
                    <w:keepLines w:val="0"/>
                    <w:pageBreakBefore w:val="0"/>
                    <w:widowControl w:val="0"/>
                    <w:shd w:val="clear"/>
                    <w:kinsoku/>
                    <w:wordWrap/>
                    <w:overflowPunct/>
                    <w:topLinePunct w:val="0"/>
                    <w:autoSpaceDE/>
                    <w:autoSpaceDN/>
                    <w:bidi w:val="0"/>
                    <w:adjustRightInd w:val="0"/>
                    <w:snapToGrid w:val="0"/>
                    <w:spacing w:line="240" w:lineRule="auto"/>
                    <w:ind w:left="0" w:right="0"/>
                    <w:jc w:val="center"/>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备注</w:t>
                  </w:r>
                </w:p>
              </w:tc>
            </w:tr>
            <w:tr w14:paraId="59BA5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Align w:val="center"/>
                </w:tcPr>
                <w:p w14:paraId="19D6B28E">
                  <w:pPr>
                    <w:pStyle w:val="31"/>
                    <w:keepNext w:val="0"/>
                    <w:keepLines w:val="0"/>
                    <w:pageBreakBefore w:val="0"/>
                    <w:widowControl w:val="0"/>
                    <w:shd w:val="clear"/>
                    <w:kinsoku/>
                    <w:wordWrap/>
                    <w:overflowPunct/>
                    <w:topLinePunct w:val="0"/>
                    <w:autoSpaceDE/>
                    <w:autoSpaceDN/>
                    <w:bidi w:val="0"/>
                    <w:adjustRightInd w:val="0"/>
                    <w:snapToGrid w:val="0"/>
                    <w:spacing w:line="240" w:lineRule="auto"/>
                    <w:ind w:left="0" w:right="0"/>
                    <w:jc w:val="center"/>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w:t>
                  </w:r>
                </w:p>
              </w:tc>
              <w:tc>
                <w:tcPr>
                  <w:tcW w:w="2324" w:type="dxa"/>
                  <w:vAlign w:val="center"/>
                </w:tcPr>
                <w:p w14:paraId="66F873D5">
                  <w:pPr>
                    <w:pStyle w:val="31"/>
                    <w:keepNext w:val="0"/>
                    <w:keepLines w:val="0"/>
                    <w:pageBreakBefore w:val="0"/>
                    <w:widowControl w:val="0"/>
                    <w:shd w:val="clear"/>
                    <w:kinsoku/>
                    <w:wordWrap/>
                    <w:overflowPunct/>
                    <w:topLinePunct w:val="0"/>
                    <w:autoSpaceDE/>
                    <w:autoSpaceDN/>
                    <w:bidi w:val="0"/>
                    <w:adjustRightInd w:val="0"/>
                    <w:snapToGrid w:val="0"/>
                    <w:spacing w:line="240" w:lineRule="auto"/>
                    <w:ind w:left="0" w:right="0"/>
                    <w:jc w:val="center"/>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照明灯</w:t>
                  </w:r>
                </w:p>
              </w:tc>
              <w:tc>
                <w:tcPr>
                  <w:tcW w:w="1580" w:type="dxa"/>
                  <w:vAlign w:val="center"/>
                </w:tcPr>
                <w:p w14:paraId="2DFFAB44">
                  <w:pPr>
                    <w:pStyle w:val="31"/>
                    <w:keepNext w:val="0"/>
                    <w:keepLines w:val="0"/>
                    <w:pageBreakBefore w:val="0"/>
                    <w:widowControl w:val="0"/>
                    <w:shd w:val="clear"/>
                    <w:kinsoku/>
                    <w:wordWrap/>
                    <w:overflowPunct/>
                    <w:topLinePunct w:val="0"/>
                    <w:autoSpaceDE/>
                    <w:autoSpaceDN/>
                    <w:bidi w:val="0"/>
                    <w:adjustRightInd w:val="0"/>
                    <w:snapToGrid w:val="0"/>
                    <w:spacing w:line="240" w:lineRule="auto"/>
                    <w:ind w:left="0" w:right="0"/>
                    <w:jc w:val="center"/>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个</w:t>
                  </w:r>
                </w:p>
              </w:tc>
              <w:tc>
                <w:tcPr>
                  <w:tcW w:w="1318" w:type="dxa"/>
                  <w:vAlign w:val="center"/>
                </w:tcPr>
                <w:p w14:paraId="06780D4B">
                  <w:pPr>
                    <w:pStyle w:val="31"/>
                    <w:keepNext w:val="0"/>
                    <w:keepLines w:val="0"/>
                    <w:pageBreakBefore w:val="0"/>
                    <w:widowControl w:val="0"/>
                    <w:shd w:val="clear"/>
                    <w:kinsoku/>
                    <w:wordWrap/>
                    <w:overflowPunct/>
                    <w:topLinePunct w:val="0"/>
                    <w:autoSpaceDE/>
                    <w:autoSpaceDN/>
                    <w:bidi w:val="0"/>
                    <w:adjustRightInd w:val="0"/>
                    <w:snapToGrid w:val="0"/>
                    <w:spacing w:line="240" w:lineRule="auto"/>
                    <w:ind w:left="0" w:right="0"/>
                    <w:jc w:val="center"/>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w:t>
                  </w:r>
                </w:p>
              </w:tc>
              <w:tc>
                <w:tcPr>
                  <w:tcW w:w="1842" w:type="dxa"/>
                  <w:vAlign w:val="center"/>
                </w:tcPr>
                <w:p w14:paraId="1D767F1A">
                  <w:pPr>
                    <w:pStyle w:val="31"/>
                    <w:keepNext w:val="0"/>
                    <w:keepLines w:val="0"/>
                    <w:pageBreakBefore w:val="0"/>
                    <w:widowControl w:val="0"/>
                    <w:shd w:val="clear"/>
                    <w:kinsoku/>
                    <w:wordWrap/>
                    <w:overflowPunct/>
                    <w:topLinePunct w:val="0"/>
                    <w:autoSpaceDE/>
                    <w:autoSpaceDN/>
                    <w:bidi w:val="0"/>
                    <w:adjustRightInd w:val="0"/>
                    <w:snapToGrid w:val="0"/>
                    <w:spacing w:line="240" w:lineRule="auto"/>
                    <w:ind w:left="0" w:right="0"/>
                    <w:jc w:val="center"/>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r>
            <w:tr w14:paraId="6B507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Align w:val="center"/>
                </w:tcPr>
                <w:p w14:paraId="520861E4">
                  <w:pPr>
                    <w:pStyle w:val="31"/>
                    <w:keepNext w:val="0"/>
                    <w:keepLines w:val="0"/>
                    <w:pageBreakBefore w:val="0"/>
                    <w:widowControl w:val="0"/>
                    <w:shd w:val="clear"/>
                    <w:kinsoku/>
                    <w:wordWrap/>
                    <w:overflowPunct/>
                    <w:topLinePunct w:val="0"/>
                    <w:autoSpaceDE/>
                    <w:autoSpaceDN/>
                    <w:bidi w:val="0"/>
                    <w:adjustRightInd w:val="0"/>
                    <w:snapToGrid w:val="0"/>
                    <w:spacing w:line="240" w:lineRule="auto"/>
                    <w:ind w:left="0" w:right="0"/>
                    <w:jc w:val="center"/>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2</w:t>
                  </w:r>
                </w:p>
              </w:tc>
              <w:tc>
                <w:tcPr>
                  <w:tcW w:w="2324" w:type="dxa"/>
                  <w:vAlign w:val="center"/>
                </w:tcPr>
                <w:p w14:paraId="77AEDD93">
                  <w:pPr>
                    <w:pStyle w:val="31"/>
                    <w:keepNext w:val="0"/>
                    <w:keepLines w:val="0"/>
                    <w:pageBreakBefore w:val="0"/>
                    <w:widowControl w:val="0"/>
                    <w:shd w:val="clear"/>
                    <w:kinsoku/>
                    <w:wordWrap/>
                    <w:overflowPunct/>
                    <w:topLinePunct w:val="0"/>
                    <w:autoSpaceDE/>
                    <w:autoSpaceDN/>
                    <w:bidi w:val="0"/>
                    <w:adjustRightInd w:val="0"/>
                    <w:snapToGrid w:val="0"/>
                    <w:spacing w:line="240" w:lineRule="auto"/>
                    <w:ind w:left="0" w:right="0"/>
                    <w:jc w:val="center"/>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轴流风机</w:t>
                  </w:r>
                </w:p>
              </w:tc>
              <w:tc>
                <w:tcPr>
                  <w:tcW w:w="1580" w:type="dxa"/>
                  <w:vAlign w:val="center"/>
                </w:tcPr>
                <w:p w14:paraId="21D5B2C4">
                  <w:pPr>
                    <w:pStyle w:val="31"/>
                    <w:keepNext w:val="0"/>
                    <w:keepLines w:val="0"/>
                    <w:pageBreakBefore w:val="0"/>
                    <w:widowControl w:val="0"/>
                    <w:shd w:val="clear"/>
                    <w:kinsoku/>
                    <w:wordWrap/>
                    <w:overflowPunct/>
                    <w:topLinePunct w:val="0"/>
                    <w:autoSpaceDE/>
                    <w:autoSpaceDN/>
                    <w:bidi w:val="0"/>
                    <w:adjustRightInd w:val="0"/>
                    <w:snapToGrid w:val="0"/>
                    <w:spacing w:line="240" w:lineRule="auto"/>
                    <w:ind w:left="0" w:right="0"/>
                    <w:jc w:val="center"/>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个</w:t>
                  </w:r>
                </w:p>
              </w:tc>
              <w:tc>
                <w:tcPr>
                  <w:tcW w:w="1318" w:type="dxa"/>
                  <w:vAlign w:val="center"/>
                </w:tcPr>
                <w:p w14:paraId="461F194A">
                  <w:pPr>
                    <w:pStyle w:val="31"/>
                    <w:keepNext w:val="0"/>
                    <w:keepLines w:val="0"/>
                    <w:pageBreakBefore w:val="0"/>
                    <w:widowControl w:val="0"/>
                    <w:shd w:val="clear"/>
                    <w:kinsoku/>
                    <w:wordWrap/>
                    <w:overflowPunct/>
                    <w:topLinePunct w:val="0"/>
                    <w:autoSpaceDE/>
                    <w:autoSpaceDN/>
                    <w:bidi w:val="0"/>
                    <w:adjustRightInd w:val="0"/>
                    <w:snapToGrid w:val="0"/>
                    <w:spacing w:line="240" w:lineRule="auto"/>
                    <w:ind w:left="0" w:right="0"/>
                    <w:jc w:val="center"/>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w:t>
                  </w:r>
                </w:p>
              </w:tc>
              <w:tc>
                <w:tcPr>
                  <w:tcW w:w="1842" w:type="dxa"/>
                  <w:vAlign w:val="center"/>
                </w:tcPr>
                <w:p w14:paraId="7D008258">
                  <w:pPr>
                    <w:pStyle w:val="31"/>
                    <w:keepNext w:val="0"/>
                    <w:keepLines w:val="0"/>
                    <w:pageBreakBefore w:val="0"/>
                    <w:widowControl w:val="0"/>
                    <w:shd w:val="clear"/>
                    <w:kinsoku/>
                    <w:wordWrap/>
                    <w:overflowPunct/>
                    <w:topLinePunct w:val="0"/>
                    <w:autoSpaceDE/>
                    <w:autoSpaceDN/>
                    <w:bidi w:val="0"/>
                    <w:adjustRightInd w:val="0"/>
                    <w:snapToGrid w:val="0"/>
                    <w:spacing w:line="240" w:lineRule="auto"/>
                    <w:ind w:left="0" w:right="0"/>
                    <w:jc w:val="center"/>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r>
            <w:tr w14:paraId="7A2C8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Align w:val="center"/>
                </w:tcPr>
                <w:p w14:paraId="7FBED0F4">
                  <w:pPr>
                    <w:pStyle w:val="31"/>
                    <w:keepNext w:val="0"/>
                    <w:keepLines w:val="0"/>
                    <w:pageBreakBefore w:val="0"/>
                    <w:widowControl w:val="0"/>
                    <w:shd w:val="clear"/>
                    <w:kinsoku/>
                    <w:wordWrap/>
                    <w:overflowPunct/>
                    <w:topLinePunct w:val="0"/>
                    <w:autoSpaceDE/>
                    <w:autoSpaceDN/>
                    <w:bidi w:val="0"/>
                    <w:adjustRightInd w:val="0"/>
                    <w:snapToGrid w:val="0"/>
                    <w:spacing w:line="240" w:lineRule="auto"/>
                    <w:ind w:left="0" w:right="0"/>
                    <w:jc w:val="center"/>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3</w:t>
                  </w:r>
                </w:p>
              </w:tc>
              <w:tc>
                <w:tcPr>
                  <w:tcW w:w="2324" w:type="dxa"/>
                  <w:vAlign w:val="center"/>
                </w:tcPr>
                <w:p w14:paraId="017E3C44">
                  <w:pPr>
                    <w:pStyle w:val="31"/>
                    <w:keepNext w:val="0"/>
                    <w:keepLines w:val="0"/>
                    <w:pageBreakBefore w:val="0"/>
                    <w:widowControl w:val="0"/>
                    <w:shd w:val="clear"/>
                    <w:kinsoku/>
                    <w:wordWrap/>
                    <w:overflowPunct/>
                    <w:topLinePunct w:val="0"/>
                    <w:autoSpaceDE/>
                    <w:autoSpaceDN/>
                    <w:bidi w:val="0"/>
                    <w:adjustRightInd w:val="0"/>
                    <w:snapToGrid w:val="0"/>
                    <w:spacing w:line="240" w:lineRule="auto"/>
                    <w:ind w:left="0" w:right="0"/>
                    <w:jc w:val="center"/>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灭火器</w:t>
                  </w:r>
                </w:p>
              </w:tc>
              <w:tc>
                <w:tcPr>
                  <w:tcW w:w="1580" w:type="dxa"/>
                  <w:vAlign w:val="center"/>
                </w:tcPr>
                <w:p w14:paraId="4B696DE6">
                  <w:pPr>
                    <w:pStyle w:val="31"/>
                    <w:keepNext w:val="0"/>
                    <w:keepLines w:val="0"/>
                    <w:pageBreakBefore w:val="0"/>
                    <w:widowControl w:val="0"/>
                    <w:shd w:val="clear"/>
                    <w:kinsoku/>
                    <w:wordWrap/>
                    <w:overflowPunct/>
                    <w:topLinePunct w:val="0"/>
                    <w:autoSpaceDE/>
                    <w:autoSpaceDN/>
                    <w:bidi w:val="0"/>
                    <w:adjustRightInd w:val="0"/>
                    <w:snapToGrid w:val="0"/>
                    <w:spacing w:line="240" w:lineRule="auto"/>
                    <w:ind w:left="0" w:right="0"/>
                    <w:jc w:val="center"/>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个</w:t>
                  </w:r>
                </w:p>
              </w:tc>
              <w:tc>
                <w:tcPr>
                  <w:tcW w:w="1318" w:type="dxa"/>
                  <w:vAlign w:val="center"/>
                </w:tcPr>
                <w:p w14:paraId="0580B105">
                  <w:pPr>
                    <w:pStyle w:val="31"/>
                    <w:keepNext w:val="0"/>
                    <w:keepLines w:val="0"/>
                    <w:pageBreakBefore w:val="0"/>
                    <w:widowControl w:val="0"/>
                    <w:shd w:val="clear"/>
                    <w:kinsoku/>
                    <w:wordWrap/>
                    <w:overflowPunct/>
                    <w:topLinePunct w:val="0"/>
                    <w:autoSpaceDE/>
                    <w:autoSpaceDN/>
                    <w:bidi w:val="0"/>
                    <w:adjustRightInd w:val="0"/>
                    <w:snapToGrid w:val="0"/>
                    <w:spacing w:line="240" w:lineRule="auto"/>
                    <w:ind w:left="0" w:right="0"/>
                    <w:jc w:val="center"/>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3</w:t>
                  </w:r>
                </w:p>
              </w:tc>
              <w:tc>
                <w:tcPr>
                  <w:tcW w:w="1842" w:type="dxa"/>
                  <w:vAlign w:val="center"/>
                </w:tcPr>
                <w:p w14:paraId="7F336E6C">
                  <w:pPr>
                    <w:pStyle w:val="31"/>
                    <w:keepNext w:val="0"/>
                    <w:keepLines w:val="0"/>
                    <w:pageBreakBefore w:val="0"/>
                    <w:widowControl w:val="0"/>
                    <w:shd w:val="clear"/>
                    <w:kinsoku/>
                    <w:wordWrap/>
                    <w:overflowPunct/>
                    <w:topLinePunct w:val="0"/>
                    <w:autoSpaceDE/>
                    <w:autoSpaceDN/>
                    <w:bidi w:val="0"/>
                    <w:adjustRightInd w:val="0"/>
                    <w:snapToGrid w:val="0"/>
                    <w:spacing w:line="240" w:lineRule="auto"/>
                    <w:ind w:left="0" w:right="0"/>
                    <w:jc w:val="center"/>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r>
            <w:tr w14:paraId="67066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Align w:val="center"/>
                </w:tcPr>
                <w:p w14:paraId="17E4E75A">
                  <w:pPr>
                    <w:pStyle w:val="31"/>
                    <w:keepNext w:val="0"/>
                    <w:keepLines w:val="0"/>
                    <w:pageBreakBefore w:val="0"/>
                    <w:widowControl w:val="0"/>
                    <w:shd w:val="clear"/>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4</w:t>
                  </w:r>
                </w:p>
              </w:tc>
              <w:tc>
                <w:tcPr>
                  <w:tcW w:w="2324" w:type="dxa"/>
                  <w:vAlign w:val="center"/>
                </w:tcPr>
                <w:p w14:paraId="473FE009">
                  <w:pPr>
                    <w:pStyle w:val="31"/>
                    <w:keepNext w:val="0"/>
                    <w:keepLines w:val="0"/>
                    <w:pageBreakBefore w:val="0"/>
                    <w:widowControl w:val="0"/>
                    <w:shd w:val="clear"/>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监控设备</w:t>
                  </w:r>
                </w:p>
              </w:tc>
              <w:tc>
                <w:tcPr>
                  <w:tcW w:w="1580" w:type="dxa"/>
                  <w:vAlign w:val="center"/>
                </w:tcPr>
                <w:p w14:paraId="095ABC3B">
                  <w:pPr>
                    <w:pStyle w:val="31"/>
                    <w:keepNext w:val="0"/>
                    <w:keepLines w:val="0"/>
                    <w:pageBreakBefore w:val="0"/>
                    <w:widowControl w:val="0"/>
                    <w:shd w:val="clear"/>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个</w:t>
                  </w:r>
                </w:p>
              </w:tc>
              <w:tc>
                <w:tcPr>
                  <w:tcW w:w="1318" w:type="dxa"/>
                  <w:vAlign w:val="center"/>
                </w:tcPr>
                <w:p w14:paraId="0E46E072">
                  <w:pPr>
                    <w:pStyle w:val="31"/>
                    <w:keepNext w:val="0"/>
                    <w:keepLines w:val="0"/>
                    <w:pageBreakBefore w:val="0"/>
                    <w:widowControl w:val="0"/>
                    <w:shd w:val="clear"/>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1</w:t>
                  </w:r>
                </w:p>
              </w:tc>
              <w:tc>
                <w:tcPr>
                  <w:tcW w:w="1842" w:type="dxa"/>
                  <w:vAlign w:val="center"/>
                </w:tcPr>
                <w:p w14:paraId="3CF22B64">
                  <w:pPr>
                    <w:pStyle w:val="31"/>
                    <w:keepNext w:val="0"/>
                    <w:keepLines w:val="0"/>
                    <w:pageBreakBefore w:val="0"/>
                    <w:widowControl w:val="0"/>
                    <w:shd w:val="clear"/>
                    <w:kinsoku/>
                    <w:wordWrap/>
                    <w:overflowPunct/>
                    <w:topLinePunct w:val="0"/>
                    <w:autoSpaceDE/>
                    <w:autoSpaceDN/>
                    <w:bidi w:val="0"/>
                    <w:adjustRightInd w:val="0"/>
                    <w:snapToGrid w:val="0"/>
                    <w:spacing w:line="240" w:lineRule="auto"/>
                    <w:ind w:left="0" w:right="0"/>
                    <w:jc w:val="center"/>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p>
              </w:tc>
            </w:tr>
          </w:tbl>
          <w:p w14:paraId="2D5F340A">
            <w:pPr>
              <w:ind w:firstLine="482"/>
              <w:rPr>
                <w:rFonts w:hint="eastAsia"/>
                <w:b/>
                <w:bCs/>
                <w:color w:val="auto"/>
                <w:highlight w:val="none"/>
              </w:rPr>
            </w:pPr>
            <w:r>
              <w:rPr>
                <w:rFonts w:hint="eastAsia"/>
                <w:b/>
                <w:bCs/>
                <w:color w:val="auto"/>
                <w:highlight w:val="none"/>
              </w:rPr>
              <w:t>3、危险废物产生情况及去向</w:t>
            </w:r>
          </w:p>
          <w:p w14:paraId="04C24DE5">
            <w:pPr>
              <w:ind w:firstLine="482"/>
              <w:rPr>
                <w:rFonts w:hint="eastAsia"/>
                <w:b/>
                <w:bCs/>
                <w:color w:val="auto"/>
                <w:highlight w:val="none"/>
              </w:rPr>
            </w:pPr>
            <w:r>
              <w:rPr>
                <w:rFonts w:hint="eastAsia"/>
                <w:b/>
                <w:bCs/>
                <w:color w:val="auto"/>
                <w:highlight w:val="none"/>
              </w:rPr>
              <w:t>（1）暂存规模</w:t>
            </w:r>
          </w:p>
          <w:p w14:paraId="1DB04166">
            <w:pPr>
              <w:bidi w:val="0"/>
              <w:rPr>
                <w:rFonts w:hint="eastAsia"/>
                <w:color w:val="auto"/>
              </w:rPr>
            </w:pPr>
            <w:r>
              <w:rPr>
                <w:rFonts w:hint="eastAsia"/>
                <w:color w:val="auto"/>
              </w:rPr>
              <w:t>项目暂存危废情况见表2-3。</w:t>
            </w:r>
          </w:p>
          <w:p w14:paraId="510AC6A2">
            <w:pPr>
              <w:ind w:firstLine="482"/>
              <w:jc w:val="center"/>
              <w:rPr>
                <w:rFonts w:hint="eastAsia"/>
                <w:b/>
                <w:bCs/>
                <w:color w:val="auto"/>
                <w:highlight w:val="none"/>
              </w:rPr>
            </w:pPr>
            <w:r>
              <w:rPr>
                <w:rFonts w:hint="eastAsia"/>
                <w:b/>
                <w:bCs/>
                <w:color w:val="auto"/>
                <w:highlight w:val="none"/>
              </w:rPr>
              <w:t>表2-3危险废物产生情况及去向一览表</w:t>
            </w:r>
          </w:p>
          <w:tbl>
            <w:tblPr>
              <w:tblStyle w:val="14"/>
              <w:tblW w:w="78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0"/>
              <w:gridCol w:w="1425"/>
              <w:gridCol w:w="1533"/>
              <w:gridCol w:w="1362"/>
              <w:gridCol w:w="883"/>
              <w:gridCol w:w="797"/>
              <w:gridCol w:w="1247"/>
            </w:tblGrid>
            <w:tr w14:paraId="4A580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exact"/>
                <w:jc w:val="center"/>
              </w:trPr>
              <w:tc>
                <w:tcPr>
                  <w:tcW w:w="590" w:type="dxa"/>
                  <w:noWrap w:val="0"/>
                  <w:vAlign w:val="center"/>
                </w:tcPr>
                <w:p w14:paraId="186A8F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r>
                    <w:rPr>
                      <w:color w:val="auto"/>
                    </w:rPr>
                    <w:t>序号</w:t>
                  </w:r>
                </w:p>
              </w:tc>
              <w:tc>
                <w:tcPr>
                  <w:tcW w:w="1425" w:type="dxa"/>
                  <w:noWrap w:val="0"/>
                  <w:vAlign w:val="center"/>
                </w:tcPr>
                <w:p w14:paraId="1847B2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r>
                    <w:rPr>
                      <w:color w:val="auto"/>
                    </w:rPr>
                    <w:t>废物名称</w:t>
                  </w:r>
                </w:p>
              </w:tc>
              <w:tc>
                <w:tcPr>
                  <w:tcW w:w="1533" w:type="dxa"/>
                  <w:noWrap w:val="0"/>
                  <w:vAlign w:val="center"/>
                </w:tcPr>
                <w:p w14:paraId="65ACD1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r>
                    <w:rPr>
                      <w:color w:val="auto"/>
                    </w:rPr>
                    <w:t>废物类别</w:t>
                  </w:r>
                </w:p>
              </w:tc>
              <w:tc>
                <w:tcPr>
                  <w:tcW w:w="1362" w:type="dxa"/>
                  <w:noWrap w:val="0"/>
                  <w:vAlign w:val="center"/>
                </w:tcPr>
                <w:p w14:paraId="6DFAE2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r>
                    <w:rPr>
                      <w:color w:val="auto"/>
                    </w:rPr>
                    <w:t>废物代码</w:t>
                  </w:r>
                </w:p>
              </w:tc>
              <w:tc>
                <w:tcPr>
                  <w:tcW w:w="883" w:type="dxa"/>
                  <w:noWrap w:val="0"/>
                  <w:vAlign w:val="center"/>
                </w:tcPr>
                <w:p w14:paraId="5D45FF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r>
                    <w:rPr>
                      <w:color w:val="auto"/>
                    </w:rPr>
                    <w:t>来源及产生工序</w:t>
                  </w:r>
                </w:p>
              </w:tc>
              <w:tc>
                <w:tcPr>
                  <w:tcW w:w="797" w:type="dxa"/>
                  <w:noWrap w:val="0"/>
                  <w:vAlign w:val="center"/>
                </w:tcPr>
                <w:p w14:paraId="7786C8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r>
                    <w:rPr>
                      <w:rFonts w:hint="eastAsia"/>
                      <w:color w:val="auto"/>
                    </w:rPr>
                    <w:t>危险特性</w:t>
                  </w:r>
                </w:p>
              </w:tc>
              <w:tc>
                <w:tcPr>
                  <w:tcW w:w="1247" w:type="dxa"/>
                  <w:noWrap w:val="0"/>
                  <w:vAlign w:val="center"/>
                </w:tcPr>
                <w:p w14:paraId="761F22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r>
                    <w:rPr>
                      <w:rFonts w:hint="eastAsia"/>
                      <w:color w:val="auto"/>
                    </w:rPr>
                    <w:t>最终去向</w:t>
                  </w:r>
                </w:p>
              </w:tc>
            </w:tr>
            <w:tr w14:paraId="17A9A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590" w:type="dxa"/>
                  <w:noWrap w:val="0"/>
                  <w:vAlign w:val="center"/>
                </w:tcPr>
                <w:p w14:paraId="3C938B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r>
                    <w:rPr>
                      <w:color w:val="auto"/>
                    </w:rPr>
                    <w:t>1</w:t>
                  </w:r>
                </w:p>
              </w:tc>
              <w:tc>
                <w:tcPr>
                  <w:tcW w:w="1425" w:type="dxa"/>
                  <w:noWrap w:val="0"/>
                  <w:vAlign w:val="center"/>
                </w:tcPr>
                <w:p w14:paraId="390000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lang w:val="en-US" w:eastAsia="zh-CN"/>
                    </w:rPr>
                  </w:pPr>
                  <w:r>
                    <w:rPr>
                      <w:rFonts w:hint="eastAsia"/>
                      <w:color w:val="auto"/>
                      <w:lang w:val="en-US" w:eastAsia="zh-CN"/>
                    </w:rPr>
                    <w:t>废机油</w:t>
                  </w:r>
                </w:p>
              </w:tc>
              <w:tc>
                <w:tcPr>
                  <w:tcW w:w="1533" w:type="dxa"/>
                  <w:vMerge w:val="restart"/>
                  <w:noWrap w:val="0"/>
                  <w:vAlign w:val="center"/>
                </w:tcPr>
                <w:p w14:paraId="3BACCC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r>
                    <w:rPr>
                      <w:color w:val="auto"/>
                    </w:rPr>
                    <w:t>HW08废矿物油与含矿物油废物</w:t>
                  </w:r>
                </w:p>
              </w:tc>
              <w:tc>
                <w:tcPr>
                  <w:tcW w:w="1362" w:type="dxa"/>
                  <w:noWrap w:val="0"/>
                  <w:vAlign w:val="center"/>
                </w:tcPr>
                <w:p w14:paraId="3D1B11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r>
                    <w:rPr>
                      <w:color w:val="auto"/>
                    </w:rPr>
                    <w:t>900-214-08</w:t>
                  </w:r>
                </w:p>
              </w:tc>
              <w:tc>
                <w:tcPr>
                  <w:tcW w:w="883" w:type="dxa"/>
                  <w:vMerge w:val="restart"/>
                  <w:noWrap w:val="0"/>
                  <w:vAlign w:val="center"/>
                </w:tcPr>
                <w:p w14:paraId="6BDB36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r>
                    <w:rPr>
                      <w:rFonts w:hint="eastAsia"/>
                      <w:color w:val="auto"/>
                    </w:rPr>
                    <w:t>设备维修维护</w:t>
                  </w:r>
                </w:p>
              </w:tc>
              <w:tc>
                <w:tcPr>
                  <w:tcW w:w="797" w:type="dxa"/>
                  <w:noWrap w:val="0"/>
                  <w:vAlign w:val="center"/>
                </w:tcPr>
                <w:p w14:paraId="000A27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rPr>
                  </w:pPr>
                  <w:r>
                    <w:rPr>
                      <w:rFonts w:hint="eastAsia"/>
                      <w:color w:val="auto"/>
                    </w:rPr>
                    <w:t>T，I</w:t>
                  </w:r>
                </w:p>
              </w:tc>
              <w:tc>
                <w:tcPr>
                  <w:tcW w:w="1247" w:type="dxa"/>
                  <w:vMerge w:val="restart"/>
                  <w:noWrap w:val="0"/>
                  <w:vAlign w:val="center"/>
                </w:tcPr>
                <w:p w14:paraId="600208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r>
                    <w:rPr>
                      <w:rFonts w:hint="eastAsia"/>
                      <w:color w:val="auto"/>
                    </w:rPr>
                    <w:t>暂存后，</w:t>
                  </w:r>
                  <w:r>
                    <w:rPr>
                      <w:rFonts w:hint="eastAsia"/>
                      <w:color w:val="auto"/>
                      <w:lang w:val="en-US" w:eastAsia="zh-CN"/>
                    </w:rPr>
                    <w:t>定期</w:t>
                  </w:r>
                  <w:r>
                    <w:rPr>
                      <w:rFonts w:hint="eastAsia"/>
                      <w:color w:val="auto"/>
                    </w:rPr>
                    <w:t>交由有资质单位进行处置</w:t>
                  </w:r>
                </w:p>
              </w:tc>
            </w:tr>
            <w:tr w14:paraId="2A0F5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590" w:type="dxa"/>
                  <w:noWrap w:val="0"/>
                  <w:vAlign w:val="center"/>
                </w:tcPr>
                <w:p w14:paraId="0E346A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lang w:val="en-US" w:eastAsia="zh-CN"/>
                    </w:rPr>
                  </w:pPr>
                  <w:r>
                    <w:rPr>
                      <w:rFonts w:hint="eastAsia"/>
                      <w:color w:val="auto"/>
                      <w:lang w:val="en-US" w:eastAsia="zh-CN"/>
                    </w:rPr>
                    <w:t>2</w:t>
                  </w:r>
                </w:p>
              </w:tc>
              <w:tc>
                <w:tcPr>
                  <w:tcW w:w="1425" w:type="dxa"/>
                  <w:noWrap w:val="0"/>
                  <w:vAlign w:val="center"/>
                </w:tcPr>
                <w:p w14:paraId="2F678D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lang w:eastAsia="zh-CN"/>
                    </w:rPr>
                  </w:pPr>
                  <w:r>
                    <w:rPr>
                      <w:rFonts w:hint="eastAsia"/>
                      <w:color w:val="auto"/>
                      <w:lang w:eastAsia="zh-CN"/>
                    </w:rPr>
                    <w:t>废润滑油</w:t>
                  </w:r>
                </w:p>
              </w:tc>
              <w:tc>
                <w:tcPr>
                  <w:tcW w:w="1533" w:type="dxa"/>
                  <w:vMerge w:val="continue"/>
                  <w:noWrap w:val="0"/>
                  <w:vAlign w:val="center"/>
                </w:tcPr>
                <w:p w14:paraId="5A305D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p>
              </w:tc>
              <w:tc>
                <w:tcPr>
                  <w:tcW w:w="1362" w:type="dxa"/>
                  <w:noWrap w:val="0"/>
                  <w:vAlign w:val="center"/>
                </w:tcPr>
                <w:p w14:paraId="59FABE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r>
                    <w:rPr>
                      <w:rFonts w:hint="eastAsia"/>
                      <w:color w:val="auto"/>
                    </w:rPr>
                    <w:t>900-21</w:t>
                  </w:r>
                  <w:r>
                    <w:rPr>
                      <w:rFonts w:hint="eastAsia"/>
                      <w:color w:val="auto"/>
                      <w:lang w:val="en-US" w:eastAsia="zh-CN"/>
                    </w:rPr>
                    <w:t>7</w:t>
                  </w:r>
                  <w:r>
                    <w:rPr>
                      <w:rFonts w:hint="eastAsia"/>
                      <w:color w:val="auto"/>
                    </w:rPr>
                    <w:t>-08</w:t>
                  </w:r>
                </w:p>
              </w:tc>
              <w:tc>
                <w:tcPr>
                  <w:tcW w:w="883" w:type="dxa"/>
                  <w:vMerge w:val="continue"/>
                  <w:noWrap w:val="0"/>
                  <w:vAlign w:val="center"/>
                </w:tcPr>
                <w:p w14:paraId="5D2B19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rPr>
                  </w:pPr>
                </w:p>
              </w:tc>
              <w:tc>
                <w:tcPr>
                  <w:tcW w:w="797" w:type="dxa"/>
                  <w:noWrap w:val="0"/>
                  <w:vAlign w:val="center"/>
                </w:tcPr>
                <w:p w14:paraId="405976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rPr>
                  </w:pPr>
                  <w:r>
                    <w:rPr>
                      <w:rFonts w:hint="eastAsia"/>
                      <w:color w:val="auto"/>
                    </w:rPr>
                    <w:t>T，I</w:t>
                  </w:r>
                </w:p>
              </w:tc>
              <w:tc>
                <w:tcPr>
                  <w:tcW w:w="1247" w:type="dxa"/>
                  <w:vMerge w:val="continue"/>
                  <w:noWrap w:val="0"/>
                  <w:vAlign w:val="center"/>
                </w:tcPr>
                <w:p w14:paraId="2239F6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rPr>
                  </w:pPr>
                </w:p>
              </w:tc>
            </w:tr>
            <w:tr w14:paraId="08B8A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590" w:type="dxa"/>
                  <w:noWrap w:val="0"/>
                  <w:vAlign w:val="center"/>
                </w:tcPr>
                <w:p w14:paraId="12FD94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lang w:eastAsia="zh-CN"/>
                    </w:rPr>
                  </w:pPr>
                  <w:r>
                    <w:rPr>
                      <w:rFonts w:hint="eastAsia"/>
                      <w:color w:val="auto"/>
                      <w:lang w:val="en-US" w:eastAsia="zh-CN"/>
                    </w:rPr>
                    <w:t>3</w:t>
                  </w:r>
                </w:p>
              </w:tc>
              <w:tc>
                <w:tcPr>
                  <w:tcW w:w="1425" w:type="dxa"/>
                  <w:noWrap w:val="0"/>
                  <w:vAlign w:val="center"/>
                </w:tcPr>
                <w:p w14:paraId="17974C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r>
                    <w:rPr>
                      <w:rFonts w:hint="eastAsia"/>
                      <w:color w:val="auto"/>
                    </w:rPr>
                    <w:t>废油桶</w:t>
                  </w:r>
                </w:p>
              </w:tc>
              <w:tc>
                <w:tcPr>
                  <w:tcW w:w="1533" w:type="dxa"/>
                  <w:vMerge w:val="restart"/>
                  <w:noWrap w:val="0"/>
                  <w:vAlign w:val="center"/>
                </w:tcPr>
                <w:p w14:paraId="77C1F2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rPr>
                  </w:pPr>
                  <w:r>
                    <w:rPr>
                      <w:rFonts w:hint="eastAsia"/>
                      <w:color w:val="auto"/>
                      <w:lang w:val="en-US" w:eastAsia="zh-CN"/>
                    </w:rPr>
                    <w:t>HW49其他废物</w:t>
                  </w:r>
                </w:p>
              </w:tc>
              <w:tc>
                <w:tcPr>
                  <w:tcW w:w="1362" w:type="dxa"/>
                  <w:noWrap w:val="0"/>
                  <w:vAlign w:val="center"/>
                </w:tcPr>
                <w:p w14:paraId="729F2A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rPr>
                  </w:pPr>
                  <w:r>
                    <w:rPr>
                      <w:rFonts w:hint="eastAsia"/>
                      <w:color w:val="auto"/>
                    </w:rPr>
                    <w:t>900-041-49</w:t>
                  </w:r>
                </w:p>
              </w:tc>
              <w:tc>
                <w:tcPr>
                  <w:tcW w:w="883" w:type="dxa"/>
                  <w:vMerge w:val="continue"/>
                  <w:noWrap w:val="0"/>
                  <w:vAlign w:val="center"/>
                </w:tcPr>
                <w:p w14:paraId="381883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p>
              </w:tc>
              <w:tc>
                <w:tcPr>
                  <w:tcW w:w="797" w:type="dxa"/>
                  <w:vMerge w:val="restart"/>
                  <w:noWrap w:val="0"/>
                  <w:vAlign w:val="center"/>
                </w:tcPr>
                <w:p w14:paraId="78605C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rPr>
                  </w:pPr>
                  <w:r>
                    <w:rPr>
                      <w:rFonts w:hint="eastAsia"/>
                      <w:color w:val="auto"/>
                    </w:rPr>
                    <w:t>T/In</w:t>
                  </w:r>
                </w:p>
              </w:tc>
              <w:tc>
                <w:tcPr>
                  <w:tcW w:w="1247" w:type="dxa"/>
                  <w:vMerge w:val="continue"/>
                  <w:noWrap w:val="0"/>
                  <w:vAlign w:val="center"/>
                </w:tcPr>
                <w:p w14:paraId="7C727F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p>
              </w:tc>
            </w:tr>
            <w:tr w14:paraId="6D1C5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590" w:type="dxa"/>
                  <w:noWrap w:val="0"/>
                  <w:vAlign w:val="center"/>
                </w:tcPr>
                <w:p w14:paraId="0702F2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lang w:val="en-US" w:eastAsia="zh-CN"/>
                    </w:rPr>
                  </w:pPr>
                  <w:r>
                    <w:rPr>
                      <w:rFonts w:hint="eastAsia"/>
                      <w:color w:val="auto"/>
                      <w:lang w:val="en-US" w:eastAsia="zh-CN"/>
                    </w:rPr>
                    <w:t>4</w:t>
                  </w:r>
                </w:p>
              </w:tc>
              <w:tc>
                <w:tcPr>
                  <w:tcW w:w="1425" w:type="dxa"/>
                  <w:noWrap w:val="0"/>
                  <w:vAlign w:val="center"/>
                </w:tcPr>
                <w:p w14:paraId="33E582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rPr>
                  </w:pPr>
                  <w:r>
                    <w:rPr>
                      <w:rFonts w:hint="eastAsia"/>
                      <w:color w:val="auto"/>
                      <w:lang w:val="en-US" w:eastAsia="zh-CN"/>
                    </w:rPr>
                    <w:t>含油废抹布、废手套</w:t>
                  </w:r>
                </w:p>
              </w:tc>
              <w:tc>
                <w:tcPr>
                  <w:tcW w:w="1533" w:type="dxa"/>
                  <w:vMerge w:val="continue"/>
                  <w:noWrap w:val="0"/>
                  <w:vAlign w:val="center"/>
                </w:tcPr>
                <w:p w14:paraId="72BF86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rPr>
                  </w:pPr>
                </w:p>
              </w:tc>
              <w:tc>
                <w:tcPr>
                  <w:tcW w:w="1362" w:type="dxa"/>
                  <w:noWrap w:val="0"/>
                  <w:vAlign w:val="center"/>
                </w:tcPr>
                <w:p w14:paraId="23B0F9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rPr>
                  </w:pPr>
                  <w:r>
                    <w:rPr>
                      <w:rFonts w:hint="eastAsia"/>
                      <w:color w:val="auto"/>
                    </w:rPr>
                    <w:t>900-041-49</w:t>
                  </w:r>
                </w:p>
              </w:tc>
              <w:tc>
                <w:tcPr>
                  <w:tcW w:w="883" w:type="dxa"/>
                  <w:vMerge w:val="continue"/>
                  <w:noWrap w:val="0"/>
                  <w:vAlign w:val="center"/>
                </w:tcPr>
                <w:p w14:paraId="391A61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p>
              </w:tc>
              <w:tc>
                <w:tcPr>
                  <w:tcW w:w="797" w:type="dxa"/>
                  <w:vMerge w:val="continue"/>
                  <w:noWrap w:val="0"/>
                  <w:vAlign w:val="center"/>
                </w:tcPr>
                <w:p w14:paraId="331EA7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rPr>
                  </w:pPr>
                </w:p>
              </w:tc>
              <w:tc>
                <w:tcPr>
                  <w:tcW w:w="1247" w:type="dxa"/>
                  <w:vMerge w:val="continue"/>
                  <w:noWrap w:val="0"/>
                  <w:vAlign w:val="center"/>
                </w:tcPr>
                <w:p w14:paraId="0E6D58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p>
              </w:tc>
            </w:tr>
          </w:tbl>
          <w:p w14:paraId="7FCCDFCB">
            <w:pPr>
              <w:ind w:firstLine="482"/>
              <w:jc w:val="center"/>
              <w:rPr>
                <w:rFonts w:hint="eastAsia"/>
                <w:b/>
                <w:bCs/>
                <w:color w:val="auto"/>
                <w:highlight w:val="none"/>
              </w:rPr>
            </w:pPr>
            <w:r>
              <w:rPr>
                <w:rFonts w:hint="eastAsia"/>
                <w:b/>
                <w:bCs/>
                <w:color w:val="auto"/>
                <w:highlight w:val="none"/>
              </w:rPr>
              <w:t>表2-4危险废物的暂存表</w:t>
            </w:r>
          </w:p>
          <w:tbl>
            <w:tblPr>
              <w:tblStyle w:val="14"/>
              <w:tblW w:w="79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496"/>
              <w:gridCol w:w="1331"/>
              <w:gridCol w:w="987"/>
              <w:gridCol w:w="838"/>
              <w:gridCol w:w="1087"/>
              <w:gridCol w:w="775"/>
              <w:gridCol w:w="838"/>
              <w:gridCol w:w="822"/>
              <w:gridCol w:w="783"/>
            </w:tblGrid>
            <w:tr w14:paraId="63F1C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trPr>
              <w:tc>
                <w:tcPr>
                  <w:tcW w:w="311" w:type="pct"/>
                  <w:noWrap w:val="0"/>
                  <w:vAlign w:val="center"/>
                </w:tcPr>
                <w:p w14:paraId="6D87BC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rPr>
                  </w:pPr>
                  <w:r>
                    <w:rPr>
                      <w:rFonts w:hint="eastAsia"/>
                      <w:color w:val="auto"/>
                    </w:rPr>
                    <w:t>序号</w:t>
                  </w:r>
                </w:p>
              </w:tc>
              <w:tc>
                <w:tcPr>
                  <w:tcW w:w="836" w:type="pct"/>
                  <w:noWrap w:val="0"/>
                  <w:vAlign w:val="center"/>
                </w:tcPr>
                <w:p w14:paraId="052678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rPr>
                  </w:pPr>
                  <w:r>
                    <w:rPr>
                      <w:rFonts w:hint="eastAsia"/>
                      <w:color w:val="auto"/>
                    </w:rPr>
                    <w:t>废物名称</w:t>
                  </w:r>
                </w:p>
              </w:tc>
              <w:tc>
                <w:tcPr>
                  <w:tcW w:w="620" w:type="pct"/>
                  <w:noWrap w:val="0"/>
                  <w:vAlign w:val="center"/>
                </w:tcPr>
                <w:p w14:paraId="2D1CDB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rPr>
                  </w:pPr>
                  <w:r>
                    <w:rPr>
                      <w:rFonts w:hint="eastAsia"/>
                      <w:color w:val="auto"/>
                    </w:rPr>
                    <w:t>储存方式</w:t>
                  </w:r>
                </w:p>
              </w:tc>
              <w:tc>
                <w:tcPr>
                  <w:tcW w:w="526" w:type="pct"/>
                  <w:noWrap w:val="0"/>
                  <w:vAlign w:val="center"/>
                </w:tcPr>
                <w:p w14:paraId="4BF62E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r>
                    <w:rPr>
                      <w:rFonts w:hint="eastAsia"/>
                      <w:color w:val="auto"/>
                    </w:rPr>
                    <w:t>物理状态</w:t>
                  </w:r>
                </w:p>
              </w:tc>
              <w:tc>
                <w:tcPr>
                  <w:tcW w:w="683" w:type="pct"/>
                  <w:noWrap w:val="0"/>
                  <w:vAlign w:val="center"/>
                </w:tcPr>
                <w:p w14:paraId="007679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lang w:val="en-US" w:eastAsia="zh-CN"/>
                    </w:rPr>
                  </w:pPr>
                  <w:r>
                    <w:rPr>
                      <w:rFonts w:hint="eastAsia"/>
                      <w:color w:val="auto"/>
                      <w:lang w:val="en-US" w:eastAsia="zh-CN"/>
                    </w:rPr>
                    <w:t>位置</w:t>
                  </w:r>
                </w:p>
              </w:tc>
              <w:tc>
                <w:tcPr>
                  <w:tcW w:w="486" w:type="pct"/>
                  <w:noWrap w:val="0"/>
                  <w:vAlign w:val="center"/>
                </w:tcPr>
                <w:p w14:paraId="4F88D2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lang w:val="en-US" w:eastAsia="zh-CN"/>
                    </w:rPr>
                  </w:pPr>
                  <w:r>
                    <w:rPr>
                      <w:rFonts w:hint="eastAsia"/>
                      <w:color w:val="auto"/>
                      <w:lang w:val="en-US" w:eastAsia="zh-CN"/>
                    </w:rPr>
                    <w:t>占地面积</w:t>
                  </w:r>
                </w:p>
              </w:tc>
              <w:tc>
                <w:tcPr>
                  <w:tcW w:w="526" w:type="pct"/>
                  <w:noWrap w:val="0"/>
                  <w:vAlign w:val="center"/>
                </w:tcPr>
                <w:p w14:paraId="2181F4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lang w:val="en-US" w:eastAsia="zh-CN"/>
                    </w:rPr>
                  </w:pPr>
                  <w:r>
                    <w:rPr>
                      <w:rFonts w:hint="eastAsia"/>
                      <w:color w:val="auto"/>
                      <w:lang w:val="en-US" w:eastAsia="zh-CN"/>
                    </w:rPr>
                    <w:t>产生量（t/a）</w:t>
                  </w:r>
                </w:p>
              </w:tc>
              <w:tc>
                <w:tcPr>
                  <w:tcW w:w="516" w:type="pct"/>
                  <w:noWrap w:val="0"/>
                  <w:vAlign w:val="center"/>
                </w:tcPr>
                <w:p w14:paraId="5AAB62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rPr>
                  </w:pPr>
                  <w:r>
                    <w:rPr>
                      <w:rFonts w:hint="eastAsia"/>
                      <w:color w:val="auto"/>
                    </w:rPr>
                    <w:t>最大储存量</w:t>
                  </w:r>
                </w:p>
              </w:tc>
              <w:tc>
                <w:tcPr>
                  <w:tcW w:w="492" w:type="pct"/>
                  <w:noWrap w:val="0"/>
                  <w:vAlign w:val="center"/>
                </w:tcPr>
                <w:p w14:paraId="24944F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rPr>
                  </w:pPr>
                  <w:r>
                    <w:rPr>
                      <w:rFonts w:hint="eastAsia"/>
                      <w:color w:val="auto"/>
                    </w:rPr>
                    <w:t>暂存周期</w:t>
                  </w:r>
                </w:p>
              </w:tc>
            </w:tr>
            <w:tr w14:paraId="0D6EA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37" w:hRule="atLeast"/>
              </w:trPr>
              <w:tc>
                <w:tcPr>
                  <w:tcW w:w="311" w:type="pct"/>
                  <w:noWrap w:val="0"/>
                  <w:vAlign w:val="center"/>
                </w:tcPr>
                <w:p w14:paraId="52089A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rPr>
                  </w:pPr>
                  <w:r>
                    <w:rPr>
                      <w:rFonts w:hint="eastAsia"/>
                      <w:color w:val="auto"/>
                    </w:rPr>
                    <w:t>1</w:t>
                  </w:r>
                </w:p>
              </w:tc>
              <w:tc>
                <w:tcPr>
                  <w:tcW w:w="836" w:type="pct"/>
                  <w:noWrap w:val="0"/>
                  <w:vAlign w:val="center"/>
                </w:tcPr>
                <w:p w14:paraId="78014E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lang w:eastAsia="zh-CN"/>
                    </w:rPr>
                  </w:pPr>
                  <w:r>
                    <w:rPr>
                      <w:rFonts w:hint="eastAsia"/>
                      <w:color w:val="auto"/>
                      <w:lang w:eastAsia="zh-CN"/>
                    </w:rPr>
                    <w:t>废润滑油</w:t>
                  </w:r>
                </w:p>
              </w:tc>
              <w:tc>
                <w:tcPr>
                  <w:tcW w:w="620" w:type="pct"/>
                  <w:noWrap w:val="0"/>
                  <w:vAlign w:val="center"/>
                </w:tcPr>
                <w:p w14:paraId="7FBF7D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lang w:eastAsia="zh-CN"/>
                    </w:rPr>
                  </w:pPr>
                  <w:r>
                    <w:rPr>
                      <w:rFonts w:hint="eastAsia"/>
                      <w:color w:val="auto"/>
                      <w:lang w:eastAsia="zh-CN"/>
                    </w:rPr>
                    <w:t>密封桶盛装</w:t>
                  </w:r>
                </w:p>
              </w:tc>
              <w:tc>
                <w:tcPr>
                  <w:tcW w:w="526" w:type="pct"/>
                  <w:noWrap w:val="0"/>
                  <w:vAlign w:val="center"/>
                </w:tcPr>
                <w:p w14:paraId="45CFA7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lang w:eastAsia="zh-CN"/>
                    </w:rPr>
                  </w:pPr>
                  <w:r>
                    <w:rPr>
                      <w:rFonts w:hint="eastAsia"/>
                      <w:color w:val="auto"/>
                      <w:lang w:eastAsia="zh-CN"/>
                    </w:rPr>
                    <w:t>液态</w:t>
                  </w:r>
                </w:p>
              </w:tc>
              <w:tc>
                <w:tcPr>
                  <w:tcW w:w="683" w:type="pct"/>
                  <w:noWrap w:val="0"/>
                  <w:vAlign w:val="center"/>
                </w:tcPr>
                <w:p w14:paraId="402F75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lang w:val="en-US" w:eastAsia="zh-CN"/>
                    </w:rPr>
                  </w:pPr>
                  <w:r>
                    <w:rPr>
                      <w:rFonts w:hint="eastAsia"/>
                      <w:color w:val="auto"/>
                      <w:lang w:val="en-US" w:eastAsia="zh-CN"/>
                    </w:rPr>
                    <w:t>分区一</w:t>
                  </w:r>
                </w:p>
              </w:tc>
              <w:tc>
                <w:tcPr>
                  <w:tcW w:w="486" w:type="pct"/>
                  <w:noWrap w:val="0"/>
                  <w:vAlign w:val="center"/>
                </w:tcPr>
                <w:p w14:paraId="26805D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lang w:val="en-US" w:eastAsia="zh-CN"/>
                    </w:rPr>
                  </w:pPr>
                  <w:r>
                    <w:rPr>
                      <w:rFonts w:hint="eastAsia"/>
                      <w:color w:val="auto"/>
                      <w:lang w:val="en-US" w:eastAsia="zh-CN"/>
                    </w:rPr>
                    <w:t>3㎡</w:t>
                  </w:r>
                </w:p>
              </w:tc>
              <w:tc>
                <w:tcPr>
                  <w:tcW w:w="526" w:type="pct"/>
                  <w:noWrap w:val="0"/>
                  <w:vAlign w:val="center"/>
                </w:tcPr>
                <w:p w14:paraId="4ACDC5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lang w:val="en-US" w:eastAsia="zh-CN"/>
                    </w:rPr>
                  </w:pPr>
                  <w:r>
                    <w:rPr>
                      <w:rFonts w:hint="eastAsia"/>
                      <w:color w:val="auto"/>
                      <w:lang w:val="en-US" w:eastAsia="zh-CN"/>
                    </w:rPr>
                    <w:t>5</w:t>
                  </w:r>
                </w:p>
              </w:tc>
              <w:tc>
                <w:tcPr>
                  <w:tcW w:w="516" w:type="pct"/>
                  <w:noWrap w:val="0"/>
                  <w:vAlign w:val="center"/>
                </w:tcPr>
                <w:p w14:paraId="01F85E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rPr>
                  </w:pPr>
                  <w:r>
                    <w:rPr>
                      <w:rFonts w:hint="eastAsia"/>
                      <w:color w:val="auto"/>
                      <w:lang w:val="en-US" w:eastAsia="zh-CN"/>
                    </w:rPr>
                    <w:t>1.5</w:t>
                  </w:r>
                  <w:r>
                    <w:rPr>
                      <w:rFonts w:hint="eastAsia"/>
                      <w:color w:val="auto"/>
                    </w:rPr>
                    <w:t>t</w:t>
                  </w:r>
                </w:p>
              </w:tc>
              <w:tc>
                <w:tcPr>
                  <w:tcW w:w="492" w:type="pct"/>
                  <w:noWrap w:val="0"/>
                  <w:vAlign w:val="center"/>
                </w:tcPr>
                <w:p w14:paraId="5D96C7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lang w:val="en-US" w:eastAsia="zh-CN"/>
                    </w:rPr>
                  </w:pPr>
                  <w:r>
                    <w:rPr>
                      <w:rFonts w:hint="eastAsia"/>
                      <w:color w:val="auto"/>
                      <w:lang w:val="en-US" w:eastAsia="zh-CN"/>
                    </w:rPr>
                    <w:t>108d</w:t>
                  </w:r>
                </w:p>
              </w:tc>
            </w:tr>
            <w:tr w14:paraId="0BBCA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88" w:hRule="atLeast"/>
              </w:trPr>
              <w:tc>
                <w:tcPr>
                  <w:tcW w:w="311" w:type="pct"/>
                  <w:noWrap w:val="0"/>
                  <w:vAlign w:val="center"/>
                </w:tcPr>
                <w:p w14:paraId="216637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lang w:val="en-US" w:eastAsia="zh-CN"/>
                    </w:rPr>
                  </w:pPr>
                  <w:r>
                    <w:rPr>
                      <w:rFonts w:hint="eastAsia"/>
                      <w:color w:val="auto"/>
                      <w:lang w:val="en-US" w:eastAsia="zh-CN"/>
                    </w:rPr>
                    <w:t>2</w:t>
                  </w:r>
                </w:p>
              </w:tc>
              <w:tc>
                <w:tcPr>
                  <w:tcW w:w="836" w:type="pct"/>
                  <w:noWrap w:val="0"/>
                  <w:vAlign w:val="center"/>
                </w:tcPr>
                <w:p w14:paraId="4DF365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lang w:val="en-US" w:eastAsia="zh-CN"/>
                    </w:rPr>
                  </w:pPr>
                  <w:r>
                    <w:rPr>
                      <w:rFonts w:hint="eastAsia"/>
                      <w:color w:val="auto"/>
                      <w:lang w:val="en-US" w:eastAsia="zh-CN"/>
                    </w:rPr>
                    <w:t>废机油</w:t>
                  </w:r>
                </w:p>
              </w:tc>
              <w:tc>
                <w:tcPr>
                  <w:tcW w:w="620" w:type="pct"/>
                  <w:noWrap w:val="0"/>
                  <w:vAlign w:val="center"/>
                </w:tcPr>
                <w:p w14:paraId="7620C5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lang w:val="en-US" w:eastAsia="zh-CN"/>
                    </w:rPr>
                  </w:pPr>
                  <w:r>
                    <w:rPr>
                      <w:rFonts w:hint="eastAsia"/>
                      <w:color w:val="auto"/>
                      <w:lang w:eastAsia="zh-CN"/>
                    </w:rPr>
                    <w:t>密封桶盛装</w:t>
                  </w:r>
                </w:p>
              </w:tc>
              <w:tc>
                <w:tcPr>
                  <w:tcW w:w="526" w:type="pct"/>
                  <w:noWrap w:val="0"/>
                  <w:vAlign w:val="center"/>
                </w:tcPr>
                <w:p w14:paraId="09E1E5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lang w:val="en-US" w:eastAsia="zh-CN"/>
                    </w:rPr>
                  </w:pPr>
                  <w:r>
                    <w:rPr>
                      <w:rFonts w:hint="eastAsia"/>
                      <w:color w:val="auto"/>
                      <w:lang w:eastAsia="zh-CN"/>
                    </w:rPr>
                    <w:t>液态</w:t>
                  </w:r>
                </w:p>
              </w:tc>
              <w:tc>
                <w:tcPr>
                  <w:tcW w:w="683" w:type="pct"/>
                  <w:noWrap w:val="0"/>
                  <w:vAlign w:val="center"/>
                </w:tcPr>
                <w:p w14:paraId="05D777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lang w:val="en-US" w:eastAsia="zh-CN"/>
                    </w:rPr>
                  </w:pPr>
                  <w:r>
                    <w:rPr>
                      <w:rFonts w:hint="eastAsia"/>
                      <w:color w:val="auto"/>
                      <w:lang w:val="en-US" w:eastAsia="zh-CN"/>
                    </w:rPr>
                    <w:t>分区二</w:t>
                  </w:r>
                </w:p>
              </w:tc>
              <w:tc>
                <w:tcPr>
                  <w:tcW w:w="486" w:type="pct"/>
                  <w:noWrap w:val="0"/>
                  <w:vAlign w:val="center"/>
                </w:tcPr>
                <w:p w14:paraId="7D99E63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lang w:val="en-US" w:eastAsia="zh-CN"/>
                    </w:rPr>
                  </w:pPr>
                  <w:r>
                    <w:rPr>
                      <w:rFonts w:hint="eastAsia"/>
                      <w:color w:val="auto"/>
                      <w:lang w:val="en-US" w:eastAsia="zh-CN"/>
                    </w:rPr>
                    <w:t>1.5㎡</w:t>
                  </w:r>
                </w:p>
              </w:tc>
              <w:tc>
                <w:tcPr>
                  <w:tcW w:w="526" w:type="pct"/>
                  <w:noWrap w:val="0"/>
                  <w:vAlign w:val="center"/>
                </w:tcPr>
                <w:p w14:paraId="78FC07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lang w:val="en-US" w:eastAsia="zh-CN"/>
                    </w:rPr>
                  </w:pPr>
                  <w:r>
                    <w:rPr>
                      <w:rFonts w:hint="eastAsia"/>
                      <w:color w:val="auto"/>
                      <w:lang w:val="en-US" w:eastAsia="zh-CN"/>
                    </w:rPr>
                    <w:t>1</w:t>
                  </w:r>
                </w:p>
              </w:tc>
              <w:tc>
                <w:tcPr>
                  <w:tcW w:w="516" w:type="pct"/>
                  <w:noWrap w:val="0"/>
                  <w:vAlign w:val="center"/>
                </w:tcPr>
                <w:p w14:paraId="17C0EB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lang w:val="en-US" w:eastAsia="zh-CN"/>
                    </w:rPr>
                  </w:pPr>
                  <w:r>
                    <w:rPr>
                      <w:rFonts w:hint="eastAsia"/>
                      <w:color w:val="auto"/>
                      <w:lang w:val="en-US" w:eastAsia="zh-CN"/>
                    </w:rPr>
                    <w:t>0.5t</w:t>
                  </w:r>
                </w:p>
              </w:tc>
              <w:tc>
                <w:tcPr>
                  <w:tcW w:w="492" w:type="pct"/>
                  <w:noWrap w:val="0"/>
                  <w:vAlign w:val="center"/>
                </w:tcPr>
                <w:p w14:paraId="4B261B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lang w:val="en-US" w:eastAsia="zh-CN"/>
                    </w:rPr>
                  </w:pPr>
                  <w:r>
                    <w:rPr>
                      <w:rFonts w:hint="eastAsia"/>
                      <w:color w:val="auto"/>
                      <w:lang w:val="en-US" w:eastAsia="zh-CN"/>
                    </w:rPr>
                    <w:t>183d</w:t>
                  </w:r>
                </w:p>
              </w:tc>
            </w:tr>
            <w:tr w14:paraId="4D949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7" w:hRule="atLeast"/>
              </w:trPr>
              <w:tc>
                <w:tcPr>
                  <w:tcW w:w="311" w:type="pct"/>
                  <w:noWrap w:val="0"/>
                  <w:vAlign w:val="center"/>
                </w:tcPr>
                <w:p w14:paraId="683858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lang w:val="en-US" w:eastAsia="zh-CN"/>
                    </w:rPr>
                  </w:pPr>
                  <w:r>
                    <w:rPr>
                      <w:rFonts w:hint="eastAsia"/>
                      <w:color w:val="auto"/>
                      <w:lang w:val="en-US" w:eastAsia="zh-CN"/>
                    </w:rPr>
                    <w:t>3</w:t>
                  </w:r>
                </w:p>
              </w:tc>
              <w:tc>
                <w:tcPr>
                  <w:tcW w:w="836" w:type="pct"/>
                  <w:noWrap w:val="0"/>
                  <w:vAlign w:val="center"/>
                </w:tcPr>
                <w:p w14:paraId="13C390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lang w:val="en-US" w:eastAsia="zh-CN"/>
                    </w:rPr>
                  </w:pPr>
                  <w:r>
                    <w:rPr>
                      <w:rFonts w:hint="eastAsia"/>
                      <w:color w:val="auto"/>
                    </w:rPr>
                    <w:t>废油桶</w:t>
                  </w:r>
                </w:p>
              </w:tc>
              <w:tc>
                <w:tcPr>
                  <w:tcW w:w="620" w:type="pct"/>
                  <w:noWrap w:val="0"/>
                  <w:vAlign w:val="center"/>
                </w:tcPr>
                <w:p w14:paraId="0F3DC4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lang w:eastAsia="zh-CN"/>
                    </w:rPr>
                  </w:pPr>
                  <w:r>
                    <w:rPr>
                      <w:rFonts w:hint="eastAsia"/>
                      <w:color w:val="auto"/>
                      <w:lang w:val="en-US" w:eastAsia="zh-CN"/>
                    </w:rPr>
                    <w:t>加盖密封存储</w:t>
                  </w:r>
                </w:p>
              </w:tc>
              <w:tc>
                <w:tcPr>
                  <w:tcW w:w="526" w:type="pct"/>
                  <w:noWrap w:val="0"/>
                  <w:vAlign w:val="center"/>
                </w:tcPr>
                <w:p w14:paraId="7B7084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lang w:eastAsia="zh-CN"/>
                    </w:rPr>
                  </w:pPr>
                  <w:r>
                    <w:rPr>
                      <w:rFonts w:hint="eastAsia"/>
                      <w:color w:val="auto"/>
                      <w:lang w:val="en-US" w:eastAsia="zh-CN"/>
                    </w:rPr>
                    <w:t>固态</w:t>
                  </w:r>
                </w:p>
              </w:tc>
              <w:tc>
                <w:tcPr>
                  <w:tcW w:w="683" w:type="pct"/>
                  <w:noWrap w:val="0"/>
                  <w:vAlign w:val="center"/>
                </w:tcPr>
                <w:p w14:paraId="17C51B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lang w:val="en-US" w:eastAsia="zh-CN"/>
                    </w:rPr>
                  </w:pPr>
                  <w:r>
                    <w:rPr>
                      <w:rFonts w:hint="eastAsia"/>
                      <w:color w:val="auto"/>
                      <w:lang w:val="en-US" w:eastAsia="zh-CN"/>
                    </w:rPr>
                    <w:t>分区三</w:t>
                  </w:r>
                </w:p>
              </w:tc>
              <w:tc>
                <w:tcPr>
                  <w:tcW w:w="486" w:type="pct"/>
                  <w:vMerge w:val="restart"/>
                  <w:noWrap w:val="0"/>
                  <w:vAlign w:val="center"/>
                </w:tcPr>
                <w:p w14:paraId="4637D9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lang w:eastAsia="zh-CN"/>
                    </w:rPr>
                  </w:pPr>
                  <w:r>
                    <w:rPr>
                      <w:rFonts w:hint="eastAsia"/>
                      <w:color w:val="auto"/>
                      <w:lang w:val="en-US" w:eastAsia="zh-CN"/>
                    </w:rPr>
                    <w:t>2㎡</w:t>
                  </w:r>
                </w:p>
              </w:tc>
              <w:tc>
                <w:tcPr>
                  <w:tcW w:w="526" w:type="pct"/>
                  <w:noWrap w:val="0"/>
                  <w:vAlign w:val="center"/>
                </w:tcPr>
                <w:p w14:paraId="36C092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lang w:val="en-US" w:eastAsia="zh-CN"/>
                    </w:rPr>
                  </w:pPr>
                  <w:r>
                    <w:rPr>
                      <w:rFonts w:hint="eastAsia"/>
                      <w:color w:val="auto"/>
                      <w:lang w:val="en-US" w:eastAsia="zh-CN"/>
                    </w:rPr>
                    <w:t>0.04</w:t>
                  </w:r>
                </w:p>
              </w:tc>
              <w:tc>
                <w:tcPr>
                  <w:tcW w:w="516" w:type="pct"/>
                  <w:noWrap w:val="0"/>
                  <w:vAlign w:val="center"/>
                </w:tcPr>
                <w:p w14:paraId="15EC73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rPr>
                  </w:pPr>
                  <w:r>
                    <w:rPr>
                      <w:rFonts w:hint="eastAsia"/>
                      <w:color w:val="auto"/>
                    </w:rPr>
                    <w:t>0.</w:t>
                  </w:r>
                  <w:r>
                    <w:rPr>
                      <w:rFonts w:hint="eastAsia"/>
                      <w:color w:val="auto"/>
                      <w:lang w:val="en-US" w:eastAsia="zh-CN"/>
                    </w:rPr>
                    <w:t>02</w:t>
                  </w:r>
                  <w:r>
                    <w:rPr>
                      <w:rFonts w:hint="eastAsia"/>
                      <w:color w:val="auto"/>
                    </w:rPr>
                    <w:t>t</w:t>
                  </w:r>
                </w:p>
              </w:tc>
              <w:tc>
                <w:tcPr>
                  <w:tcW w:w="492" w:type="pct"/>
                  <w:noWrap w:val="0"/>
                  <w:vAlign w:val="center"/>
                </w:tcPr>
                <w:p w14:paraId="33F9B5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lang w:val="en-US" w:eastAsia="zh-CN"/>
                    </w:rPr>
                  </w:pPr>
                  <w:r>
                    <w:rPr>
                      <w:rFonts w:hint="eastAsia"/>
                      <w:color w:val="auto"/>
                      <w:lang w:val="en-US" w:eastAsia="zh-CN"/>
                    </w:rPr>
                    <w:t>183d</w:t>
                  </w:r>
                </w:p>
              </w:tc>
            </w:tr>
            <w:tr w14:paraId="266E0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77" w:hRule="atLeast"/>
              </w:trPr>
              <w:tc>
                <w:tcPr>
                  <w:tcW w:w="311" w:type="pct"/>
                  <w:noWrap w:val="0"/>
                  <w:vAlign w:val="center"/>
                </w:tcPr>
                <w:p w14:paraId="2CCFB6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lang w:val="en-US" w:eastAsia="zh-CN"/>
                    </w:rPr>
                  </w:pPr>
                  <w:r>
                    <w:rPr>
                      <w:rFonts w:hint="eastAsia"/>
                      <w:color w:val="auto"/>
                      <w:lang w:val="en-US" w:eastAsia="zh-CN"/>
                    </w:rPr>
                    <w:t>4</w:t>
                  </w:r>
                </w:p>
              </w:tc>
              <w:tc>
                <w:tcPr>
                  <w:tcW w:w="836" w:type="pct"/>
                  <w:noWrap w:val="0"/>
                  <w:vAlign w:val="center"/>
                </w:tcPr>
                <w:p w14:paraId="509686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lang w:val="en-US" w:eastAsia="zh-CN"/>
                    </w:rPr>
                  </w:pPr>
                  <w:r>
                    <w:rPr>
                      <w:rFonts w:hint="eastAsia"/>
                      <w:color w:val="auto"/>
                      <w:lang w:val="en-US" w:eastAsia="zh-CN"/>
                    </w:rPr>
                    <w:t>含油废抹布、废手套</w:t>
                  </w:r>
                </w:p>
              </w:tc>
              <w:tc>
                <w:tcPr>
                  <w:tcW w:w="620" w:type="pct"/>
                  <w:noWrap w:val="0"/>
                  <w:vAlign w:val="center"/>
                </w:tcPr>
                <w:p w14:paraId="7B9967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lang w:val="en-US" w:eastAsia="zh-CN"/>
                    </w:rPr>
                  </w:pPr>
                  <w:r>
                    <w:rPr>
                      <w:rFonts w:hint="eastAsia"/>
                      <w:color w:val="auto"/>
                      <w:lang w:val="en-US" w:eastAsia="zh-CN"/>
                    </w:rPr>
                    <w:t>密闭桶装</w:t>
                  </w:r>
                </w:p>
              </w:tc>
              <w:tc>
                <w:tcPr>
                  <w:tcW w:w="526" w:type="pct"/>
                  <w:noWrap w:val="0"/>
                  <w:vAlign w:val="center"/>
                </w:tcPr>
                <w:p w14:paraId="73FD76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lang w:val="en-US" w:eastAsia="zh-CN"/>
                    </w:rPr>
                  </w:pPr>
                  <w:r>
                    <w:rPr>
                      <w:rFonts w:hint="eastAsia"/>
                      <w:color w:val="auto"/>
                      <w:lang w:val="en-US" w:eastAsia="zh-CN"/>
                    </w:rPr>
                    <w:t>固态</w:t>
                  </w:r>
                </w:p>
              </w:tc>
              <w:tc>
                <w:tcPr>
                  <w:tcW w:w="683" w:type="pct"/>
                  <w:noWrap w:val="0"/>
                  <w:vAlign w:val="center"/>
                </w:tcPr>
                <w:p w14:paraId="2D28D0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lang w:val="en-US" w:eastAsia="zh-CN"/>
                    </w:rPr>
                  </w:pPr>
                  <w:r>
                    <w:rPr>
                      <w:rFonts w:hint="eastAsia"/>
                      <w:color w:val="auto"/>
                      <w:lang w:val="en-US" w:eastAsia="zh-CN"/>
                    </w:rPr>
                    <w:t>分区三</w:t>
                  </w:r>
                </w:p>
              </w:tc>
              <w:tc>
                <w:tcPr>
                  <w:tcW w:w="486" w:type="pct"/>
                  <w:vMerge w:val="continue"/>
                  <w:noWrap w:val="0"/>
                  <w:vAlign w:val="center"/>
                </w:tcPr>
                <w:p w14:paraId="59B51A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lang w:val="en-US" w:eastAsia="zh-CN"/>
                    </w:rPr>
                  </w:pPr>
                </w:p>
              </w:tc>
              <w:tc>
                <w:tcPr>
                  <w:tcW w:w="526" w:type="pct"/>
                  <w:noWrap w:val="0"/>
                  <w:vAlign w:val="center"/>
                </w:tcPr>
                <w:p w14:paraId="582A63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lang w:val="en-US" w:eastAsia="zh-CN"/>
                    </w:rPr>
                  </w:pPr>
                  <w:r>
                    <w:rPr>
                      <w:rFonts w:hint="eastAsia"/>
                      <w:color w:val="auto"/>
                      <w:lang w:val="en-US" w:eastAsia="zh-CN"/>
                    </w:rPr>
                    <w:t>0.01t/a</w:t>
                  </w:r>
                </w:p>
              </w:tc>
              <w:tc>
                <w:tcPr>
                  <w:tcW w:w="516" w:type="pct"/>
                  <w:noWrap w:val="0"/>
                  <w:vAlign w:val="center"/>
                </w:tcPr>
                <w:p w14:paraId="1561D0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lang w:val="en-US" w:eastAsia="zh-CN"/>
                    </w:rPr>
                  </w:pPr>
                  <w:r>
                    <w:rPr>
                      <w:rFonts w:hint="eastAsia"/>
                      <w:color w:val="auto"/>
                      <w:lang w:val="en-US" w:eastAsia="zh-CN"/>
                    </w:rPr>
                    <w:t>0.005t</w:t>
                  </w:r>
                </w:p>
              </w:tc>
              <w:tc>
                <w:tcPr>
                  <w:tcW w:w="492" w:type="pct"/>
                  <w:noWrap w:val="0"/>
                  <w:vAlign w:val="center"/>
                </w:tcPr>
                <w:p w14:paraId="5A6616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lang w:val="en-US" w:eastAsia="zh-CN"/>
                    </w:rPr>
                  </w:pPr>
                  <w:r>
                    <w:rPr>
                      <w:rFonts w:hint="eastAsia"/>
                      <w:color w:val="auto"/>
                      <w:lang w:val="en-US" w:eastAsia="zh-CN"/>
                    </w:rPr>
                    <w:t>183d</w:t>
                  </w:r>
                </w:p>
              </w:tc>
            </w:tr>
          </w:tbl>
          <w:p w14:paraId="2C3F487B">
            <w:pPr>
              <w:ind w:firstLine="480"/>
              <w:rPr>
                <w:rFonts w:hint="eastAsia" w:eastAsia="宋体"/>
                <w:color w:val="auto"/>
                <w:highlight w:val="none"/>
                <w:lang w:eastAsia="zh-CN"/>
              </w:rPr>
            </w:pPr>
            <w:r>
              <w:rPr>
                <w:rFonts w:hint="eastAsia"/>
                <w:color w:val="auto"/>
                <w:highlight w:val="none"/>
              </w:rPr>
              <w:t>备注：单个废油桶0.0</w:t>
            </w:r>
            <w:r>
              <w:rPr>
                <w:rFonts w:hint="eastAsia"/>
                <w:color w:val="auto"/>
                <w:highlight w:val="none"/>
                <w:lang w:val="en-US" w:eastAsia="zh-CN"/>
              </w:rPr>
              <w:t>2</w:t>
            </w:r>
            <w:r>
              <w:rPr>
                <w:rFonts w:hint="eastAsia"/>
                <w:color w:val="auto"/>
                <w:highlight w:val="none"/>
              </w:rPr>
              <w:t>t。（产生废油桶</w:t>
            </w:r>
            <w:r>
              <w:rPr>
                <w:rFonts w:hint="eastAsia"/>
                <w:color w:val="auto"/>
                <w:highlight w:val="none"/>
                <w:lang w:val="en-US" w:eastAsia="zh-CN"/>
              </w:rPr>
              <w:t>2</w:t>
            </w:r>
            <w:r>
              <w:rPr>
                <w:rFonts w:hint="eastAsia"/>
                <w:color w:val="auto"/>
                <w:highlight w:val="none"/>
              </w:rPr>
              <w:t>个/a）</w:t>
            </w:r>
            <w:r>
              <w:rPr>
                <w:rFonts w:hint="eastAsia"/>
                <w:color w:val="auto"/>
                <w:highlight w:val="none"/>
                <w:lang w:eastAsia="zh-CN"/>
              </w:rPr>
              <w:t>。</w:t>
            </w:r>
          </w:p>
          <w:p w14:paraId="53BFB9C6">
            <w:pPr>
              <w:adjustRightInd w:val="0"/>
              <w:snapToGrid w:val="0"/>
              <w:ind w:firstLine="482"/>
              <w:rPr>
                <w:rFonts w:hint="eastAsia"/>
                <w:b/>
                <w:bCs/>
                <w:color w:val="auto"/>
                <w:highlight w:val="none"/>
              </w:rPr>
            </w:pPr>
            <w:r>
              <w:rPr>
                <w:rFonts w:hint="eastAsia"/>
                <w:b/>
                <w:bCs/>
                <w:color w:val="auto"/>
                <w:highlight w:val="none"/>
              </w:rPr>
              <w:t>（2）收集、储存方式</w:t>
            </w:r>
          </w:p>
          <w:p w14:paraId="2B543783">
            <w:pPr>
              <w:adjustRightInd w:val="0"/>
              <w:snapToGrid w:val="0"/>
              <w:ind w:firstLine="480"/>
              <w:rPr>
                <w:rFonts w:hint="eastAsia"/>
                <w:color w:val="auto"/>
                <w:highlight w:val="none"/>
              </w:rPr>
            </w:pPr>
            <w:r>
              <w:rPr>
                <w:rFonts w:hint="eastAsia"/>
                <w:color w:val="auto"/>
                <w:highlight w:val="none"/>
              </w:rPr>
              <w:t>本项目暂存</w:t>
            </w:r>
            <w:r>
              <w:rPr>
                <w:rFonts w:hint="eastAsia"/>
                <w:color w:val="auto"/>
                <w:highlight w:val="none"/>
                <w:lang w:eastAsia="zh-CN"/>
              </w:rPr>
              <w:t>鄂尔多斯市宇驰顺捷汽车销售服务有限公司</w:t>
            </w:r>
            <w:r>
              <w:rPr>
                <w:rFonts w:hint="eastAsia"/>
                <w:color w:val="auto"/>
                <w:highlight w:val="none"/>
              </w:rPr>
              <w:t>正常生产过程中产生的</w:t>
            </w:r>
            <w:r>
              <w:rPr>
                <w:rFonts w:hint="eastAsia"/>
                <w:color w:val="auto"/>
                <w:highlight w:val="none"/>
                <w:lang w:eastAsia="zh-CN"/>
              </w:rPr>
              <w:t>废润滑油、</w:t>
            </w:r>
            <w:r>
              <w:rPr>
                <w:rFonts w:hint="eastAsia"/>
                <w:color w:val="auto"/>
                <w:highlight w:val="none"/>
                <w:lang w:val="en-US" w:eastAsia="zh-CN"/>
              </w:rPr>
              <w:t>废机油、</w:t>
            </w:r>
            <w:r>
              <w:rPr>
                <w:rFonts w:hint="eastAsia"/>
                <w:color w:val="auto"/>
                <w:highlight w:val="none"/>
              </w:rPr>
              <w:t>废油桶均属于危险废物，暂存于</w:t>
            </w:r>
            <w:r>
              <w:rPr>
                <w:rFonts w:hint="eastAsia"/>
                <w:color w:val="auto"/>
                <w:highlight w:val="none"/>
                <w:lang w:eastAsia="zh-CN"/>
              </w:rPr>
              <w:t>危险废物贮存库</w:t>
            </w:r>
            <w:r>
              <w:rPr>
                <w:rFonts w:hint="eastAsia"/>
                <w:color w:val="auto"/>
                <w:highlight w:val="none"/>
              </w:rPr>
              <w:t>，</w:t>
            </w:r>
            <w:r>
              <w:rPr>
                <w:rFonts w:hint="eastAsia"/>
                <w:color w:val="auto"/>
                <w:highlight w:val="none"/>
                <w:lang w:val="en-US" w:eastAsia="zh-CN"/>
              </w:rPr>
              <w:t>定期</w:t>
            </w:r>
            <w:r>
              <w:rPr>
                <w:rFonts w:hint="eastAsia"/>
                <w:color w:val="auto"/>
                <w:highlight w:val="none"/>
              </w:rPr>
              <w:t>委托有资质单位拉运</w:t>
            </w:r>
            <w:r>
              <w:rPr>
                <w:rFonts w:hint="eastAsia"/>
                <w:color w:val="auto"/>
                <w:highlight w:val="none"/>
                <w:lang w:val="en-US" w:eastAsia="zh-CN"/>
              </w:rPr>
              <w:t>处置</w:t>
            </w:r>
            <w:r>
              <w:rPr>
                <w:rFonts w:hint="eastAsia"/>
                <w:color w:val="auto"/>
                <w:highlight w:val="none"/>
              </w:rPr>
              <w:t>，并按照《危险废物识别标识设置技术规范》（HJ1276-2022）规范设置标识标牌，由专人管理，其他人不得进出。</w:t>
            </w:r>
          </w:p>
          <w:p w14:paraId="07A2AD46">
            <w:pPr>
              <w:adjustRightInd w:val="0"/>
              <w:snapToGrid w:val="0"/>
              <w:ind w:firstLine="482"/>
              <w:rPr>
                <w:rFonts w:hint="eastAsia"/>
                <w:b/>
                <w:bCs/>
                <w:color w:val="auto"/>
                <w:highlight w:val="none"/>
              </w:rPr>
            </w:pPr>
            <w:r>
              <w:rPr>
                <w:rFonts w:hint="eastAsia"/>
                <w:b/>
                <w:bCs/>
                <w:color w:val="auto"/>
                <w:highlight w:val="none"/>
              </w:rPr>
              <w:t>（3）运输方式</w:t>
            </w:r>
          </w:p>
          <w:p w14:paraId="4ED09109">
            <w:pPr>
              <w:adjustRightInd w:val="0"/>
              <w:snapToGrid w:val="0"/>
              <w:ind w:firstLine="480"/>
              <w:rPr>
                <w:rFonts w:hint="eastAsia"/>
                <w:color w:val="auto"/>
                <w:highlight w:val="none"/>
              </w:rPr>
            </w:pPr>
            <w:r>
              <w:rPr>
                <w:rFonts w:hint="eastAsia"/>
                <w:color w:val="auto"/>
                <w:highlight w:val="none"/>
              </w:rPr>
              <w:t>根据《危险废物收集、贮存、运输技术规范》（HJ2025-2012）中规定：“危险废物运输应由持有危险废物经营许可证的单位按照其许可证的经营范围组织实施，承担危险废物运输的单位应获得交通运输部门颁发的危险货物运输资质”。</w:t>
            </w:r>
          </w:p>
          <w:p w14:paraId="5C29FD45">
            <w:pPr>
              <w:adjustRightInd w:val="0"/>
              <w:snapToGrid w:val="0"/>
              <w:ind w:firstLine="480"/>
              <w:rPr>
                <w:rFonts w:hint="eastAsia"/>
                <w:color w:val="auto"/>
                <w:highlight w:val="none"/>
              </w:rPr>
            </w:pPr>
            <w:r>
              <w:rPr>
                <w:rFonts w:hint="eastAsia"/>
                <w:color w:val="auto"/>
                <w:highlight w:val="none"/>
              </w:rPr>
              <w:t>本项目</w:t>
            </w:r>
            <w:r>
              <w:rPr>
                <w:rFonts w:hint="eastAsia"/>
                <w:color w:val="auto"/>
                <w:highlight w:val="none"/>
                <w:lang w:val="en-US" w:eastAsia="zh-CN"/>
              </w:rPr>
              <w:t>在厂区内转移过程中采用固定行驶路线行驶，规划路径为最短、最安全的转运路线，避开人员密集区、设置清晰标识和限速标志，危险废物转运过程中危险废物使用密闭容器盛装</w:t>
            </w:r>
            <w:r>
              <w:rPr>
                <w:rFonts w:hint="eastAsia"/>
                <w:color w:val="auto"/>
                <w:highlight w:val="none"/>
              </w:rPr>
              <w:t>，</w:t>
            </w:r>
            <w:r>
              <w:rPr>
                <w:rFonts w:hint="eastAsia"/>
                <w:color w:val="auto"/>
                <w:highlight w:val="none"/>
                <w:lang w:val="en-US" w:eastAsia="zh-CN"/>
              </w:rPr>
              <w:t>车辆配备防泄漏装置，装载时确保密封，卸载时使用专用设备，车辆配备应急工具，驾驶员接受应急培训，危险废物不在厂区内进行处置。</w:t>
            </w:r>
            <w:r>
              <w:rPr>
                <w:rFonts w:hint="eastAsia"/>
                <w:color w:val="auto"/>
                <w:highlight w:val="none"/>
              </w:rPr>
              <w:t>暂存后交由有资质的单位上门运出及处置，根据《危险废物转移管理办法》的规定建立详细的</w:t>
            </w:r>
            <w:r>
              <w:rPr>
                <w:rFonts w:hint="eastAsia"/>
                <w:color w:val="auto"/>
                <w:highlight w:val="none"/>
                <w:lang w:val="en-US" w:eastAsia="zh-CN"/>
              </w:rPr>
              <w:t>危险废物</w:t>
            </w:r>
            <w:r>
              <w:rPr>
                <w:rFonts w:hint="eastAsia"/>
                <w:color w:val="auto"/>
                <w:highlight w:val="none"/>
              </w:rPr>
              <w:t>进出台账及危险废物转移联单。</w:t>
            </w:r>
          </w:p>
          <w:p w14:paraId="24E18D92">
            <w:pPr>
              <w:adjustRightInd w:val="0"/>
              <w:snapToGrid w:val="0"/>
              <w:ind w:firstLine="482"/>
              <w:rPr>
                <w:b/>
                <w:bCs/>
                <w:color w:val="auto"/>
                <w:highlight w:val="none"/>
              </w:rPr>
            </w:pPr>
            <w:r>
              <w:rPr>
                <w:rFonts w:hint="eastAsia"/>
                <w:b/>
                <w:bCs/>
                <w:color w:val="auto"/>
                <w:highlight w:val="none"/>
              </w:rPr>
              <w:t>3</w:t>
            </w:r>
            <w:r>
              <w:rPr>
                <w:b/>
                <w:bCs/>
                <w:color w:val="auto"/>
                <w:highlight w:val="none"/>
              </w:rPr>
              <w:t>、公用工程及辅助工程</w:t>
            </w:r>
          </w:p>
          <w:p w14:paraId="66C8B7BE">
            <w:pPr>
              <w:adjustRightInd w:val="0"/>
              <w:snapToGrid w:val="0"/>
              <w:ind w:firstLine="480"/>
              <w:rPr>
                <w:color w:val="auto"/>
                <w:highlight w:val="none"/>
              </w:rPr>
            </w:pPr>
            <w:r>
              <w:rPr>
                <w:color w:val="auto"/>
                <w:highlight w:val="none"/>
              </w:rPr>
              <w:t>①供电</w:t>
            </w:r>
          </w:p>
          <w:p w14:paraId="6879644B">
            <w:pPr>
              <w:adjustRightInd w:val="0"/>
              <w:snapToGrid w:val="0"/>
              <w:ind w:firstLine="480"/>
              <w:rPr>
                <w:color w:val="auto"/>
                <w:highlight w:val="none"/>
              </w:rPr>
            </w:pPr>
            <w:r>
              <w:rPr>
                <w:color w:val="auto"/>
                <w:highlight w:val="none"/>
              </w:rPr>
              <w:t>本项目供电依托厂区现有供电系统，现有供电设施可满足项目需要。</w:t>
            </w:r>
          </w:p>
          <w:p w14:paraId="0E6270FE">
            <w:pPr>
              <w:adjustRightInd w:val="0"/>
              <w:snapToGrid w:val="0"/>
              <w:ind w:firstLine="480"/>
              <w:rPr>
                <w:color w:val="auto"/>
                <w:highlight w:val="none"/>
              </w:rPr>
            </w:pPr>
            <w:r>
              <w:rPr>
                <w:color w:val="auto"/>
                <w:highlight w:val="none"/>
              </w:rPr>
              <w:t>②给、排水工程</w:t>
            </w:r>
          </w:p>
          <w:p w14:paraId="6CFB2AE8">
            <w:pPr>
              <w:adjustRightInd w:val="0"/>
              <w:snapToGrid w:val="0"/>
              <w:ind w:firstLine="480"/>
              <w:rPr>
                <w:color w:val="auto"/>
                <w:highlight w:val="none"/>
              </w:rPr>
            </w:pPr>
            <w:r>
              <w:rPr>
                <w:color w:val="auto"/>
                <w:highlight w:val="none"/>
              </w:rPr>
              <w:t>本项目不新增劳动定员，危险废物贮存库管理人员依托厂区现有劳动定员，无新增生活用水；危险废物贮存库运行过程不需要生产用水，故本项目运营期无新增用水。</w:t>
            </w:r>
          </w:p>
          <w:p w14:paraId="309014F4">
            <w:pPr>
              <w:adjustRightInd w:val="0"/>
              <w:snapToGrid w:val="0"/>
              <w:ind w:firstLine="480"/>
              <w:rPr>
                <w:color w:val="auto"/>
                <w:highlight w:val="none"/>
              </w:rPr>
            </w:pPr>
            <w:r>
              <w:rPr>
                <w:color w:val="auto"/>
                <w:highlight w:val="none"/>
              </w:rPr>
              <w:t>③供暖</w:t>
            </w:r>
          </w:p>
          <w:p w14:paraId="22D18540">
            <w:pPr>
              <w:adjustRightInd w:val="0"/>
              <w:snapToGrid w:val="0"/>
              <w:ind w:firstLine="480"/>
              <w:rPr>
                <w:color w:val="auto"/>
                <w:highlight w:val="none"/>
              </w:rPr>
            </w:pPr>
            <w:r>
              <w:rPr>
                <w:color w:val="auto"/>
                <w:highlight w:val="none"/>
              </w:rPr>
              <w:t>本项目冬季无需供暖。</w:t>
            </w:r>
          </w:p>
          <w:p w14:paraId="3375457D">
            <w:pPr>
              <w:adjustRightInd w:val="0"/>
              <w:snapToGrid w:val="0"/>
              <w:ind w:firstLine="480"/>
              <w:rPr>
                <w:color w:val="auto"/>
                <w:highlight w:val="none"/>
              </w:rPr>
            </w:pPr>
            <w:r>
              <w:rPr>
                <w:color w:val="auto"/>
                <w:highlight w:val="none"/>
              </w:rPr>
              <w:t>④消防</w:t>
            </w:r>
          </w:p>
          <w:p w14:paraId="72E28BCA">
            <w:pPr>
              <w:adjustRightInd w:val="0"/>
              <w:snapToGrid w:val="0"/>
              <w:ind w:firstLine="480"/>
              <w:rPr>
                <w:color w:val="auto"/>
                <w:highlight w:val="none"/>
              </w:rPr>
            </w:pPr>
            <w:r>
              <w:rPr>
                <w:rFonts w:hint="eastAsia"/>
                <w:color w:val="auto"/>
                <w:highlight w:val="none"/>
              </w:rPr>
              <w:t>危险废物贮存库门口处</w:t>
            </w:r>
            <w:r>
              <w:rPr>
                <w:color w:val="auto"/>
                <w:highlight w:val="none"/>
              </w:rPr>
              <w:t>配置消防沙箱及其相关配套设施一套，灭火器两套，铁锹</w:t>
            </w:r>
            <w:r>
              <w:rPr>
                <w:rFonts w:hint="eastAsia"/>
                <w:color w:val="auto"/>
                <w:highlight w:val="none"/>
              </w:rPr>
              <w:t>2把，</w:t>
            </w:r>
            <w:r>
              <w:rPr>
                <w:color w:val="auto"/>
                <w:highlight w:val="none"/>
              </w:rPr>
              <w:t>并按照要求合理放置于库房</w:t>
            </w:r>
            <w:r>
              <w:rPr>
                <w:rFonts w:hint="eastAsia"/>
                <w:color w:val="auto"/>
                <w:highlight w:val="none"/>
              </w:rPr>
              <w:t>。</w:t>
            </w:r>
          </w:p>
          <w:p w14:paraId="353AA5ED">
            <w:pPr>
              <w:adjustRightInd w:val="0"/>
              <w:snapToGrid w:val="0"/>
              <w:ind w:firstLine="482"/>
              <w:rPr>
                <w:rFonts w:hint="eastAsia"/>
                <w:b/>
                <w:bCs/>
                <w:color w:val="auto"/>
                <w:highlight w:val="none"/>
              </w:rPr>
            </w:pPr>
            <w:r>
              <w:rPr>
                <w:rFonts w:hint="eastAsia"/>
                <w:b/>
                <w:bCs/>
                <w:color w:val="auto"/>
                <w:highlight w:val="none"/>
              </w:rPr>
              <w:t>4、设计方案</w:t>
            </w:r>
          </w:p>
          <w:p w14:paraId="2CA8713A">
            <w:pPr>
              <w:adjustRightInd w:val="0"/>
              <w:snapToGrid w:val="0"/>
              <w:ind w:firstLine="482"/>
              <w:rPr>
                <w:rFonts w:hint="eastAsia"/>
                <w:b w:val="0"/>
                <w:bCs w:val="0"/>
                <w:color w:val="auto"/>
                <w:highlight w:val="none"/>
              </w:rPr>
            </w:pPr>
            <w:r>
              <w:rPr>
                <w:rFonts w:hint="eastAsia"/>
                <w:b w:val="0"/>
                <w:bCs w:val="0"/>
                <w:color w:val="auto"/>
                <w:highlight w:val="none"/>
              </w:rPr>
              <w:t>（1）防渗设计方案</w:t>
            </w:r>
          </w:p>
          <w:p w14:paraId="7B24020C">
            <w:pPr>
              <w:adjustRightInd w:val="0"/>
              <w:snapToGrid w:val="0"/>
              <w:ind w:firstLine="480"/>
              <w:rPr>
                <w:rFonts w:hint="eastAsia" w:eastAsia="宋体"/>
                <w:color w:val="auto"/>
                <w:highlight w:val="yellow"/>
                <w:lang w:eastAsia="zh-CN"/>
              </w:rPr>
            </w:pPr>
            <w:r>
              <w:rPr>
                <w:rFonts w:hint="eastAsia"/>
                <w:color w:val="auto"/>
                <w:highlight w:val="none"/>
              </w:rPr>
              <w:t>本项目建筑面积</w:t>
            </w:r>
            <w:r>
              <w:rPr>
                <w:rFonts w:hint="eastAsia"/>
                <w:color w:val="auto"/>
                <w:highlight w:val="none"/>
                <w:lang w:eastAsia="zh-CN"/>
              </w:rPr>
              <w:t>7㎡</w:t>
            </w:r>
            <w:r>
              <w:rPr>
                <w:rFonts w:hint="eastAsia"/>
                <w:color w:val="auto"/>
                <w:highlight w:val="none"/>
              </w:rPr>
              <w:t>，本项目四周设置导流渠，导流渠宽200mm，深200mm，采用隔墙进行隔离，内设1m³的集液池，危险废物</w:t>
            </w:r>
            <w:r>
              <w:rPr>
                <w:rFonts w:hint="eastAsia"/>
                <w:color w:val="auto"/>
                <w:highlight w:val="none"/>
                <w:lang w:eastAsia="zh-CN"/>
              </w:rPr>
              <w:t>贮存库</w:t>
            </w:r>
            <w:r>
              <w:rPr>
                <w:rFonts w:hint="eastAsia"/>
                <w:color w:val="auto"/>
                <w:highlight w:val="none"/>
              </w:rPr>
              <w:t>地面要求硬化、耐腐蚀、防渗漏，且表面无裂隙。本项目</w:t>
            </w:r>
            <w:r>
              <w:rPr>
                <w:color w:val="auto"/>
                <w:highlight w:val="none"/>
              </w:rPr>
              <w:t>地面、</w:t>
            </w:r>
            <w:r>
              <w:rPr>
                <w:rFonts w:hint="eastAsia"/>
                <w:color w:val="auto"/>
                <w:highlight w:val="none"/>
              </w:rPr>
              <w:t>导流渠</w:t>
            </w:r>
            <w:r>
              <w:rPr>
                <w:color w:val="auto"/>
                <w:highlight w:val="none"/>
              </w:rPr>
              <w:t>、</w:t>
            </w:r>
            <w:r>
              <w:rPr>
                <w:rFonts w:hint="eastAsia"/>
                <w:color w:val="auto"/>
                <w:highlight w:val="none"/>
              </w:rPr>
              <w:t>集液池</w:t>
            </w:r>
            <w:r>
              <w:rPr>
                <w:color w:val="auto"/>
                <w:highlight w:val="none"/>
              </w:rPr>
              <w:t>及裙角采取</w:t>
            </w:r>
            <w:r>
              <w:rPr>
                <w:rFonts w:hint="eastAsia"/>
                <w:color w:val="auto"/>
                <w:highlight w:val="none"/>
              </w:rPr>
              <w:t>相同</w:t>
            </w:r>
            <w:r>
              <w:rPr>
                <w:color w:val="auto"/>
                <w:highlight w:val="none"/>
              </w:rPr>
              <w:t>防渗措施，具体防渗措施为</w:t>
            </w:r>
            <w:r>
              <w:rPr>
                <w:rFonts w:hint="eastAsia"/>
                <w:color w:val="auto"/>
                <w:highlight w:val="none"/>
              </w:rPr>
              <w:t>采用</w:t>
            </w:r>
            <w:r>
              <w:rPr>
                <w:rFonts w:hint="eastAsia"/>
                <w:color w:val="auto"/>
                <w:highlight w:val="none"/>
                <w:lang w:eastAsia="zh-CN"/>
              </w:rPr>
              <w:t>防渗层为至少1m厚黏土层（渗透系数≤10</w:t>
            </w:r>
            <w:r>
              <w:rPr>
                <w:rFonts w:hint="eastAsia"/>
                <w:color w:val="auto"/>
                <w:highlight w:val="none"/>
                <w:vertAlign w:val="superscript"/>
                <w:lang w:eastAsia="zh-CN"/>
              </w:rPr>
              <w:t>-7</w:t>
            </w:r>
            <w:r>
              <w:rPr>
                <w:rFonts w:hint="eastAsia"/>
                <w:color w:val="auto"/>
                <w:highlight w:val="none"/>
                <w:lang w:eastAsia="zh-CN"/>
              </w:rPr>
              <w:t>cm/s），或至少2mm厚高密度聚乙烯膜等人工防渗材料（渗透系数≤10</w:t>
            </w:r>
            <w:r>
              <w:rPr>
                <w:rFonts w:hint="eastAsia"/>
                <w:color w:val="auto"/>
                <w:highlight w:val="none"/>
                <w:vertAlign w:val="superscript"/>
                <w:lang w:eastAsia="zh-CN"/>
              </w:rPr>
              <w:t>-10</w:t>
            </w:r>
            <w:r>
              <w:rPr>
                <w:rFonts w:hint="eastAsia"/>
                <w:color w:val="auto"/>
                <w:highlight w:val="none"/>
                <w:lang w:eastAsia="zh-CN"/>
              </w:rPr>
              <w:t>cm/s），或其他防渗性能等效的材料，并涂刷环氧树脂地坪漆。</w:t>
            </w:r>
          </w:p>
          <w:p w14:paraId="5C7E9A9D">
            <w:pPr>
              <w:adjustRightInd w:val="0"/>
              <w:snapToGrid w:val="0"/>
              <w:ind w:firstLine="482"/>
              <w:rPr>
                <w:rFonts w:hint="eastAsia"/>
                <w:b w:val="0"/>
                <w:bCs w:val="0"/>
                <w:color w:val="auto"/>
                <w:highlight w:val="none"/>
              </w:rPr>
            </w:pPr>
            <w:r>
              <w:rPr>
                <w:rFonts w:hint="eastAsia"/>
                <w:b w:val="0"/>
                <w:bCs w:val="0"/>
                <w:color w:val="auto"/>
                <w:highlight w:val="none"/>
              </w:rPr>
              <w:t>（2）储存区设计方案</w:t>
            </w:r>
          </w:p>
          <w:p w14:paraId="557F2D53">
            <w:pPr>
              <w:adjustRightInd w:val="0"/>
              <w:snapToGrid w:val="0"/>
              <w:ind w:firstLine="480"/>
              <w:rPr>
                <w:rFonts w:hint="eastAsia"/>
                <w:color w:val="auto"/>
                <w:highlight w:val="none"/>
              </w:rPr>
            </w:pPr>
            <w:r>
              <w:rPr>
                <w:rFonts w:hint="eastAsia"/>
                <w:color w:val="auto"/>
                <w:highlight w:val="none"/>
              </w:rPr>
              <w:t>1）库房内根据危险废物的种类和数量分区域存放，中间设置隔断；</w:t>
            </w:r>
          </w:p>
          <w:p w14:paraId="7D6B8FEF">
            <w:pPr>
              <w:adjustRightInd w:val="0"/>
              <w:snapToGrid w:val="0"/>
              <w:ind w:firstLine="480"/>
              <w:rPr>
                <w:rFonts w:hint="eastAsia"/>
                <w:color w:val="auto"/>
                <w:highlight w:val="none"/>
              </w:rPr>
            </w:pPr>
            <w:r>
              <w:rPr>
                <w:rFonts w:hint="eastAsia"/>
                <w:color w:val="auto"/>
                <w:highlight w:val="none"/>
              </w:rPr>
              <w:t>2）储存区设置安全照明设施；</w:t>
            </w:r>
          </w:p>
          <w:p w14:paraId="72C8B770">
            <w:pPr>
              <w:adjustRightInd w:val="0"/>
              <w:snapToGrid w:val="0"/>
              <w:ind w:firstLine="480"/>
              <w:rPr>
                <w:rFonts w:hint="eastAsia"/>
                <w:color w:val="auto"/>
                <w:highlight w:val="none"/>
              </w:rPr>
            </w:pPr>
            <w:r>
              <w:rPr>
                <w:rFonts w:hint="eastAsia"/>
                <w:color w:val="auto"/>
                <w:highlight w:val="none"/>
              </w:rPr>
              <w:t>3）</w:t>
            </w:r>
            <w:r>
              <w:rPr>
                <w:rFonts w:hint="eastAsia"/>
                <w:color w:val="auto"/>
                <w:highlight w:val="none"/>
                <w:lang w:val="en-US" w:eastAsia="zh-CN"/>
              </w:rPr>
              <w:t>危废库</w:t>
            </w:r>
            <w:r>
              <w:rPr>
                <w:rFonts w:hint="eastAsia"/>
                <w:color w:val="auto"/>
                <w:highlight w:val="none"/>
              </w:rPr>
              <w:t>设置</w:t>
            </w:r>
            <w:r>
              <w:rPr>
                <w:rFonts w:hint="eastAsia"/>
                <w:color w:val="auto"/>
                <w:highlight w:val="none"/>
                <w:lang w:val="en-US" w:eastAsia="zh-CN"/>
              </w:rPr>
              <w:t>导流渠及集液池</w:t>
            </w:r>
            <w:r>
              <w:rPr>
                <w:rFonts w:hint="eastAsia"/>
                <w:color w:val="auto"/>
                <w:highlight w:val="none"/>
              </w:rPr>
              <w:t>，</w:t>
            </w:r>
            <w:r>
              <w:rPr>
                <w:rFonts w:hint="eastAsia"/>
                <w:color w:val="auto"/>
                <w:highlight w:val="none"/>
                <w:lang w:val="en-US" w:eastAsia="zh-CN"/>
              </w:rPr>
              <w:t>导流渠与集液池</w:t>
            </w:r>
            <w:r>
              <w:rPr>
                <w:rFonts w:hint="eastAsia"/>
                <w:color w:val="auto"/>
                <w:highlight w:val="none"/>
              </w:rPr>
              <w:t>相连，事故情况下的废水、泄漏的废液等通过</w:t>
            </w:r>
            <w:r>
              <w:rPr>
                <w:rFonts w:hint="eastAsia"/>
                <w:color w:val="auto"/>
                <w:highlight w:val="none"/>
                <w:lang w:val="en-US" w:eastAsia="zh-CN"/>
              </w:rPr>
              <w:t>导流渠</w:t>
            </w:r>
            <w:r>
              <w:rPr>
                <w:rFonts w:hint="eastAsia"/>
                <w:color w:val="auto"/>
                <w:highlight w:val="none"/>
              </w:rPr>
              <w:t>流入</w:t>
            </w:r>
            <w:r>
              <w:rPr>
                <w:rFonts w:hint="eastAsia"/>
                <w:color w:val="auto"/>
                <w:highlight w:val="none"/>
                <w:lang w:val="en-US" w:eastAsia="zh-CN"/>
              </w:rPr>
              <w:t>集液池</w:t>
            </w:r>
            <w:r>
              <w:rPr>
                <w:rFonts w:hint="eastAsia"/>
                <w:color w:val="auto"/>
                <w:highlight w:val="none"/>
              </w:rPr>
              <w:t>；</w:t>
            </w:r>
          </w:p>
          <w:p w14:paraId="491D9894">
            <w:pPr>
              <w:adjustRightInd w:val="0"/>
              <w:snapToGrid w:val="0"/>
              <w:ind w:firstLine="480"/>
              <w:rPr>
                <w:rFonts w:hint="eastAsia"/>
                <w:color w:val="auto"/>
                <w:highlight w:val="none"/>
              </w:rPr>
            </w:pPr>
            <w:r>
              <w:rPr>
                <w:rFonts w:hint="eastAsia"/>
                <w:color w:val="auto"/>
                <w:highlight w:val="none"/>
              </w:rPr>
              <w:t>4）危险废物暂存要求：</w:t>
            </w:r>
          </w:p>
          <w:p w14:paraId="7147D35E">
            <w:pPr>
              <w:adjustRightInd w:val="0"/>
              <w:snapToGrid w:val="0"/>
              <w:ind w:firstLine="480"/>
              <w:rPr>
                <w:rFonts w:hint="eastAsia"/>
                <w:color w:val="auto"/>
                <w:highlight w:val="none"/>
              </w:rPr>
            </w:pPr>
            <w:r>
              <w:rPr>
                <w:rFonts w:hint="eastAsia"/>
                <w:color w:val="auto"/>
                <w:highlight w:val="none"/>
              </w:rPr>
              <w:t>盛装危险废物的容器上必须粘贴符合《危险废物贮存污染控制标准》（GB18597-2023）规定的标签，注明危废产生单位、地址、电话、联系人等，废物化学成分、危险情况、安全措施；</w:t>
            </w:r>
          </w:p>
          <w:p w14:paraId="73E08DA9">
            <w:pPr>
              <w:adjustRightInd w:val="0"/>
              <w:snapToGrid w:val="0"/>
              <w:ind w:firstLine="480"/>
              <w:rPr>
                <w:rFonts w:hint="eastAsia"/>
                <w:color w:val="auto"/>
                <w:highlight w:val="none"/>
              </w:rPr>
            </w:pPr>
            <w:r>
              <w:rPr>
                <w:rFonts w:hint="eastAsia"/>
                <w:color w:val="auto"/>
                <w:highlight w:val="none"/>
              </w:rPr>
              <w:t>5）不相容的废物混合时会产生有毒有害气体，导致刺激眼睛、灼伤皮肤和致命，也可能引起强烈及爆炸性的反应热能，因此，不相容的危险废物必须分开存放于不同的堆存区，本项目产生的废</w:t>
            </w:r>
            <w:r>
              <w:rPr>
                <w:rFonts w:hint="eastAsia"/>
                <w:color w:val="auto"/>
                <w:highlight w:val="none"/>
                <w:lang w:val="en-US" w:eastAsia="zh-CN"/>
              </w:rPr>
              <w:t>润滑油、废机油、含油废抹布、废手套均采用密闭专用容器收集后</w:t>
            </w:r>
            <w:r>
              <w:rPr>
                <w:rFonts w:hint="eastAsia"/>
                <w:color w:val="auto"/>
                <w:highlight w:val="none"/>
              </w:rPr>
              <w:t>暂存，防止挥发</w:t>
            </w:r>
            <w:r>
              <w:rPr>
                <w:rFonts w:hint="eastAsia"/>
                <w:color w:val="auto"/>
                <w:highlight w:val="none"/>
                <w:lang w:eastAsia="zh-CN"/>
              </w:rPr>
              <w:t>、</w:t>
            </w:r>
            <w:r>
              <w:rPr>
                <w:rFonts w:hint="eastAsia"/>
                <w:color w:val="auto"/>
                <w:highlight w:val="none"/>
              </w:rPr>
              <w:t>防止倾倒、泄漏。</w:t>
            </w:r>
          </w:p>
          <w:p w14:paraId="411F17EB">
            <w:pPr>
              <w:adjustRightInd w:val="0"/>
              <w:snapToGrid w:val="0"/>
              <w:ind w:firstLine="482"/>
              <w:rPr>
                <w:b/>
                <w:bCs/>
                <w:color w:val="auto"/>
                <w:highlight w:val="none"/>
              </w:rPr>
            </w:pPr>
            <w:r>
              <w:rPr>
                <w:rFonts w:hint="eastAsia"/>
                <w:b/>
                <w:bCs/>
                <w:color w:val="auto"/>
                <w:highlight w:val="none"/>
              </w:rPr>
              <w:t>5</w:t>
            </w:r>
            <w:r>
              <w:rPr>
                <w:b/>
                <w:bCs/>
                <w:color w:val="auto"/>
                <w:highlight w:val="none"/>
              </w:rPr>
              <w:t>、劳动定员及工作制度</w:t>
            </w:r>
          </w:p>
          <w:p w14:paraId="78AE6DA8">
            <w:pPr>
              <w:adjustRightInd w:val="0"/>
              <w:snapToGrid w:val="0"/>
              <w:ind w:firstLine="480"/>
              <w:rPr>
                <w:color w:val="auto"/>
                <w:highlight w:val="none"/>
              </w:rPr>
            </w:pPr>
            <w:r>
              <w:rPr>
                <w:color w:val="auto"/>
                <w:highlight w:val="none"/>
              </w:rPr>
              <w:t>本项目不新增劳动定员，由公司内现有职工调配，负责危险废物贮存库日常巡检，年工作天数365天。</w:t>
            </w:r>
          </w:p>
          <w:p w14:paraId="1214A886">
            <w:pPr>
              <w:adjustRightInd w:val="0"/>
              <w:snapToGrid w:val="0"/>
              <w:ind w:firstLine="482"/>
              <w:rPr>
                <w:b/>
                <w:bCs/>
                <w:color w:val="auto"/>
                <w:highlight w:val="none"/>
              </w:rPr>
            </w:pPr>
            <w:r>
              <w:rPr>
                <w:rFonts w:hint="eastAsia"/>
                <w:b/>
                <w:bCs/>
                <w:color w:val="auto"/>
                <w:highlight w:val="none"/>
              </w:rPr>
              <w:t>6</w:t>
            </w:r>
            <w:r>
              <w:rPr>
                <w:b/>
                <w:bCs/>
                <w:color w:val="auto"/>
                <w:highlight w:val="none"/>
              </w:rPr>
              <w:t>、总图布置</w:t>
            </w:r>
          </w:p>
          <w:p w14:paraId="40847543">
            <w:pPr>
              <w:ind w:firstLine="480"/>
              <w:rPr>
                <w:color w:val="auto"/>
                <w:highlight w:val="none"/>
              </w:rPr>
            </w:pPr>
            <w:r>
              <w:rPr>
                <w:color w:val="auto"/>
                <w:highlight w:val="none"/>
              </w:rPr>
              <w:t>本项目位于</w:t>
            </w:r>
            <w:r>
              <w:rPr>
                <w:rFonts w:hint="eastAsia"/>
                <w:color w:val="auto"/>
                <w:highlight w:val="none"/>
                <w:lang w:eastAsia="zh-CN"/>
              </w:rPr>
              <w:t>鄂尔多斯市宇驰顺捷汽车销售服务有限公司现有</w:t>
            </w:r>
            <w:r>
              <w:rPr>
                <w:color w:val="auto"/>
                <w:highlight w:val="none"/>
              </w:rPr>
              <w:t>厂区内</w:t>
            </w:r>
            <w:r>
              <w:rPr>
                <w:rFonts w:hint="eastAsia"/>
                <w:color w:val="auto"/>
                <w:highlight w:val="none"/>
              </w:rPr>
              <w:t>建设</w:t>
            </w:r>
            <w:r>
              <w:rPr>
                <w:color w:val="auto"/>
                <w:highlight w:val="none"/>
              </w:rPr>
              <w:t>，不新增用地。</w:t>
            </w:r>
            <w:r>
              <w:rPr>
                <w:rFonts w:hint="eastAsia"/>
                <w:color w:val="auto"/>
                <w:highlight w:val="none"/>
              </w:rPr>
              <w:t>本项目主要收集机械维修过程中产生的</w:t>
            </w:r>
            <w:r>
              <w:rPr>
                <w:rFonts w:hint="eastAsia"/>
                <w:color w:val="auto"/>
                <w:highlight w:val="none"/>
                <w:lang w:eastAsia="zh-CN"/>
              </w:rPr>
              <w:t>废润滑油、</w:t>
            </w:r>
            <w:r>
              <w:rPr>
                <w:rFonts w:hint="eastAsia"/>
                <w:color w:val="auto"/>
                <w:highlight w:val="none"/>
                <w:lang w:val="en-US" w:eastAsia="zh-CN"/>
              </w:rPr>
              <w:t>废机油、</w:t>
            </w:r>
            <w:r>
              <w:rPr>
                <w:rFonts w:hint="eastAsia"/>
                <w:color w:val="auto"/>
                <w:highlight w:val="none"/>
              </w:rPr>
              <w:t>废油桶</w:t>
            </w:r>
            <w:r>
              <w:rPr>
                <w:rFonts w:hint="eastAsia"/>
                <w:color w:val="auto"/>
                <w:highlight w:val="none"/>
                <w:lang w:val="en-US" w:eastAsia="zh-CN"/>
              </w:rPr>
              <w:t>、含油废抹布、废手套</w:t>
            </w:r>
            <w:r>
              <w:rPr>
                <w:rFonts w:hint="eastAsia"/>
                <w:color w:val="auto"/>
                <w:highlight w:val="none"/>
              </w:rPr>
              <w:t>等，本项目危险废物</w:t>
            </w:r>
            <w:r>
              <w:rPr>
                <w:rFonts w:hint="eastAsia"/>
                <w:color w:val="auto"/>
                <w:highlight w:val="none"/>
                <w:lang w:eastAsia="zh-CN"/>
              </w:rPr>
              <w:t>贮存库</w:t>
            </w:r>
            <w:r>
              <w:rPr>
                <w:rFonts w:hint="eastAsia"/>
                <w:color w:val="auto"/>
                <w:highlight w:val="none"/>
              </w:rPr>
              <w:t>内设</w:t>
            </w:r>
            <w:r>
              <w:rPr>
                <w:rFonts w:hint="eastAsia"/>
                <w:color w:val="auto"/>
                <w:highlight w:val="none"/>
                <w:lang w:val="en-US" w:eastAsia="zh-CN"/>
              </w:rPr>
              <w:t>3</w:t>
            </w:r>
            <w:r>
              <w:rPr>
                <w:rFonts w:hint="eastAsia"/>
                <w:color w:val="auto"/>
                <w:highlight w:val="none"/>
              </w:rPr>
              <w:t>个分区，采用隔墙进行隔离，墙面四周设置300mm高的裙脚，设置1个1m³的集液池，四周设置导流渠宽200mm，深200mm。本项目</w:t>
            </w:r>
            <w:r>
              <w:rPr>
                <w:color w:val="auto"/>
                <w:highlight w:val="none"/>
              </w:rPr>
              <w:t>平面布置图见附图</w:t>
            </w:r>
            <w:r>
              <w:rPr>
                <w:rFonts w:hint="eastAsia"/>
                <w:color w:val="auto"/>
                <w:highlight w:val="none"/>
              </w:rPr>
              <w:t>4</w:t>
            </w:r>
            <w:r>
              <w:rPr>
                <w:color w:val="auto"/>
                <w:highlight w:val="none"/>
              </w:rPr>
              <w:t>。</w:t>
            </w:r>
          </w:p>
        </w:tc>
      </w:tr>
      <w:tr w14:paraId="014C9B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3" w:type="dxa"/>
            <w:noWrap w:val="0"/>
            <w:vAlign w:val="center"/>
          </w:tcPr>
          <w:p w14:paraId="29E76632">
            <w:pPr>
              <w:pStyle w:val="12"/>
              <w:adjustRightInd w:val="0"/>
              <w:snapToGrid w:val="0"/>
              <w:spacing w:before="0" w:beforeAutospacing="0" w:after="0" w:afterAutospacing="0"/>
              <w:ind w:firstLine="0" w:firstLineChars="0"/>
              <w:jc w:val="center"/>
              <w:rPr>
                <w:rFonts w:ascii="Times New Roman" w:hAnsi="Times New Roman"/>
                <w:color w:val="auto"/>
                <w:szCs w:val="24"/>
                <w:highlight w:val="none"/>
              </w:rPr>
            </w:pPr>
            <w:r>
              <w:rPr>
                <w:rFonts w:ascii="Times New Roman" w:hAnsi="Times New Roman"/>
                <w:color w:val="auto"/>
                <w:szCs w:val="24"/>
                <w:highlight w:val="none"/>
              </w:rPr>
              <w:t>工艺流程和产排污环节</w:t>
            </w:r>
          </w:p>
        </w:tc>
        <w:tc>
          <w:tcPr>
            <w:tcW w:w="8161" w:type="dxa"/>
            <w:gridSpan w:val="2"/>
            <w:noWrap w:val="0"/>
            <w:vAlign w:val="top"/>
          </w:tcPr>
          <w:p w14:paraId="0B00FFAB">
            <w:pPr>
              <w:adjustRightInd w:val="0"/>
              <w:snapToGrid w:val="0"/>
              <w:ind w:firstLine="482"/>
              <w:rPr>
                <w:rFonts w:hint="eastAsia"/>
                <w:b/>
                <w:color w:val="auto"/>
                <w:highlight w:val="none"/>
              </w:rPr>
            </w:pPr>
            <w:r>
              <w:rPr>
                <w:rFonts w:hint="eastAsia"/>
                <w:b/>
                <w:color w:val="auto"/>
                <w:highlight w:val="none"/>
              </w:rPr>
              <w:t>一、施工期工艺流程及产排污环节</w:t>
            </w:r>
          </w:p>
          <w:p w14:paraId="203C5279">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cs="Times New Roman"/>
                <w:b/>
                <w:bCs/>
                <w:color w:val="auto"/>
                <w:sz w:val="24"/>
                <w:szCs w:val="24"/>
                <w:highlight w:val="none"/>
              </w:rPr>
            </w:pPr>
            <w:r>
              <w:rPr>
                <w:rFonts w:hint="default" w:ascii="Times New Roman" w:hAnsi="Times New Roman" w:cs="Times New Roman"/>
                <w:b/>
                <w:bCs/>
                <w:color w:val="auto"/>
                <w:sz w:val="24"/>
                <w:szCs w:val="24"/>
                <w:highlight w:val="none"/>
              </w:rPr>
              <w:t>1、</w:t>
            </w:r>
            <w:r>
              <w:rPr>
                <w:rFonts w:hint="default" w:ascii="Times New Roman" w:hAnsi="Times New Roman" w:cs="Times New Roman"/>
                <w:b/>
                <w:bCs/>
                <w:color w:val="auto"/>
                <w:sz w:val="24"/>
                <w:szCs w:val="24"/>
                <w:highlight w:val="none"/>
                <w:lang w:val="en-US"/>
              </w:rPr>
              <w:t>施工期</w:t>
            </w:r>
            <w:r>
              <w:rPr>
                <w:rFonts w:hint="default" w:ascii="Times New Roman" w:hAnsi="Times New Roman" w:cs="Times New Roman"/>
                <w:b/>
                <w:bCs/>
                <w:color w:val="auto"/>
                <w:sz w:val="24"/>
                <w:szCs w:val="24"/>
                <w:highlight w:val="none"/>
              </w:rPr>
              <w:t>工艺流程简述</w:t>
            </w:r>
          </w:p>
          <w:p w14:paraId="3335C15E">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本项目施工期建设内容为建筑施工，按照施工工序可分为土建工程、防渗工程、附属工程等阶</w:t>
            </w:r>
            <w:r>
              <w:rPr>
                <w:rFonts w:hint="default" w:ascii="Times New Roman" w:hAnsi="Times New Roman" w:eastAsia="宋体" w:cs="Times New Roman"/>
                <w:color w:val="auto"/>
                <w:highlight w:val="none"/>
                <w:lang w:val="en-US"/>
              </w:rPr>
              <w:t>段</w:t>
            </w:r>
            <w:r>
              <w:rPr>
                <w:rFonts w:hint="default" w:ascii="Times New Roman" w:hAnsi="Times New Roman" w:eastAsia="宋体" w:cs="Times New Roman"/>
                <w:color w:val="auto"/>
                <w:highlight w:val="none"/>
              </w:rPr>
              <w:t>。</w:t>
            </w:r>
          </w:p>
          <w:p w14:paraId="65F33487">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①土建工程：地面平整土建工程；</w:t>
            </w:r>
          </w:p>
          <w:p w14:paraId="0F4B553D">
            <w:pPr>
              <w:ind w:firstLine="480"/>
              <w:rPr>
                <w:rFonts w:hint="eastAsia"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②地面防渗层铺设：</w:t>
            </w:r>
            <w:r>
              <w:rPr>
                <w:rFonts w:hint="eastAsia" w:ascii="Times New Roman" w:hAnsi="Times New Roman" w:eastAsia="宋体" w:cs="Times New Roman"/>
                <w:color w:val="auto"/>
                <w:highlight w:val="none"/>
              </w:rPr>
              <w:t>本项目地面、导流渠、集液池及裙角采取相同防渗措施，具体防渗措施为：</w:t>
            </w:r>
            <w:r>
              <w:rPr>
                <w:rFonts w:hint="eastAsia" w:cs="Times New Roman"/>
                <w:color w:val="auto"/>
                <w:highlight w:val="none"/>
                <w:lang w:eastAsia="zh-CN"/>
              </w:rPr>
              <w:t>防渗层为至少1m厚黏土层（渗透系数≤10</w:t>
            </w:r>
            <w:r>
              <w:rPr>
                <w:rFonts w:hint="eastAsia" w:cs="Times New Roman"/>
                <w:color w:val="auto"/>
                <w:highlight w:val="none"/>
                <w:vertAlign w:val="superscript"/>
                <w:lang w:eastAsia="zh-CN"/>
              </w:rPr>
              <w:t>-7</w:t>
            </w:r>
            <w:r>
              <w:rPr>
                <w:rFonts w:hint="eastAsia" w:cs="Times New Roman"/>
                <w:color w:val="auto"/>
                <w:highlight w:val="none"/>
                <w:lang w:eastAsia="zh-CN"/>
              </w:rPr>
              <w:t>cm/s），或至少2mm厚高密度聚乙烯膜等人工防渗材料（渗透系数≤10</w:t>
            </w:r>
            <w:r>
              <w:rPr>
                <w:rFonts w:hint="eastAsia" w:cs="Times New Roman"/>
                <w:color w:val="auto"/>
                <w:highlight w:val="none"/>
                <w:vertAlign w:val="superscript"/>
                <w:lang w:eastAsia="zh-CN"/>
              </w:rPr>
              <w:t>-10</w:t>
            </w:r>
            <w:r>
              <w:rPr>
                <w:rFonts w:hint="eastAsia" w:cs="Times New Roman"/>
                <w:color w:val="auto"/>
                <w:highlight w:val="none"/>
                <w:lang w:eastAsia="zh-CN"/>
              </w:rPr>
              <w:t>cm/s），或其他防渗性能等效的材料，并涂刷环氧树脂地坪漆。</w:t>
            </w:r>
          </w:p>
          <w:p w14:paraId="01F73BEA">
            <w:pPr>
              <w:ind w:firstLine="48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③附属设施：附属设施有</w:t>
            </w:r>
            <w:r>
              <w:rPr>
                <w:rFonts w:hint="eastAsia" w:ascii="Times New Roman" w:hAnsi="Times New Roman" w:eastAsia="宋体" w:cs="Times New Roman"/>
                <w:color w:val="auto"/>
                <w:highlight w:val="none"/>
                <w:lang w:eastAsia="zh-CN"/>
              </w:rPr>
              <w:t>导流渠</w:t>
            </w:r>
            <w:r>
              <w:rPr>
                <w:rFonts w:hint="default" w:ascii="Times New Roman" w:hAnsi="Times New Roman" w:eastAsia="宋体" w:cs="Times New Roman"/>
                <w:color w:val="auto"/>
                <w:highlight w:val="none"/>
              </w:rPr>
              <w:t>和集液池的建设；安全照明设施和消防设施的安装，标识牌的安装等。</w:t>
            </w:r>
          </w:p>
          <w:p w14:paraId="2DBE65FB">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jc w:val="center"/>
              <w:textAlignment w:val="auto"/>
              <w:rPr>
                <w:rFonts w:hint="default" w:ascii="Times New Roman" w:hAnsi="Times New Roman" w:cs="Times New Roman"/>
                <w:b w:val="0"/>
                <w:bCs w:val="0"/>
                <w:color w:val="auto"/>
                <w:sz w:val="24"/>
                <w:szCs w:val="24"/>
                <w:highlight w:val="none"/>
              </w:rPr>
            </w:pPr>
            <w:r>
              <w:rPr>
                <w:rFonts w:ascii="宋体" w:cs="宋体"/>
                <w:color w:val="auto"/>
                <w:kern w:val="0"/>
                <w:sz w:val="24"/>
                <w:highlight w:val="none"/>
              </w:rPr>
              <w:drawing>
                <wp:inline distT="0" distB="0" distL="114300" distR="114300">
                  <wp:extent cx="4937125" cy="1410335"/>
                  <wp:effectExtent l="0" t="0" r="15875" b="18415"/>
                  <wp:docPr id="9" name="图片 8" descr="$MA1}~9F43JY6$`SVLGI@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MA1}~9F43JY6$`SVLGI@11"/>
                          <pic:cNvPicPr>
                            <a:picLocks noChangeAspect="1"/>
                          </pic:cNvPicPr>
                        </pic:nvPicPr>
                        <pic:blipFill>
                          <a:blip r:embed="rId22">
                            <a:lum bright="-12000" contrast="23999"/>
                          </a:blip>
                          <a:stretch>
                            <a:fillRect/>
                          </a:stretch>
                        </pic:blipFill>
                        <pic:spPr>
                          <a:xfrm>
                            <a:off x="0" y="0"/>
                            <a:ext cx="4937125" cy="1410335"/>
                          </a:xfrm>
                          <a:prstGeom prst="rect">
                            <a:avLst/>
                          </a:prstGeom>
                          <a:noFill/>
                          <a:ln>
                            <a:noFill/>
                          </a:ln>
                        </pic:spPr>
                      </pic:pic>
                    </a:graphicData>
                  </a:graphic>
                </wp:inline>
              </w:drawing>
            </w:r>
          </w:p>
          <w:p w14:paraId="45CC547E">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center"/>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图2-1施工期工艺流程及产排污节点图</w:t>
            </w:r>
          </w:p>
          <w:p w14:paraId="16AE1B28">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lang w:val="en-US" w:eastAsia="zh-CN"/>
              </w:rPr>
              <w:t>施工期</w:t>
            </w:r>
            <w:r>
              <w:rPr>
                <w:rFonts w:hint="eastAsia" w:ascii="Times New Roman" w:hAnsi="Times New Roman" w:eastAsia="宋体" w:cs="Times New Roman"/>
                <w:b/>
                <w:bCs/>
                <w:color w:val="auto"/>
                <w:sz w:val="24"/>
                <w:szCs w:val="24"/>
                <w:highlight w:val="none"/>
                <w:lang w:val="en-US" w:eastAsia="zh-CN"/>
              </w:rPr>
              <w:t>产污环节</w:t>
            </w:r>
          </w:p>
          <w:p w14:paraId="1CF25E5A">
            <w:pPr>
              <w:adjustRightInd w:val="0"/>
              <w:snapToGrid w:val="0"/>
              <w:ind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①废气</w:t>
            </w:r>
          </w:p>
          <w:p w14:paraId="3670AAF9">
            <w:pPr>
              <w:adjustRightInd w:val="0"/>
              <w:snapToGrid w:val="0"/>
              <w:ind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施工期大气</w:t>
            </w:r>
            <w:r>
              <w:rPr>
                <w:rFonts w:hint="eastAsia" w:ascii="Times New Roman" w:hAnsi="Times New Roman" w:eastAsia="宋体" w:cs="Times New Roman"/>
                <w:color w:val="auto"/>
                <w:highlight w:val="none"/>
                <w:lang w:val="en-US" w:eastAsia="zh-CN"/>
              </w:rPr>
              <w:t>污染</w:t>
            </w:r>
            <w:r>
              <w:rPr>
                <w:rFonts w:hint="default" w:ascii="Times New Roman" w:hAnsi="Times New Roman" w:eastAsia="宋体" w:cs="Times New Roman"/>
                <w:color w:val="auto"/>
                <w:highlight w:val="none"/>
                <w:lang w:val="en-US" w:eastAsia="zh-CN"/>
              </w:rPr>
              <w:t>源主要为施工扬尘。</w:t>
            </w:r>
          </w:p>
          <w:p w14:paraId="6E214027">
            <w:pPr>
              <w:adjustRightInd w:val="0"/>
              <w:snapToGrid w:val="0"/>
              <w:ind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②废水</w:t>
            </w:r>
          </w:p>
          <w:p w14:paraId="1789ECDC">
            <w:pPr>
              <w:adjustRightInd w:val="0"/>
              <w:snapToGrid w:val="0"/>
              <w:ind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本工程施工过程中产生的废水主要为施工人员的生活污水和施工</w:t>
            </w:r>
            <w:r>
              <w:rPr>
                <w:rFonts w:hint="eastAsia" w:cs="Times New Roman"/>
                <w:color w:val="auto"/>
                <w:highlight w:val="none"/>
                <w:lang w:val="en-US" w:eastAsia="zh-CN"/>
              </w:rPr>
              <w:t>生产</w:t>
            </w:r>
            <w:r>
              <w:rPr>
                <w:rFonts w:hint="default" w:ascii="Times New Roman" w:hAnsi="Times New Roman" w:eastAsia="宋体" w:cs="Times New Roman"/>
                <w:color w:val="auto"/>
                <w:highlight w:val="none"/>
                <w:lang w:val="en-US" w:eastAsia="zh-CN"/>
              </w:rPr>
              <w:t>废水。</w:t>
            </w:r>
          </w:p>
          <w:p w14:paraId="588CA13A">
            <w:pPr>
              <w:adjustRightInd w:val="0"/>
              <w:snapToGrid w:val="0"/>
              <w:ind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③噪声</w:t>
            </w:r>
          </w:p>
          <w:p w14:paraId="0B533CED">
            <w:pPr>
              <w:adjustRightInd w:val="0"/>
              <w:snapToGrid w:val="0"/>
              <w:ind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施工期噪声来源于施工中的机械设备运行和车辆运输噪声。</w:t>
            </w:r>
          </w:p>
          <w:p w14:paraId="61466AC7">
            <w:pPr>
              <w:adjustRightInd w:val="0"/>
              <w:snapToGrid w:val="0"/>
              <w:ind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④固废</w:t>
            </w:r>
          </w:p>
          <w:p w14:paraId="163138F1">
            <w:pPr>
              <w:adjustRightInd w:val="0"/>
              <w:snapToGrid w:val="0"/>
              <w:ind w:firstLine="480"/>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本项目的固体废弃物包括施工人员的生活垃圾和施工产生的建筑垃圾。</w:t>
            </w:r>
          </w:p>
          <w:p w14:paraId="4BB5256A">
            <w:pPr>
              <w:adjustRightInd w:val="0"/>
              <w:snapToGrid w:val="0"/>
              <w:ind w:firstLine="482"/>
              <w:rPr>
                <w:rFonts w:hint="eastAsia"/>
                <w:b/>
                <w:color w:val="auto"/>
                <w:highlight w:val="none"/>
              </w:rPr>
            </w:pPr>
            <w:r>
              <w:rPr>
                <w:rFonts w:hint="eastAsia"/>
                <w:b/>
                <w:color w:val="auto"/>
                <w:highlight w:val="none"/>
              </w:rPr>
              <w:t>二、运营期工艺流程和产排污环节</w:t>
            </w:r>
          </w:p>
          <w:p w14:paraId="44B3879A">
            <w:pPr>
              <w:adjustRightInd w:val="0"/>
              <w:snapToGrid w:val="0"/>
              <w:ind w:firstLine="480"/>
              <w:rPr>
                <w:rFonts w:hint="eastAsia"/>
                <w:b/>
                <w:bCs w:val="0"/>
                <w:color w:val="auto"/>
                <w:highlight w:val="none"/>
                <w:lang w:val="en-US" w:eastAsia="zh-CN"/>
              </w:rPr>
            </w:pPr>
            <w:r>
              <w:rPr>
                <w:rFonts w:hint="eastAsia"/>
                <w:b/>
                <w:bCs w:val="0"/>
                <w:color w:val="auto"/>
                <w:highlight w:val="none"/>
                <w:lang w:val="en-US" w:eastAsia="zh-CN"/>
              </w:rPr>
              <w:t>1、运营期工艺流程</w:t>
            </w:r>
          </w:p>
          <w:p w14:paraId="0A60F028">
            <w:pPr>
              <w:adjustRightInd w:val="0"/>
              <w:snapToGrid w:val="0"/>
              <w:ind w:firstLine="480"/>
              <w:rPr>
                <w:rFonts w:hint="eastAsia"/>
                <w:bCs/>
                <w:color w:val="auto"/>
                <w:highlight w:val="none"/>
              </w:rPr>
            </w:pPr>
            <w:r>
              <w:rPr>
                <w:rFonts w:hint="eastAsia"/>
                <w:bCs/>
                <w:color w:val="auto"/>
                <w:highlight w:val="none"/>
              </w:rPr>
              <w:t>①入库</w:t>
            </w:r>
          </w:p>
          <w:p w14:paraId="2625B4FA">
            <w:pPr>
              <w:adjustRightInd w:val="0"/>
              <w:snapToGrid w:val="0"/>
              <w:ind w:firstLine="480"/>
              <w:rPr>
                <w:rFonts w:hint="eastAsia"/>
                <w:bCs/>
                <w:color w:val="auto"/>
                <w:highlight w:val="none"/>
              </w:rPr>
            </w:pPr>
            <w:r>
              <w:rPr>
                <w:rFonts w:hint="eastAsia"/>
                <w:bCs/>
                <w:color w:val="auto"/>
                <w:highlight w:val="none"/>
                <w:lang w:eastAsia="zh-CN"/>
              </w:rPr>
              <w:t>废润滑油、</w:t>
            </w:r>
            <w:r>
              <w:rPr>
                <w:rFonts w:hint="eastAsia"/>
                <w:bCs/>
                <w:color w:val="auto"/>
                <w:highlight w:val="none"/>
                <w:lang w:val="en-US" w:eastAsia="zh-CN"/>
              </w:rPr>
              <w:t>废机油、</w:t>
            </w:r>
            <w:r>
              <w:rPr>
                <w:rFonts w:hint="eastAsia"/>
                <w:color w:val="auto"/>
                <w:lang w:val="en-US" w:eastAsia="zh-CN"/>
              </w:rPr>
              <w:t>含油废抹布、废手套</w:t>
            </w:r>
            <w:r>
              <w:rPr>
                <w:rFonts w:hint="eastAsia"/>
                <w:bCs/>
                <w:color w:val="auto"/>
                <w:highlight w:val="none"/>
              </w:rPr>
              <w:t>装入密封桶内，废油桶</w:t>
            </w:r>
            <w:r>
              <w:rPr>
                <w:rFonts w:hint="eastAsia"/>
                <w:bCs/>
                <w:color w:val="auto"/>
                <w:highlight w:val="none"/>
                <w:lang w:val="en-US" w:eastAsia="zh-CN"/>
              </w:rPr>
              <w:t>加盖</w:t>
            </w:r>
            <w:r>
              <w:rPr>
                <w:rFonts w:hint="eastAsia"/>
                <w:bCs/>
                <w:color w:val="auto"/>
                <w:highlight w:val="none"/>
              </w:rPr>
              <w:t>密封堆存，经检查后由人工卸下，搬运至危险废物贮存库内相应分区，规则地堆放在托盘架上，同时填写好记录台账，并在相应位置粘贴好符合标准的标签，注明废物种类和编号。仓库人员定期检查是否存在泄漏情况。</w:t>
            </w:r>
          </w:p>
          <w:p w14:paraId="34E2EB74">
            <w:pPr>
              <w:adjustRightInd w:val="0"/>
              <w:snapToGrid w:val="0"/>
              <w:ind w:firstLine="480"/>
              <w:rPr>
                <w:rFonts w:hint="eastAsia"/>
                <w:bCs/>
                <w:color w:val="auto"/>
                <w:highlight w:val="none"/>
              </w:rPr>
            </w:pPr>
            <w:r>
              <w:rPr>
                <w:rFonts w:hint="eastAsia"/>
                <w:bCs/>
                <w:color w:val="auto"/>
                <w:highlight w:val="none"/>
              </w:rPr>
              <w:t>②出库</w:t>
            </w:r>
          </w:p>
          <w:p w14:paraId="6FC72259">
            <w:pPr>
              <w:adjustRightInd w:val="0"/>
              <w:snapToGrid w:val="0"/>
              <w:ind w:firstLine="480"/>
              <w:rPr>
                <w:rFonts w:hint="eastAsia"/>
                <w:bCs/>
                <w:color w:val="auto"/>
                <w:highlight w:val="none"/>
              </w:rPr>
            </w:pPr>
            <w:r>
              <w:rPr>
                <w:rFonts w:hint="eastAsia"/>
                <w:bCs/>
                <w:color w:val="auto"/>
                <w:highlight w:val="none"/>
              </w:rPr>
              <w:t>当确定危险废物的最终去向并确定外运处置后，应填写危废出库单，并由专门的危险废物转运车辆拉运至指定的有资质单位进行处置。本项目危废贮存天数不超过一年。</w:t>
            </w:r>
          </w:p>
          <w:p w14:paraId="056E8D06">
            <w:pPr>
              <w:adjustRightInd w:val="0"/>
              <w:snapToGrid w:val="0"/>
              <w:ind w:firstLine="480"/>
              <w:rPr>
                <w:rFonts w:hint="eastAsia" w:ascii="Times New Roman" w:hAnsi="Times New Roman" w:eastAsia="宋体" w:cs="Times New Roman"/>
                <w:bCs/>
                <w:color w:val="auto"/>
                <w:highlight w:val="none"/>
              </w:rPr>
            </w:pPr>
            <w:r>
              <w:rPr>
                <w:rFonts w:hint="eastAsia"/>
                <w:bCs/>
                <w:color w:val="auto"/>
                <w:highlight w:val="none"/>
              </w:rPr>
              <w:t>本项目仅对危险废物进行收集和储存，不进行处置，故工艺流程较为简单。危险废物从收集、运输至储存过程中均采用密闭密封桶（空的密封桶均存放于危险废物贮存库用于盛装</w:t>
            </w:r>
            <w:r>
              <w:rPr>
                <w:rFonts w:hint="eastAsia"/>
                <w:bCs/>
                <w:color w:val="auto"/>
                <w:highlight w:val="none"/>
                <w:lang w:eastAsia="zh-CN"/>
              </w:rPr>
              <w:t>废润滑油</w:t>
            </w:r>
            <w:r>
              <w:rPr>
                <w:rFonts w:hint="eastAsia"/>
                <w:bCs/>
                <w:color w:val="auto"/>
                <w:highlight w:val="none"/>
              </w:rPr>
              <w:t>），经专用车辆运至厂区后，</w:t>
            </w:r>
            <w:r>
              <w:rPr>
                <w:rFonts w:hint="eastAsia" w:ascii="Times New Roman" w:hAnsi="Times New Roman" w:eastAsia="宋体" w:cs="Times New Roman"/>
                <w:bCs/>
                <w:color w:val="auto"/>
                <w:highlight w:val="none"/>
              </w:rPr>
              <w:t>直接入库贮存。最终交由有资质单位进行处置。</w:t>
            </w:r>
          </w:p>
          <w:p w14:paraId="01114523">
            <w:pPr>
              <w:ind w:firstLine="0" w:firstLineChars="0"/>
              <w:jc w:val="center"/>
              <w:rPr>
                <w:rStyle w:val="18"/>
                <w:color w:val="auto"/>
                <w:kern w:val="0"/>
                <w:szCs w:val="20"/>
                <w:highlight w:val="none"/>
              </w:rPr>
            </w:pPr>
            <w:r>
              <w:rPr>
                <w:color w:val="auto"/>
                <w:highlight w:val="none"/>
              </w:rPr>
              <w:drawing>
                <wp:inline distT="0" distB="0" distL="114300" distR="114300">
                  <wp:extent cx="5043805" cy="939165"/>
                  <wp:effectExtent l="0" t="0" r="4445" b="13335"/>
                  <wp:docPr id="1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1"/>
                          <pic:cNvPicPr>
                            <a:picLocks noChangeAspect="1"/>
                          </pic:cNvPicPr>
                        </pic:nvPicPr>
                        <pic:blipFill>
                          <a:blip r:embed="rId23"/>
                          <a:stretch>
                            <a:fillRect/>
                          </a:stretch>
                        </pic:blipFill>
                        <pic:spPr>
                          <a:xfrm>
                            <a:off x="0" y="0"/>
                            <a:ext cx="5043805" cy="939165"/>
                          </a:xfrm>
                          <a:prstGeom prst="rect">
                            <a:avLst/>
                          </a:prstGeom>
                          <a:noFill/>
                          <a:ln>
                            <a:noFill/>
                          </a:ln>
                        </pic:spPr>
                      </pic:pic>
                    </a:graphicData>
                  </a:graphic>
                </wp:inline>
              </w:drawing>
            </w:r>
            <w:r>
              <w:rPr>
                <w:b/>
                <w:bCs/>
                <w:color w:val="auto"/>
                <w:highlight w:val="none"/>
              </w:rPr>
              <w:t>图</w:t>
            </w:r>
            <w:r>
              <w:rPr>
                <w:rFonts w:hint="eastAsia"/>
                <w:b/>
                <w:bCs/>
                <w:color w:val="auto"/>
                <w:highlight w:val="none"/>
              </w:rPr>
              <w:t>2-3</w:t>
            </w:r>
            <w:r>
              <w:rPr>
                <w:b/>
                <w:bCs/>
                <w:color w:val="auto"/>
                <w:highlight w:val="none"/>
              </w:rPr>
              <w:t>运营期工艺流程及产排污节点图</w:t>
            </w:r>
          </w:p>
          <w:p w14:paraId="36524DFD">
            <w:pPr>
              <w:keepNext w:val="0"/>
              <w:keepLines w:val="0"/>
              <w:pageBreakBefore w:val="0"/>
              <w:widowControl/>
              <w:wordWrap/>
              <w:topLinePunct w:val="0"/>
              <w:bidi w:val="0"/>
              <w:adjustRightInd/>
              <w:snapToGrid/>
              <w:spacing w:line="360" w:lineRule="auto"/>
              <w:ind w:firstLine="482"/>
              <w:textAlignment w:val="auto"/>
              <w:rPr>
                <w:b/>
                <w:color w:val="auto"/>
                <w:kern w:val="0"/>
                <w:sz w:val="24"/>
                <w:highlight w:val="none"/>
              </w:rPr>
            </w:pPr>
            <w:r>
              <w:rPr>
                <w:b/>
                <w:color w:val="auto"/>
                <w:kern w:val="0"/>
                <w:sz w:val="24"/>
                <w:highlight w:val="none"/>
              </w:rPr>
              <w:t>2、运营期</w:t>
            </w:r>
            <w:r>
              <w:rPr>
                <w:rFonts w:hint="eastAsia"/>
                <w:b/>
                <w:color w:val="auto"/>
                <w:highlight w:val="none"/>
              </w:rPr>
              <w:t>产排污环节</w:t>
            </w:r>
          </w:p>
          <w:p w14:paraId="74B4BD58">
            <w:pPr>
              <w:adjustRightInd w:val="0"/>
              <w:snapToGrid w:val="0"/>
              <w:ind w:firstLine="480"/>
              <w:rPr>
                <w:rFonts w:hint="eastAsia" w:ascii="Times New Roman" w:hAnsi="Times New Roman" w:eastAsia="宋体" w:cs="Times New Roman"/>
                <w:bCs/>
                <w:color w:val="auto"/>
                <w:highlight w:val="none"/>
              </w:rPr>
            </w:pPr>
            <w:r>
              <w:rPr>
                <w:rFonts w:hint="eastAsia" w:ascii="Times New Roman" w:hAnsi="Times New Roman" w:eastAsia="宋体" w:cs="Times New Roman"/>
                <w:bCs/>
                <w:color w:val="auto"/>
                <w:highlight w:val="none"/>
              </w:rPr>
              <w:t>（1）废气</w:t>
            </w:r>
            <w:r>
              <w:rPr>
                <w:rFonts w:hint="eastAsia" w:ascii="Times New Roman" w:hAnsi="Times New Roman" w:eastAsia="宋体" w:cs="Times New Roman"/>
                <w:bCs/>
                <w:color w:val="auto"/>
                <w:highlight w:val="none"/>
                <w:lang w:eastAsia="zh-CN"/>
              </w:rPr>
              <w:t>：</w:t>
            </w:r>
            <w:r>
              <w:rPr>
                <w:rFonts w:hint="eastAsia" w:cs="Times New Roman"/>
                <w:bCs/>
                <w:color w:val="auto"/>
                <w:highlight w:val="none"/>
                <w:lang w:val="en-US" w:eastAsia="zh-CN"/>
              </w:rPr>
              <w:t>废润滑油、废机油</w:t>
            </w:r>
            <w:r>
              <w:rPr>
                <w:rFonts w:hint="eastAsia" w:ascii="Times New Roman" w:hAnsi="Times New Roman" w:eastAsia="宋体" w:cs="Times New Roman"/>
                <w:bCs/>
                <w:color w:val="auto"/>
                <w:highlight w:val="none"/>
              </w:rPr>
              <w:t>采用</w:t>
            </w:r>
            <w:r>
              <w:rPr>
                <w:rFonts w:hint="eastAsia" w:cs="Times New Roman"/>
                <w:bCs/>
                <w:color w:val="auto"/>
                <w:highlight w:val="none"/>
                <w:lang w:eastAsia="zh-CN"/>
              </w:rPr>
              <w:t>密封桶盛装</w:t>
            </w:r>
            <w:r>
              <w:rPr>
                <w:rFonts w:hint="eastAsia" w:ascii="Times New Roman" w:hAnsi="Times New Roman" w:eastAsia="宋体" w:cs="Times New Roman"/>
                <w:bCs/>
                <w:color w:val="auto"/>
                <w:highlight w:val="none"/>
                <w:lang w:val="en-US" w:eastAsia="zh-CN"/>
              </w:rPr>
              <w:t>暂存</w:t>
            </w:r>
            <w:r>
              <w:rPr>
                <w:rFonts w:hint="eastAsia" w:ascii="Times New Roman" w:hAnsi="Times New Roman" w:eastAsia="宋体" w:cs="Times New Roman"/>
                <w:bCs/>
                <w:color w:val="auto"/>
                <w:highlight w:val="none"/>
              </w:rPr>
              <w:t>，</w:t>
            </w:r>
            <w:r>
              <w:rPr>
                <w:rFonts w:hint="eastAsia" w:cs="Times New Roman"/>
                <w:bCs/>
                <w:color w:val="auto"/>
                <w:highlight w:val="none"/>
                <w:lang w:val="en-US" w:eastAsia="zh-CN"/>
              </w:rPr>
              <w:t>废油桶加盖密封后均</w:t>
            </w:r>
            <w:r>
              <w:rPr>
                <w:rFonts w:hint="eastAsia" w:ascii="Times New Roman" w:hAnsi="Times New Roman" w:eastAsia="宋体" w:cs="Times New Roman"/>
                <w:bCs/>
                <w:color w:val="auto"/>
                <w:highlight w:val="none"/>
              </w:rPr>
              <w:t>暂存于危险废物贮存库内，定期带桶一并转运</w:t>
            </w:r>
            <w:r>
              <w:rPr>
                <w:rFonts w:hint="eastAsia" w:ascii="Times New Roman" w:hAnsi="Times New Roman" w:eastAsia="宋体" w:cs="Times New Roman"/>
                <w:bCs/>
                <w:color w:val="auto"/>
                <w:highlight w:val="none"/>
                <w:lang w:eastAsia="zh-CN"/>
              </w:rPr>
              <w:t>，</w:t>
            </w:r>
            <w:r>
              <w:rPr>
                <w:rFonts w:hint="eastAsia" w:ascii="Times New Roman" w:hAnsi="Times New Roman" w:eastAsia="宋体" w:cs="Times New Roman"/>
                <w:bCs/>
                <w:color w:val="auto"/>
                <w:highlight w:val="none"/>
                <w:lang w:val="en-US" w:eastAsia="zh-CN"/>
              </w:rPr>
              <w:t>转运</w:t>
            </w:r>
            <w:r>
              <w:rPr>
                <w:rFonts w:hint="eastAsia" w:cs="Times New Roman"/>
                <w:bCs/>
                <w:color w:val="auto"/>
                <w:highlight w:val="none"/>
                <w:lang w:val="en-US" w:eastAsia="zh-CN"/>
              </w:rPr>
              <w:t>过程</w:t>
            </w:r>
            <w:r>
              <w:rPr>
                <w:rFonts w:hint="eastAsia" w:ascii="Times New Roman" w:hAnsi="Times New Roman" w:eastAsia="宋体" w:cs="Times New Roman"/>
                <w:bCs/>
                <w:color w:val="auto"/>
                <w:highlight w:val="none"/>
                <w:lang w:val="en-US" w:eastAsia="zh-CN"/>
              </w:rPr>
              <w:t>中</w:t>
            </w:r>
            <w:r>
              <w:rPr>
                <w:rFonts w:hint="eastAsia" w:ascii="Times New Roman" w:hAnsi="Times New Roman" w:eastAsia="宋体" w:cs="Times New Roman"/>
                <w:bCs/>
                <w:color w:val="auto"/>
                <w:highlight w:val="none"/>
              </w:rPr>
              <w:t>废气排放量较小，为无组织排放，以非甲烷总烃计。</w:t>
            </w:r>
          </w:p>
          <w:p w14:paraId="5469E6B5">
            <w:pPr>
              <w:adjustRightInd w:val="0"/>
              <w:snapToGrid w:val="0"/>
              <w:ind w:firstLine="480"/>
              <w:rPr>
                <w:rFonts w:hint="eastAsia" w:ascii="Times New Roman" w:hAnsi="Times New Roman" w:eastAsia="宋体" w:cs="Times New Roman"/>
                <w:bCs/>
                <w:color w:val="auto"/>
                <w:highlight w:val="none"/>
              </w:rPr>
            </w:pPr>
            <w:r>
              <w:rPr>
                <w:rFonts w:hint="eastAsia" w:ascii="Times New Roman" w:hAnsi="Times New Roman" w:eastAsia="宋体" w:cs="Times New Roman"/>
                <w:bCs/>
                <w:color w:val="auto"/>
                <w:highlight w:val="none"/>
              </w:rPr>
              <w:t>（2）噪声：主要为</w:t>
            </w:r>
            <w:r>
              <w:rPr>
                <w:rFonts w:hint="eastAsia" w:ascii="Times New Roman" w:hAnsi="Times New Roman" w:eastAsia="宋体" w:cs="Times New Roman"/>
                <w:color w:val="auto"/>
                <w:highlight w:val="none"/>
              </w:rPr>
              <w:t>叉车转运危废、危险废物专用车辆以及轴流风机产生的噪声</w:t>
            </w:r>
            <w:r>
              <w:rPr>
                <w:rFonts w:hint="eastAsia" w:ascii="Times New Roman" w:hAnsi="Times New Roman" w:eastAsia="宋体" w:cs="Times New Roman"/>
                <w:bCs/>
                <w:color w:val="auto"/>
                <w:highlight w:val="none"/>
              </w:rPr>
              <w:t>。</w:t>
            </w:r>
          </w:p>
          <w:p w14:paraId="197B4C8C">
            <w:pPr>
              <w:adjustRightInd w:val="0"/>
              <w:snapToGrid w:val="0"/>
              <w:ind w:firstLine="480"/>
              <w:rPr>
                <w:rFonts w:hint="eastAsia" w:ascii="Times New Roman" w:hAnsi="Times New Roman" w:eastAsia="宋体" w:cs="Times New Roman"/>
                <w:bCs/>
                <w:color w:val="auto"/>
                <w:highlight w:val="none"/>
              </w:rPr>
            </w:pPr>
            <w:r>
              <w:rPr>
                <w:rFonts w:hint="eastAsia" w:ascii="Times New Roman" w:hAnsi="Times New Roman" w:eastAsia="宋体" w:cs="Times New Roman"/>
                <w:bCs/>
                <w:color w:val="auto"/>
                <w:highlight w:val="none"/>
              </w:rPr>
              <w:t>（3）废水：不产生生产废水</w:t>
            </w:r>
            <w:r>
              <w:rPr>
                <w:rFonts w:hint="eastAsia" w:ascii="Times New Roman" w:hAnsi="Times New Roman" w:eastAsia="宋体" w:cs="Times New Roman"/>
                <w:bCs/>
                <w:color w:val="auto"/>
                <w:highlight w:val="none"/>
                <w:lang w:eastAsia="zh-CN"/>
              </w:rPr>
              <w:t>，</w:t>
            </w:r>
            <w:r>
              <w:rPr>
                <w:rFonts w:hint="eastAsia" w:ascii="Times New Roman" w:hAnsi="Times New Roman" w:eastAsia="宋体" w:cs="Times New Roman"/>
                <w:bCs/>
                <w:color w:val="auto"/>
                <w:highlight w:val="none"/>
                <w:lang w:val="en-US" w:eastAsia="zh-CN"/>
              </w:rPr>
              <w:t>无新增</w:t>
            </w:r>
            <w:r>
              <w:rPr>
                <w:rFonts w:hint="eastAsia" w:ascii="Times New Roman" w:hAnsi="Times New Roman" w:eastAsia="宋体" w:cs="Times New Roman"/>
                <w:bCs/>
                <w:color w:val="auto"/>
                <w:highlight w:val="none"/>
              </w:rPr>
              <w:t>生活污水。</w:t>
            </w:r>
          </w:p>
          <w:p w14:paraId="4A11B3D0">
            <w:pPr>
              <w:adjustRightInd w:val="0"/>
              <w:snapToGrid w:val="0"/>
              <w:ind w:firstLine="480"/>
              <w:rPr>
                <w:rFonts w:hint="eastAsia"/>
                <w:color w:val="auto"/>
                <w:highlight w:val="none"/>
              </w:rPr>
            </w:pPr>
            <w:r>
              <w:rPr>
                <w:rFonts w:hint="eastAsia" w:ascii="Times New Roman" w:hAnsi="Times New Roman" w:eastAsia="宋体" w:cs="Times New Roman"/>
                <w:bCs/>
                <w:color w:val="auto"/>
                <w:highlight w:val="none"/>
              </w:rPr>
              <w:t>（4）固体废物：</w:t>
            </w:r>
            <w:r>
              <w:rPr>
                <w:rFonts w:hint="eastAsia" w:cs="Times New Roman"/>
                <w:bCs/>
                <w:color w:val="auto"/>
                <w:highlight w:val="none"/>
                <w:lang w:val="en-US" w:eastAsia="zh-CN"/>
              </w:rPr>
              <w:t>本项目无新增劳动定员，无新增生活垃圾；危险废物</w:t>
            </w:r>
            <w:r>
              <w:rPr>
                <w:rFonts w:hint="eastAsia" w:ascii="Times New Roman" w:hAnsi="Times New Roman" w:eastAsia="宋体" w:cs="Times New Roman"/>
                <w:bCs/>
                <w:color w:val="auto"/>
                <w:highlight w:val="none"/>
              </w:rPr>
              <w:t>在搬运、储存过程中会产生少量</w:t>
            </w:r>
            <w:r>
              <w:rPr>
                <w:rFonts w:hint="eastAsia" w:cs="Times New Roman"/>
                <w:bCs/>
                <w:color w:val="auto"/>
                <w:highlight w:val="none"/>
                <w:lang w:eastAsia="zh-CN"/>
              </w:rPr>
              <w:t>含油</w:t>
            </w:r>
            <w:r>
              <w:rPr>
                <w:rFonts w:hint="eastAsia" w:cs="Times New Roman"/>
                <w:bCs/>
                <w:color w:val="auto"/>
                <w:highlight w:val="none"/>
                <w:lang w:val="en-US" w:eastAsia="zh-CN"/>
              </w:rPr>
              <w:t>废</w:t>
            </w:r>
            <w:r>
              <w:rPr>
                <w:rFonts w:hint="eastAsia" w:cs="Times New Roman"/>
                <w:bCs/>
                <w:color w:val="auto"/>
                <w:highlight w:val="none"/>
                <w:lang w:eastAsia="zh-CN"/>
              </w:rPr>
              <w:t>抹布、废手套</w:t>
            </w:r>
            <w:r>
              <w:rPr>
                <w:rFonts w:hint="eastAsia" w:ascii="Times New Roman" w:hAnsi="Times New Roman" w:eastAsia="宋体" w:cs="Times New Roman"/>
                <w:bCs/>
                <w:color w:val="auto"/>
                <w:highlight w:val="none"/>
              </w:rPr>
              <w:t>，暂存于本项目</w:t>
            </w:r>
            <w:r>
              <w:rPr>
                <w:rFonts w:hint="eastAsia" w:cs="Times New Roman"/>
                <w:bCs/>
                <w:color w:val="auto"/>
                <w:highlight w:val="none"/>
                <w:lang w:eastAsia="zh-CN"/>
              </w:rPr>
              <w:t>危险废物贮存库</w:t>
            </w:r>
            <w:r>
              <w:rPr>
                <w:rFonts w:hint="eastAsia" w:ascii="Times New Roman" w:hAnsi="Times New Roman" w:eastAsia="宋体" w:cs="Times New Roman"/>
                <w:bCs/>
                <w:color w:val="auto"/>
                <w:highlight w:val="none"/>
              </w:rPr>
              <w:t>内，定期交由有资质的单位处理。</w:t>
            </w:r>
          </w:p>
        </w:tc>
      </w:tr>
      <w:tr w14:paraId="114945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9" w:hRule="atLeast"/>
          <w:jc w:val="center"/>
        </w:trPr>
        <w:tc>
          <w:tcPr>
            <w:tcW w:w="2060" w:type="dxa"/>
            <w:gridSpan w:val="2"/>
            <w:noWrap w:val="0"/>
            <w:vAlign w:val="center"/>
          </w:tcPr>
          <w:p w14:paraId="5513D6AB">
            <w:pPr>
              <w:pStyle w:val="12"/>
              <w:adjustRightInd w:val="0"/>
              <w:snapToGrid w:val="0"/>
              <w:spacing w:before="0" w:beforeAutospacing="0" w:after="0" w:afterAutospacing="0"/>
              <w:ind w:firstLine="0" w:firstLineChars="0"/>
              <w:jc w:val="center"/>
              <w:rPr>
                <w:rFonts w:ascii="Times New Roman" w:hAnsi="Times New Roman"/>
                <w:color w:val="auto"/>
                <w:szCs w:val="24"/>
                <w:highlight w:val="none"/>
              </w:rPr>
            </w:pPr>
            <w:r>
              <w:rPr>
                <w:rFonts w:ascii="Times New Roman" w:hAnsi="Times New Roman"/>
                <w:bCs/>
                <w:color w:val="auto"/>
                <w:kern w:val="2"/>
                <w:szCs w:val="24"/>
                <w:highlight w:val="none"/>
              </w:rPr>
              <w:t>与项目有关的原有环境污染问题</w:t>
            </w:r>
          </w:p>
        </w:tc>
        <w:tc>
          <w:tcPr>
            <w:tcW w:w="6924" w:type="dxa"/>
            <w:noWrap w:val="0"/>
            <w:vAlign w:val="center"/>
          </w:tcPr>
          <w:p w14:paraId="3F9297E3">
            <w:pPr>
              <w:bidi w:val="0"/>
              <w:rPr>
                <w:bCs/>
                <w:color w:val="auto"/>
                <w:highlight w:val="none"/>
              </w:rPr>
            </w:pPr>
            <w:r>
              <w:rPr>
                <w:rFonts w:hint="eastAsia"/>
                <w:bCs/>
                <w:color w:val="auto"/>
                <w:highlight w:val="none"/>
                <w:lang w:val="en-US" w:eastAsia="zh-CN"/>
              </w:rPr>
              <w:t>本项目利用厂区内现有空闲库房</w:t>
            </w:r>
            <w:r>
              <w:rPr>
                <w:rFonts w:hint="eastAsia"/>
                <w:bCs/>
                <w:color w:val="auto"/>
                <w:highlight w:val="none"/>
              </w:rPr>
              <w:t>新建1座</w:t>
            </w:r>
            <w:r>
              <w:rPr>
                <w:rFonts w:hint="eastAsia"/>
                <w:bCs/>
                <w:color w:val="auto"/>
                <w:highlight w:val="none"/>
                <w:lang w:eastAsia="zh-CN"/>
              </w:rPr>
              <w:t>7㎡</w:t>
            </w:r>
            <w:r>
              <w:rPr>
                <w:rFonts w:hint="eastAsia"/>
                <w:bCs/>
                <w:color w:val="auto"/>
                <w:highlight w:val="none"/>
              </w:rPr>
              <w:t>的</w:t>
            </w:r>
            <w:r>
              <w:rPr>
                <w:rFonts w:hint="eastAsia"/>
                <w:bCs/>
                <w:color w:val="auto"/>
                <w:highlight w:val="none"/>
                <w:lang w:val="en-US" w:eastAsia="zh-CN"/>
              </w:rPr>
              <w:t>全封闭砖混结构</w:t>
            </w:r>
            <w:r>
              <w:rPr>
                <w:rFonts w:hint="eastAsia"/>
                <w:bCs/>
                <w:color w:val="auto"/>
                <w:highlight w:val="none"/>
              </w:rPr>
              <w:t>危险废物</w:t>
            </w:r>
            <w:r>
              <w:rPr>
                <w:rFonts w:hint="eastAsia"/>
                <w:bCs/>
                <w:color w:val="auto"/>
                <w:highlight w:val="none"/>
                <w:lang w:eastAsia="zh-CN"/>
              </w:rPr>
              <w:t>贮存库</w:t>
            </w:r>
            <w:r>
              <w:rPr>
                <w:rFonts w:hint="eastAsia"/>
                <w:bCs/>
                <w:color w:val="auto"/>
                <w:highlight w:val="none"/>
              </w:rPr>
              <w:t>，</w:t>
            </w:r>
            <w:r>
              <w:rPr>
                <w:rFonts w:hint="eastAsia"/>
                <w:bCs/>
                <w:color w:val="auto"/>
                <w:highlight w:val="none"/>
                <w:lang w:val="en-US" w:eastAsia="zh-CN"/>
              </w:rPr>
              <w:t>由于本项目属于</w:t>
            </w:r>
            <w:r>
              <w:rPr>
                <w:rFonts w:hint="eastAsia"/>
                <w:bCs/>
                <w:color w:val="auto"/>
                <w:highlight w:val="none"/>
              </w:rPr>
              <w:t>新建项目，</w:t>
            </w:r>
            <w:r>
              <w:rPr>
                <w:rFonts w:hint="eastAsia"/>
                <w:bCs/>
                <w:color w:val="auto"/>
                <w:highlight w:val="none"/>
                <w:lang w:val="en-US" w:eastAsia="zh-CN"/>
              </w:rPr>
              <w:t>该厂房一直处于空闲状态，故本项目</w:t>
            </w:r>
            <w:r>
              <w:rPr>
                <w:rFonts w:hint="eastAsia"/>
                <w:bCs/>
                <w:color w:val="auto"/>
                <w:highlight w:val="none"/>
              </w:rPr>
              <w:t>不存在与项目有关的原有污染情况及主要环境问题。</w:t>
            </w:r>
          </w:p>
        </w:tc>
      </w:tr>
    </w:tbl>
    <w:p w14:paraId="45D03A5D">
      <w:pPr>
        <w:pStyle w:val="12"/>
        <w:jc w:val="center"/>
        <w:rPr>
          <w:rFonts w:ascii="Times New Roman" w:hAnsi="Times New Roman" w:eastAsia="黑体"/>
          <w:snapToGrid w:val="0"/>
          <w:color w:val="000000" w:themeColor="text1"/>
          <w:sz w:val="36"/>
          <w:szCs w:val="36"/>
          <w:highlight w:val="none"/>
          <w14:textFill>
            <w14:solidFill>
              <w14:schemeClr w14:val="tx1"/>
            </w14:solidFill>
          </w14:textFill>
        </w:rPr>
        <w:sectPr>
          <w:footerReference r:id="rId10" w:type="default"/>
          <w:pgSz w:w="11906" w:h="16838"/>
          <w:pgMar w:top="1701" w:right="1531" w:bottom="1701" w:left="1531" w:header="851" w:footer="851" w:gutter="0"/>
          <w:pgNumType w:fmt="numberInDash"/>
          <w:cols w:space="720" w:num="1"/>
          <w:docGrid w:linePitch="312" w:charSpace="0"/>
        </w:sectPr>
      </w:pPr>
    </w:p>
    <w:p w14:paraId="06106472">
      <w:pPr>
        <w:pStyle w:val="12"/>
        <w:ind w:firstLine="600"/>
        <w:jc w:val="center"/>
        <w:outlineLvl w:val="0"/>
        <w:rPr>
          <w:rFonts w:ascii="Times New Roman" w:hAnsi="Times New Roman" w:eastAsia="黑体"/>
          <w:snapToGrid w:val="0"/>
          <w:color w:val="000000" w:themeColor="text1"/>
          <w:sz w:val="30"/>
          <w:szCs w:val="30"/>
          <w:highlight w:val="none"/>
          <w14:textFill>
            <w14:solidFill>
              <w14:schemeClr w14:val="tx1"/>
            </w14:solidFill>
          </w14:textFill>
        </w:rPr>
      </w:pPr>
      <w:r>
        <w:rPr>
          <w:rFonts w:ascii="Times New Roman" w:hAnsi="Times New Roman" w:eastAsia="黑体"/>
          <w:snapToGrid w:val="0"/>
          <w:color w:val="000000" w:themeColor="text1"/>
          <w:sz w:val="30"/>
          <w:szCs w:val="30"/>
          <w:highlight w:val="none"/>
          <w14:textFill>
            <w14:solidFill>
              <w14:schemeClr w14:val="tx1"/>
            </w14:solidFill>
          </w14:textFill>
        </w:rPr>
        <w:t>三、区域环境质量现状、环境保护目标及评价标准</w:t>
      </w:r>
    </w:p>
    <w:tbl>
      <w:tblPr>
        <w:tblStyle w:val="1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1091"/>
        <w:gridCol w:w="7099"/>
      </w:tblGrid>
      <w:tr w14:paraId="59C541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noWrap w:val="0"/>
            <w:vAlign w:val="center"/>
          </w:tcPr>
          <w:p w14:paraId="5CA7B8C5">
            <w:pPr>
              <w:adjustRightInd w:val="0"/>
              <w:snapToGrid w:val="0"/>
              <w:ind w:firstLine="0" w:firstLineChars="0"/>
              <w:jc w:val="center"/>
              <w:rPr>
                <w:color w:val="auto"/>
                <w:kern w:val="0"/>
                <w:highlight w:val="none"/>
              </w:rPr>
            </w:pPr>
            <w:r>
              <w:rPr>
                <w:color w:val="auto"/>
                <w:kern w:val="0"/>
                <w:highlight w:val="none"/>
              </w:rPr>
              <w:t>区域</w:t>
            </w:r>
          </w:p>
          <w:p w14:paraId="2A649A42">
            <w:pPr>
              <w:adjustRightInd w:val="0"/>
              <w:snapToGrid w:val="0"/>
              <w:ind w:firstLine="0" w:firstLineChars="0"/>
              <w:jc w:val="center"/>
              <w:rPr>
                <w:color w:val="auto"/>
                <w:kern w:val="0"/>
                <w:highlight w:val="none"/>
              </w:rPr>
            </w:pPr>
            <w:r>
              <w:rPr>
                <w:color w:val="auto"/>
                <w:kern w:val="0"/>
                <w:highlight w:val="none"/>
              </w:rPr>
              <w:t>环境</w:t>
            </w:r>
          </w:p>
          <w:p w14:paraId="646579B8">
            <w:pPr>
              <w:adjustRightInd w:val="0"/>
              <w:snapToGrid w:val="0"/>
              <w:ind w:firstLine="0" w:firstLineChars="0"/>
              <w:jc w:val="center"/>
              <w:rPr>
                <w:color w:val="auto"/>
                <w:kern w:val="0"/>
                <w:highlight w:val="none"/>
              </w:rPr>
            </w:pPr>
            <w:r>
              <w:rPr>
                <w:color w:val="auto"/>
                <w:kern w:val="0"/>
                <w:highlight w:val="none"/>
              </w:rPr>
              <w:t>质量</w:t>
            </w:r>
          </w:p>
          <w:p w14:paraId="425EC493">
            <w:pPr>
              <w:adjustRightInd w:val="0"/>
              <w:snapToGrid w:val="0"/>
              <w:ind w:firstLine="0" w:firstLineChars="0"/>
              <w:jc w:val="center"/>
              <w:rPr>
                <w:color w:val="auto"/>
                <w:kern w:val="0"/>
                <w:highlight w:val="none"/>
              </w:rPr>
            </w:pPr>
            <w:r>
              <w:rPr>
                <w:color w:val="auto"/>
                <w:kern w:val="0"/>
                <w:highlight w:val="none"/>
              </w:rPr>
              <w:t>现状</w:t>
            </w:r>
          </w:p>
        </w:tc>
        <w:tc>
          <w:tcPr>
            <w:tcW w:w="8190" w:type="dxa"/>
            <w:gridSpan w:val="2"/>
            <w:noWrap w:val="0"/>
            <w:vAlign w:val="center"/>
          </w:tcPr>
          <w:p w14:paraId="0889D07F">
            <w:pPr>
              <w:adjustRightInd w:val="0"/>
              <w:snapToGrid w:val="0"/>
              <w:ind w:firstLine="482"/>
              <w:jc w:val="left"/>
              <w:rPr>
                <w:b/>
                <w:bCs/>
                <w:color w:val="auto"/>
                <w:kern w:val="0"/>
                <w:highlight w:val="none"/>
              </w:rPr>
            </w:pPr>
            <w:r>
              <w:rPr>
                <w:b/>
                <w:bCs/>
                <w:color w:val="auto"/>
                <w:kern w:val="0"/>
                <w:highlight w:val="none"/>
              </w:rPr>
              <w:t>1、环境空气质量现状</w:t>
            </w:r>
          </w:p>
          <w:p w14:paraId="116394C2">
            <w:pPr>
              <w:adjustRightInd w:val="0"/>
              <w:snapToGrid w:val="0"/>
              <w:ind w:firstLine="482"/>
              <w:jc w:val="left"/>
              <w:rPr>
                <w:b/>
                <w:bCs/>
                <w:color w:val="auto"/>
                <w:kern w:val="0"/>
                <w:highlight w:val="none"/>
              </w:rPr>
            </w:pPr>
            <w:r>
              <w:rPr>
                <w:b/>
                <w:bCs/>
                <w:color w:val="auto"/>
                <w:kern w:val="0"/>
                <w:highlight w:val="none"/>
              </w:rPr>
              <w:t>（1）项目所在区域环境质量现状</w:t>
            </w:r>
          </w:p>
          <w:p w14:paraId="6F39E98E">
            <w:pPr>
              <w:adjustRightInd w:val="0"/>
              <w:snapToGrid w:val="0"/>
              <w:ind w:firstLine="480"/>
              <w:jc w:val="left"/>
              <w:rPr>
                <w:color w:val="auto"/>
                <w:kern w:val="0"/>
                <w:highlight w:val="none"/>
              </w:rPr>
            </w:pPr>
            <w:r>
              <w:rPr>
                <w:color w:val="auto"/>
                <w:kern w:val="0"/>
                <w:highlight w:val="none"/>
              </w:rPr>
              <w:t>根据内蒙古自治区生态环境厅2024年6月</w:t>
            </w:r>
            <w:r>
              <w:rPr>
                <w:rFonts w:hint="eastAsia"/>
                <w:color w:val="auto"/>
                <w:kern w:val="0"/>
                <w:highlight w:val="none"/>
                <w:lang w:val="en-US" w:eastAsia="zh-CN"/>
              </w:rPr>
              <w:t>5</w:t>
            </w:r>
            <w:r>
              <w:rPr>
                <w:color w:val="auto"/>
                <w:kern w:val="0"/>
                <w:highlight w:val="none"/>
              </w:rPr>
              <w:t>日公布的《2023年内蒙古自治区生态环境状况公报》中“全区城市环境空气质量”结论：“2023年，全区12盟市中，除乌海市，其他11个盟市环境空气质量均达标”。</w:t>
            </w:r>
            <w:r>
              <w:rPr>
                <w:rFonts w:hint="eastAsia"/>
                <w:color w:val="auto"/>
                <w:kern w:val="0"/>
                <w:highlight w:val="none"/>
              </w:rPr>
              <w:t>本</w:t>
            </w:r>
            <w:r>
              <w:rPr>
                <w:color w:val="auto"/>
                <w:kern w:val="0"/>
                <w:highlight w:val="none"/>
              </w:rPr>
              <w:t>项目位于内蒙古自治区鄂尔多斯市</w:t>
            </w:r>
            <w:r>
              <w:rPr>
                <w:rFonts w:hint="eastAsia"/>
                <w:color w:val="auto"/>
                <w:kern w:val="0"/>
                <w:highlight w:val="none"/>
              </w:rPr>
              <w:t>东胜区</w:t>
            </w:r>
            <w:r>
              <w:rPr>
                <w:color w:val="auto"/>
                <w:kern w:val="0"/>
                <w:highlight w:val="none"/>
              </w:rPr>
              <w:t>，因此项目所在区域环境空气质量属于达标区。</w:t>
            </w:r>
          </w:p>
          <w:p w14:paraId="76753D68">
            <w:pPr>
              <w:snapToGrid w:val="0"/>
              <w:jc w:val="center"/>
              <w:rPr>
                <w:rFonts w:ascii="Times New Roman" w:hAnsi="Times New Roman" w:eastAsia="宋体"/>
                <w:b/>
                <w:color w:val="auto"/>
                <w:kern w:val="4"/>
                <w:szCs w:val="21"/>
                <w:highlight w:val="none"/>
              </w:rPr>
            </w:pPr>
            <w:r>
              <w:rPr>
                <w:rFonts w:ascii="Times New Roman" w:hAnsi="Times New Roman" w:eastAsia="宋体"/>
                <w:b/>
                <w:color w:val="auto"/>
                <w:kern w:val="4"/>
                <w:sz w:val="24"/>
                <w:szCs w:val="21"/>
                <w:highlight w:val="none"/>
              </w:rPr>
              <w:t>表</w:t>
            </w:r>
            <w:r>
              <w:rPr>
                <w:rFonts w:hint="eastAsia" w:ascii="Times New Roman" w:hAnsi="Times New Roman" w:eastAsia="宋体"/>
                <w:b/>
                <w:color w:val="auto"/>
                <w:kern w:val="4"/>
                <w:sz w:val="24"/>
                <w:szCs w:val="21"/>
                <w:highlight w:val="none"/>
                <w:lang w:val="en-US" w:eastAsia="zh-CN"/>
              </w:rPr>
              <w:t>3-1</w:t>
            </w:r>
            <w:r>
              <w:rPr>
                <w:rFonts w:ascii="Times New Roman" w:hAnsi="Times New Roman" w:eastAsia="宋体"/>
                <w:b/>
                <w:color w:val="auto"/>
                <w:kern w:val="4"/>
                <w:sz w:val="24"/>
                <w:szCs w:val="21"/>
                <w:highlight w:val="none"/>
              </w:rPr>
              <w:t>区域空气质量现状评价表</w:t>
            </w:r>
          </w:p>
          <w:tbl>
            <w:tblPr>
              <w:tblStyle w:val="14"/>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6"/>
              <w:gridCol w:w="2272"/>
              <w:gridCol w:w="1218"/>
              <w:gridCol w:w="1385"/>
              <w:gridCol w:w="1222"/>
              <w:gridCol w:w="886"/>
            </w:tblGrid>
            <w:tr w14:paraId="21F80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3" w:type="pct"/>
                  <w:noWrap w:val="0"/>
                  <w:vAlign w:val="center"/>
                </w:tcPr>
                <w:p w14:paraId="0ED164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r>
                    <w:rPr>
                      <w:color w:val="auto"/>
                    </w:rPr>
                    <w:t>污染物</w:t>
                  </w:r>
                </w:p>
              </w:tc>
              <w:tc>
                <w:tcPr>
                  <w:tcW w:w="1427" w:type="pct"/>
                  <w:noWrap w:val="0"/>
                  <w:vAlign w:val="center"/>
                </w:tcPr>
                <w:p w14:paraId="005015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r>
                    <w:rPr>
                      <w:color w:val="auto"/>
                    </w:rPr>
                    <w:t>评价指标</w:t>
                  </w:r>
                </w:p>
              </w:tc>
              <w:tc>
                <w:tcPr>
                  <w:tcW w:w="765" w:type="pct"/>
                  <w:noWrap w:val="0"/>
                  <w:vAlign w:val="center"/>
                </w:tcPr>
                <w:p w14:paraId="4E1AFF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r>
                    <w:rPr>
                      <w:color w:val="auto"/>
                    </w:rPr>
                    <w:t>现状浓度/（μg/</w:t>
                  </w:r>
                  <w:r>
                    <w:rPr>
                      <w:rFonts w:hint="eastAsia"/>
                      <w:color w:val="auto"/>
                      <w:lang w:eastAsia="zh-CN"/>
                    </w:rPr>
                    <w:t>m³</w:t>
                  </w:r>
                  <w:r>
                    <w:rPr>
                      <w:color w:val="auto"/>
                    </w:rPr>
                    <w:t>）</w:t>
                  </w:r>
                </w:p>
              </w:tc>
              <w:tc>
                <w:tcPr>
                  <w:tcW w:w="870" w:type="pct"/>
                  <w:noWrap w:val="0"/>
                  <w:vAlign w:val="center"/>
                </w:tcPr>
                <w:p w14:paraId="4D36BC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r>
                    <w:rPr>
                      <w:color w:val="auto"/>
                    </w:rPr>
                    <w:t>标准值/（μg/</w:t>
                  </w:r>
                  <w:r>
                    <w:rPr>
                      <w:rFonts w:hint="eastAsia"/>
                      <w:color w:val="auto"/>
                      <w:lang w:eastAsia="zh-CN"/>
                    </w:rPr>
                    <w:t>m³</w:t>
                  </w:r>
                  <w:r>
                    <w:rPr>
                      <w:color w:val="auto"/>
                    </w:rPr>
                    <w:t>）</w:t>
                  </w:r>
                </w:p>
              </w:tc>
              <w:tc>
                <w:tcPr>
                  <w:tcW w:w="767" w:type="pct"/>
                  <w:noWrap w:val="0"/>
                  <w:vAlign w:val="center"/>
                </w:tcPr>
                <w:p w14:paraId="38111E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r>
                    <w:rPr>
                      <w:color w:val="auto"/>
                    </w:rPr>
                    <w:t>占标率/%</w:t>
                  </w:r>
                </w:p>
              </w:tc>
              <w:tc>
                <w:tcPr>
                  <w:tcW w:w="556" w:type="pct"/>
                  <w:noWrap w:val="0"/>
                  <w:vAlign w:val="center"/>
                </w:tcPr>
                <w:p w14:paraId="4BD3BD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r>
                    <w:rPr>
                      <w:color w:val="auto"/>
                    </w:rPr>
                    <w:t>达标情况</w:t>
                  </w:r>
                </w:p>
              </w:tc>
            </w:tr>
            <w:tr w14:paraId="0B5E1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3" w:type="pct"/>
                  <w:noWrap w:val="0"/>
                  <w:vAlign w:val="center"/>
                </w:tcPr>
                <w:p w14:paraId="2BBDCC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r>
                    <w:rPr>
                      <w:color w:val="auto"/>
                    </w:rPr>
                    <w:t>PM</w:t>
                  </w:r>
                  <w:r>
                    <w:rPr>
                      <w:color w:val="auto"/>
                      <w:vertAlign w:val="subscript"/>
                    </w:rPr>
                    <w:t>10</w:t>
                  </w:r>
                </w:p>
              </w:tc>
              <w:tc>
                <w:tcPr>
                  <w:tcW w:w="1427" w:type="pct"/>
                  <w:noWrap w:val="0"/>
                  <w:vAlign w:val="center"/>
                </w:tcPr>
                <w:p w14:paraId="6A1271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r>
                    <w:rPr>
                      <w:color w:val="auto"/>
                    </w:rPr>
                    <w:t>年平均质量浓度</w:t>
                  </w:r>
                </w:p>
              </w:tc>
              <w:tc>
                <w:tcPr>
                  <w:tcW w:w="765" w:type="pct"/>
                  <w:noWrap w:val="0"/>
                  <w:vAlign w:val="center"/>
                </w:tcPr>
                <w:p w14:paraId="2A504D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lang w:val="en-US" w:eastAsia="zh-CN"/>
                    </w:rPr>
                  </w:pPr>
                  <w:r>
                    <w:rPr>
                      <w:rFonts w:hint="eastAsia"/>
                      <w:color w:val="auto"/>
                      <w:lang w:val="en-US" w:eastAsia="zh-CN"/>
                    </w:rPr>
                    <w:t>56</w:t>
                  </w:r>
                </w:p>
              </w:tc>
              <w:tc>
                <w:tcPr>
                  <w:tcW w:w="870" w:type="pct"/>
                  <w:noWrap w:val="0"/>
                  <w:vAlign w:val="center"/>
                </w:tcPr>
                <w:p w14:paraId="03A3FC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r>
                    <w:rPr>
                      <w:color w:val="auto"/>
                    </w:rPr>
                    <w:t>70</w:t>
                  </w:r>
                </w:p>
              </w:tc>
              <w:tc>
                <w:tcPr>
                  <w:tcW w:w="767" w:type="pct"/>
                  <w:noWrap w:val="0"/>
                  <w:vAlign w:val="center"/>
                </w:tcPr>
                <w:p w14:paraId="3847FA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r>
                    <w:rPr>
                      <w:rFonts w:hint="eastAsia"/>
                      <w:color w:val="auto"/>
                      <w:lang w:val="en-US" w:eastAsia="zh-CN"/>
                    </w:rPr>
                    <w:t>80</w:t>
                  </w:r>
                  <w:r>
                    <w:rPr>
                      <w:color w:val="auto"/>
                    </w:rPr>
                    <w:t>%</w:t>
                  </w:r>
                </w:p>
              </w:tc>
              <w:tc>
                <w:tcPr>
                  <w:tcW w:w="556" w:type="pct"/>
                  <w:noWrap w:val="0"/>
                  <w:vAlign w:val="center"/>
                </w:tcPr>
                <w:p w14:paraId="3E1021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r>
                    <w:rPr>
                      <w:color w:val="auto"/>
                    </w:rPr>
                    <w:t>达标</w:t>
                  </w:r>
                </w:p>
              </w:tc>
            </w:tr>
            <w:tr w14:paraId="5CA1E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3" w:type="pct"/>
                  <w:noWrap w:val="0"/>
                  <w:vAlign w:val="center"/>
                </w:tcPr>
                <w:p w14:paraId="6B3B4A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auto"/>
                      <w:lang w:val="en-US" w:eastAsia="zh-CN"/>
                    </w:rPr>
                  </w:pPr>
                  <w:r>
                    <w:rPr>
                      <w:color w:val="auto"/>
                    </w:rPr>
                    <w:t>P</w:t>
                  </w:r>
                  <w:r>
                    <w:rPr>
                      <w:rFonts w:hint="eastAsia"/>
                      <w:color w:val="auto"/>
                      <w:lang w:val="en-US" w:eastAsia="zh-CN"/>
                    </w:rPr>
                    <w:t>M</w:t>
                  </w:r>
                  <w:r>
                    <w:rPr>
                      <w:rFonts w:hint="eastAsia"/>
                      <w:color w:val="auto"/>
                      <w:vertAlign w:val="subscript"/>
                      <w:lang w:val="en-US" w:eastAsia="zh-CN"/>
                    </w:rPr>
                    <w:t>2.5</w:t>
                  </w:r>
                </w:p>
              </w:tc>
              <w:tc>
                <w:tcPr>
                  <w:tcW w:w="1427" w:type="pct"/>
                  <w:noWrap w:val="0"/>
                  <w:vAlign w:val="center"/>
                </w:tcPr>
                <w:p w14:paraId="1D8F8A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r>
                    <w:rPr>
                      <w:color w:val="auto"/>
                    </w:rPr>
                    <w:t>年平均质量浓度</w:t>
                  </w:r>
                </w:p>
              </w:tc>
              <w:tc>
                <w:tcPr>
                  <w:tcW w:w="765" w:type="pct"/>
                  <w:noWrap w:val="0"/>
                  <w:vAlign w:val="center"/>
                </w:tcPr>
                <w:p w14:paraId="7179EF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lang w:val="en-US" w:eastAsia="zh-CN"/>
                    </w:rPr>
                  </w:pPr>
                  <w:r>
                    <w:rPr>
                      <w:rFonts w:hint="eastAsia"/>
                      <w:color w:val="auto"/>
                      <w:lang w:val="en-US" w:eastAsia="zh-CN"/>
                    </w:rPr>
                    <w:t>20</w:t>
                  </w:r>
                </w:p>
              </w:tc>
              <w:tc>
                <w:tcPr>
                  <w:tcW w:w="870" w:type="pct"/>
                  <w:noWrap w:val="0"/>
                  <w:vAlign w:val="center"/>
                </w:tcPr>
                <w:p w14:paraId="7E4ED4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r>
                    <w:rPr>
                      <w:color w:val="auto"/>
                    </w:rPr>
                    <w:t>35</w:t>
                  </w:r>
                </w:p>
              </w:tc>
              <w:tc>
                <w:tcPr>
                  <w:tcW w:w="767" w:type="pct"/>
                  <w:noWrap w:val="0"/>
                  <w:vAlign w:val="center"/>
                </w:tcPr>
                <w:p w14:paraId="4D2E3E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r>
                    <w:rPr>
                      <w:rFonts w:hint="eastAsia"/>
                      <w:color w:val="auto"/>
                      <w:lang w:val="en-US" w:eastAsia="zh-CN"/>
                    </w:rPr>
                    <w:t>57.14</w:t>
                  </w:r>
                  <w:r>
                    <w:rPr>
                      <w:color w:val="auto"/>
                    </w:rPr>
                    <w:t>%</w:t>
                  </w:r>
                </w:p>
              </w:tc>
              <w:tc>
                <w:tcPr>
                  <w:tcW w:w="556" w:type="pct"/>
                  <w:noWrap w:val="0"/>
                  <w:vAlign w:val="center"/>
                </w:tcPr>
                <w:p w14:paraId="55EC27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r>
                    <w:rPr>
                      <w:color w:val="auto"/>
                    </w:rPr>
                    <w:t>达标</w:t>
                  </w:r>
                </w:p>
              </w:tc>
            </w:tr>
            <w:tr w14:paraId="1EDF4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3" w:type="pct"/>
                  <w:noWrap w:val="0"/>
                  <w:vAlign w:val="center"/>
                </w:tcPr>
                <w:p w14:paraId="1CF348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r>
                    <w:rPr>
                      <w:color w:val="auto"/>
                    </w:rPr>
                    <w:t>SO</w:t>
                  </w:r>
                  <w:r>
                    <w:rPr>
                      <w:color w:val="auto"/>
                      <w:vertAlign w:val="subscript"/>
                    </w:rPr>
                    <w:t>2</w:t>
                  </w:r>
                </w:p>
              </w:tc>
              <w:tc>
                <w:tcPr>
                  <w:tcW w:w="1427" w:type="pct"/>
                  <w:noWrap w:val="0"/>
                  <w:vAlign w:val="center"/>
                </w:tcPr>
                <w:p w14:paraId="089FA4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r>
                    <w:rPr>
                      <w:color w:val="auto"/>
                    </w:rPr>
                    <w:t>年平均质量浓度</w:t>
                  </w:r>
                </w:p>
              </w:tc>
              <w:tc>
                <w:tcPr>
                  <w:tcW w:w="765" w:type="pct"/>
                  <w:noWrap w:val="0"/>
                  <w:vAlign w:val="center"/>
                </w:tcPr>
                <w:p w14:paraId="60C0DB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lang w:val="en-US" w:eastAsia="zh-CN"/>
                    </w:rPr>
                  </w:pPr>
                  <w:r>
                    <w:rPr>
                      <w:rFonts w:hint="eastAsia"/>
                      <w:color w:val="auto"/>
                      <w:lang w:val="en-US" w:eastAsia="zh-CN"/>
                    </w:rPr>
                    <w:t>10</w:t>
                  </w:r>
                </w:p>
              </w:tc>
              <w:tc>
                <w:tcPr>
                  <w:tcW w:w="870" w:type="pct"/>
                  <w:noWrap w:val="0"/>
                  <w:vAlign w:val="center"/>
                </w:tcPr>
                <w:p w14:paraId="6115D2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r>
                    <w:rPr>
                      <w:color w:val="auto"/>
                    </w:rPr>
                    <w:t>60</w:t>
                  </w:r>
                </w:p>
              </w:tc>
              <w:tc>
                <w:tcPr>
                  <w:tcW w:w="767" w:type="pct"/>
                  <w:noWrap w:val="0"/>
                  <w:vAlign w:val="center"/>
                </w:tcPr>
                <w:p w14:paraId="754E76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r>
                    <w:rPr>
                      <w:rFonts w:hint="eastAsia"/>
                      <w:color w:val="auto"/>
                      <w:lang w:val="en-US" w:eastAsia="zh-CN"/>
                    </w:rPr>
                    <w:t>16.67</w:t>
                  </w:r>
                  <w:r>
                    <w:rPr>
                      <w:color w:val="auto"/>
                    </w:rPr>
                    <w:t>%</w:t>
                  </w:r>
                </w:p>
              </w:tc>
              <w:tc>
                <w:tcPr>
                  <w:tcW w:w="556" w:type="pct"/>
                  <w:noWrap w:val="0"/>
                  <w:vAlign w:val="center"/>
                </w:tcPr>
                <w:p w14:paraId="58B6A3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r>
                    <w:rPr>
                      <w:color w:val="auto"/>
                    </w:rPr>
                    <w:t>达标</w:t>
                  </w:r>
                </w:p>
              </w:tc>
            </w:tr>
            <w:tr w14:paraId="16C68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 w:hRule="atLeast"/>
              </w:trPr>
              <w:tc>
                <w:tcPr>
                  <w:tcW w:w="613" w:type="pct"/>
                  <w:noWrap w:val="0"/>
                  <w:vAlign w:val="center"/>
                </w:tcPr>
                <w:p w14:paraId="76924A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r>
                    <w:rPr>
                      <w:color w:val="auto"/>
                    </w:rPr>
                    <w:t>NO</w:t>
                  </w:r>
                  <w:r>
                    <w:rPr>
                      <w:color w:val="auto"/>
                      <w:vertAlign w:val="subscript"/>
                    </w:rPr>
                    <w:t>2</w:t>
                  </w:r>
                </w:p>
              </w:tc>
              <w:tc>
                <w:tcPr>
                  <w:tcW w:w="1427" w:type="pct"/>
                  <w:noWrap w:val="0"/>
                  <w:vAlign w:val="center"/>
                </w:tcPr>
                <w:p w14:paraId="407573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r>
                    <w:rPr>
                      <w:color w:val="auto"/>
                    </w:rPr>
                    <w:t>年平均质量浓度</w:t>
                  </w:r>
                </w:p>
              </w:tc>
              <w:tc>
                <w:tcPr>
                  <w:tcW w:w="765" w:type="pct"/>
                  <w:noWrap w:val="0"/>
                  <w:vAlign w:val="center"/>
                </w:tcPr>
                <w:p w14:paraId="31D986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lang w:val="en-US" w:eastAsia="zh-CN"/>
                    </w:rPr>
                  </w:pPr>
                  <w:r>
                    <w:rPr>
                      <w:rFonts w:hint="eastAsia"/>
                      <w:color w:val="auto"/>
                      <w:lang w:val="en-US" w:eastAsia="zh-CN"/>
                    </w:rPr>
                    <w:t>33</w:t>
                  </w:r>
                </w:p>
              </w:tc>
              <w:tc>
                <w:tcPr>
                  <w:tcW w:w="870" w:type="pct"/>
                  <w:noWrap w:val="0"/>
                  <w:vAlign w:val="center"/>
                </w:tcPr>
                <w:p w14:paraId="75224B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r>
                    <w:rPr>
                      <w:color w:val="auto"/>
                    </w:rPr>
                    <w:t>40</w:t>
                  </w:r>
                </w:p>
              </w:tc>
              <w:tc>
                <w:tcPr>
                  <w:tcW w:w="767" w:type="pct"/>
                  <w:noWrap w:val="0"/>
                  <w:vAlign w:val="center"/>
                </w:tcPr>
                <w:p w14:paraId="33FF79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r>
                    <w:rPr>
                      <w:rFonts w:hint="eastAsia"/>
                      <w:color w:val="auto"/>
                      <w:lang w:val="en-US" w:eastAsia="zh-CN"/>
                    </w:rPr>
                    <w:t>82.5</w:t>
                  </w:r>
                  <w:r>
                    <w:rPr>
                      <w:color w:val="auto"/>
                    </w:rPr>
                    <w:t>%</w:t>
                  </w:r>
                </w:p>
              </w:tc>
              <w:tc>
                <w:tcPr>
                  <w:tcW w:w="556" w:type="pct"/>
                  <w:noWrap w:val="0"/>
                  <w:vAlign w:val="center"/>
                </w:tcPr>
                <w:p w14:paraId="4DD9EBE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r>
                    <w:rPr>
                      <w:color w:val="auto"/>
                    </w:rPr>
                    <w:t>达标</w:t>
                  </w:r>
                </w:p>
              </w:tc>
            </w:tr>
            <w:tr w14:paraId="2E194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613" w:type="pct"/>
                  <w:noWrap w:val="0"/>
                  <w:vAlign w:val="center"/>
                </w:tcPr>
                <w:p w14:paraId="448AA8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r>
                    <w:rPr>
                      <w:color w:val="auto"/>
                    </w:rPr>
                    <w:t>O</w:t>
                  </w:r>
                  <w:r>
                    <w:rPr>
                      <w:color w:val="auto"/>
                      <w:vertAlign w:val="subscript"/>
                    </w:rPr>
                    <w:t>3</w:t>
                  </w:r>
                </w:p>
              </w:tc>
              <w:tc>
                <w:tcPr>
                  <w:tcW w:w="1427" w:type="pct"/>
                  <w:noWrap w:val="0"/>
                  <w:vAlign w:val="center"/>
                </w:tcPr>
                <w:p w14:paraId="38EC40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r>
                    <w:rPr>
                      <w:color w:val="auto"/>
                    </w:rPr>
                    <w:t>日最大8小时（第90百分位浓度）</w:t>
                  </w:r>
                </w:p>
              </w:tc>
              <w:tc>
                <w:tcPr>
                  <w:tcW w:w="765" w:type="pct"/>
                  <w:noWrap w:val="0"/>
                  <w:vAlign w:val="center"/>
                </w:tcPr>
                <w:p w14:paraId="3BCABF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lang w:val="en-US" w:eastAsia="zh-CN"/>
                    </w:rPr>
                  </w:pPr>
                  <w:r>
                    <w:rPr>
                      <w:rFonts w:hint="eastAsia"/>
                      <w:color w:val="auto"/>
                      <w:lang w:val="en-US" w:eastAsia="zh-CN"/>
                    </w:rPr>
                    <w:t>144</w:t>
                  </w:r>
                </w:p>
              </w:tc>
              <w:tc>
                <w:tcPr>
                  <w:tcW w:w="870" w:type="pct"/>
                  <w:noWrap w:val="0"/>
                  <w:vAlign w:val="center"/>
                </w:tcPr>
                <w:p w14:paraId="05D750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r>
                    <w:rPr>
                      <w:color w:val="auto"/>
                    </w:rPr>
                    <w:t>160</w:t>
                  </w:r>
                </w:p>
              </w:tc>
              <w:tc>
                <w:tcPr>
                  <w:tcW w:w="767" w:type="pct"/>
                  <w:noWrap w:val="0"/>
                  <w:vAlign w:val="center"/>
                </w:tcPr>
                <w:p w14:paraId="7CC981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r>
                    <w:rPr>
                      <w:rFonts w:hint="eastAsia"/>
                      <w:color w:val="auto"/>
                      <w:lang w:val="en-US" w:eastAsia="zh-CN"/>
                    </w:rPr>
                    <w:t>90</w:t>
                  </w:r>
                  <w:r>
                    <w:rPr>
                      <w:color w:val="auto"/>
                    </w:rPr>
                    <w:t>%</w:t>
                  </w:r>
                </w:p>
              </w:tc>
              <w:tc>
                <w:tcPr>
                  <w:tcW w:w="556" w:type="pct"/>
                  <w:noWrap w:val="0"/>
                  <w:vAlign w:val="center"/>
                </w:tcPr>
                <w:p w14:paraId="0BE405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r>
                    <w:rPr>
                      <w:color w:val="auto"/>
                    </w:rPr>
                    <w:t>达标</w:t>
                  </w:r>
                </w:p>
              </w:tc>
            </w:tr>
            <w:tr w14:paraId="6BAF9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13" w:type="pct"/>
                  <w:noWrap w:val="0"/>
                  <w:vAlign w:val="center"/>
                </w:tcPr>
                <w:p w14:paraId="5B8D6F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r>
                    <w:rPr>
                      <w:color w:val="auto"/>
                    </w:rPr>
                    <w:t>CO</w:t>
                  </w:r>
                </w:p>
              </w:tc>
              <w:tc>
                <w:tcPr>
                  <w:tcW w:w="1427" w:type="pct"/>
                  <w:noWrap w:val="0"/>
                  <w:vAlign w:val="center"/>
                </w:tcPr>
                <w:p w14:paraId="4D6922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r>
                    <w:rPr>
                      <w:color w:val="auto"/>
                    </w:rPr>
                    <w:t>年平均质量浓度（第95百分位浓度）</w:t>
                  </w:r>
                </w:p>
              </w:tc>
              <w:tc>
                <w:tcPr>
                  <w:tcW w:w="765" w:type="pct"/>
                  <w:noWrap w:val="0"/>
                  <w:vAlign w:val="center"/>
                </w:tcPr>
                <w:p w14:paraId="61C344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lang w:val="en-US" w:eastAsia="zh-CN"/>
                    </w:rPr>
                  </w:pPr>
                  <w:r>
                    <w:rPr>
                      <w:rFonts w:hint="eastAsia"/>
                      <w:color w:val="auto"/>
                      <w:lang w:val="en-US" w:eastAsia="zh-CN"/>
                    </w:rPr>
                    <w:t>1200</w:t>
                  </w:r>
                </w:p>
              </w:tc>
              <w:tc>
                <w:tcPr>
                  <w:tcW w:w="870" w:type="pct"/>
                  <w:noWrap w:val="0"/>
                  <w:vAlign w:val="center"/>
                </w:tcPr>
                <w:p w14:paraId="28B557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lang w:val="en-US" w:eastAsia="zh-CN"/>
                    </w:rPr>
                  </w:pPr>
                  <w:r>
                    <w:rPr>
                      <w:color w:val="auto"/>
                    </w:rPr>
                    <w:t>4</w:t>
                  </w:r>
                  <w:r>
                    <w:rPr>
                      <w:rFonts w:hint="eastAsia"/>
                      <w:color w:val="auto"/>
                      <w:lang w:val="en-US" w:eastAsia="zh-CN"/>
                    </w:rPr>
                    <w:t>000</w:t>
                  </w:r>
                </w:p>
              </w:tc>
              <w:tc>
                <w:tcPr>
                  <w:tcW w:w="767" w:type="pct"/>
                  <w:noWrap w:val="0"/>
                  <w:vAlign w:val="center"/>
                </w:tcPr>
                <w:p w14:paraId="353B2E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r>
                    <w:rPr>
                      <w:rFonts w:hint="eastAsia"/>
                      <w:color w:val="auto"/>
                      <w:lang w:val="en-US" w:eastAsia="zh-CN"/>
                    </w:rPr>
                    <w:t>30</w:t>
                  </w:r>
                  <w:r>
                    <w:rPr>
                      <w:color w:val="auto"/>
                    </w:rPr>
                    <w:t>%</w:t>
                  </w:r>
                </w:p>
              </w:tc>
              <w:tc>
                <w:tcPr>
                  <w:tcW w:w="556" w:type="pct"/>
                  <w:noWrap w:val="0"/>
                  <w:vAlign w:val="center"/>
                </w:tcPr>
                <w:p w14:paraId="3F82E9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rPr>
                  </w:pPr>
                  <w:r>
                    <w:rPr>
                      <w:color w:val="auto"/>
                    </w:rPr>
                    <w:t>达标</w:t>
                  </w:r>
                </w:p>
              </w:tc>
            </w:tr>
          </w:tbl>
          <w:p w14:paraId="507AC4E2">
            <w:pPr>
              <w:bidi w:val="0"/>
              <w:rPr>
                <w:rFonts w:hint="eastAsia"/>
                <w:color w:val="auto"/>
              </w:rPr>
            </w:pPr>
            <w:r>
              <w:rPr>
                <w:rFonts w:hint="eastAsia"/>
                <w:color w:val="auto"/>
              </w:rPr>
              <w:t>由上表可知本项目位于环境空气质量达标区。</w:t>
            </w:r>
          </w:p>
          <w:p w14:paraId="25D94455">
            <w:pPr>
              <w:bidi w:val="0"/>
              <w:rPr>
                <w:b/>
                <w:bCs/>
                <w:color w:val="auto"/>
              </w:rPr>
            </w:pPr>
            <w:r>
              <w:rPr>
                <w:b/>
                <w:bCs/>
                <w:color w:val="auto"/>
              </w:rPr>
              <w:t>（2）其他污染物环境质量现状监测</w:t>
            </w:r>
          </w:p>
          <w:p w14:paraId="2FD38F98">
            <w:pPr>
              <w:adjustRightInd w:val="0"/>
              <w:snapToGrid w:val="0"/>
              <w:ind w:firstLine="480"/>
              <w:jc w:val="left"/>
              <w:rPr>
                <w:color w:val="auto"/>
                <w:kern w:val="0"/>
                <w:highlight w:val="none"/>
              </w:rPr>
            </w:pPr>
            <w:r>
              <w:rPr>
                <w:color w:val="auto"/>
                <w:kern w:val="0"/>
                <w:highlight w:val="none"/>
              </w:rPr>
              <w:t>根据本项目的特点，确定环境空气质量现状</w:t>
            </w:r>
            <w:r>
              <w:rPr>
                <w:rFonts w:hint="eastAsia"/>
                <w:color w:val="auto"/>
                <w:kern w:val="0"/>
                <w:highlight w:val="none"/>
              </w:rPr>
              <w:t>的其他</w:t>
            </w:r>
            <w:r>
              <w:rPr>
                <w:color w:val="auto"/>
                <w:kern w:val="0"/>
                <w:highlight w:val="none"/>
              </w:rPr>
              <w:t>污染物为非甲烷总烃。本项目位于鄂尔多斯市</w:t>
            </w:r>
            <w:r>
              <w:rPr>
                <w:rFonts w:hint="eastAsia"/>
                <w:color w:val="auto"/>
                <w:kern w:val="0"/>
                <w:highlight w:val="none"/>
              </w:rPr>
              <w:t>东胜区</w:t>
            </w:r>
            <w:r>
              <w:rPr>
                <w:color w:val="auto"/>
                <w:kern w:val="0"/>
                <w:highlight w:val="none"/>
              </w:rPr>
              <w:t>，鄂尔多斯市行政范围内无非甲烷总烃的环境空气质量监测网数据或公开发布的环境空气质量现状数据，本次评价非甲烷总烃质量现状监测数据由</w:t>
            </w:r>
            <w:r>
              <w:rPr>
                <w:rFonts w:hint="eastAsia"/>
                <w:color w:val="auto"/>
                <w:highlight w:val="none"/>
                <w:lang w:eastAsia="zh-CN"/>
              </w:rPr>
              <w:t>内蒙古华予环境检测有限公司</w:t>
            </w:r>
            <w:r>
              <w:rPr>
                <w:color w:val="auto"/>
                <w:kern w:val="0"/>
                <w:highlight w:val="none"/>
              </w:rPr>
              <w:t>于202</w:t>
            </w:r>
            <w:r>
              <w:rPr>
                <w:rFonts w:hint="eastAsia"/>
                <w:color w:val="auto"/>
                <w:kern w:val="0"/>
                <w:highlight w:val="none"/>
                <w:lang w:val="en-US" w:eastAsia="zh-CN"/>
              </w:rPr>
              <w:t>5</w:t>
            </w:r>
            <w:r>
              <w:rPr>
                <w:color w:val="auto"/>
                <w:kern w:val="0"/>
                <w:highlight w:val="none"/>
              </w:rPr>
              <w:t>年1月</w:t>
            </w:r>
            <w:r>
              <w:rPr>
                <w:rFonts w:hint="eastAsia"/>
                <w:color w:val="auto"/>
                <w:kern w:val="0"/>
                <w:highlight w:val="none"/>
                <w:lang w:val="en-US" w:eastAsia="zh-CN"/>
              </w:rPr>
              <w:t>11</w:t>
            </w:r>
            <w:r>
              <w:rPr>
                <w:color w:val="auto"/>
                <w:kern w:val="0"/>
                <w:highlight w:val="none"/>
              </w:rPr>
              <w:t>日-202</w:t>
            </w:r>
            <w:r>
              <w:rPr>
                <w:rFonts w:hint="eastAsia"/>
                <w:color w:val="auto"/>
                <w:kern w:val="0"/>
                <w:highlight w:val="none"/>
                <w:lang w:val="en-US" w:eastAsia="zh-CN"/>
              </w:rPr>
              <w:t>5</w:t>
            </w:r>
            <w:r>
              <w:rPr>
                <w:color w:val="auto"/>
                <w:kern w:val="0"/>
                <w:highlight w:val="none"/>
              </w:rPr>
              <w:t>年1月</w:t>
            </w:r>
            <w:r>
              <w:rPr>
                <w:rFonts w:hint="eastAsia"/>
                <w:color w:val="auto"/>
                <w:kern w:val="0"/>
                <w:highlight w:val="none"/>
                <w:lang w:val="en-US" w:eastAsia="zh-CN"/>
              </w:rPr>
              <w:t>13</w:t>
            </w:r>
            <w:r>
              <w:rPr>
                <w:color w:val="auto"/>
                <w:kern w:val="0"/>
                <w:highlight w:val="none"/>
              </w:rPr>
              <w:t>日进行连续三天监测，</w:t>
            </w:r>
            <w:r>
              <w:rPr>
                <w:rFonts w:hint="eastAsia"/>
                <w:color w:val="auto"/>
                <w:kern w:val="0"/>
                <w:highlight w:val="none"/>
                <w:lang w:val="en-US" w:eastAsia="zh-CN"/>
              </w:rPr>
              <w:t>检测结果见表3-2。</w:t>
            </w:r>
            <w:r>
              <w:rPr>
                <w:color w:val="auto"/>
                <w:kern w:val="0"/>
                <w:highlight w:val="none"/>
              </w:rPr>
              <w:t>检测报告见附件</w:t>
            </w:r>
            <w:r>
              <w:rPr>
                <w:rFonts w:hint="eastAsia"/>
                <w:color w:val="auto"/>
                <w:kern w:val="0"/>
                <w:highlight w:val="none"/>
              </w:rPr>
              <w:t>4</w:t>
            </w:r>
            <w:r>
              <w:rPr>
                <w:color w:val="auto"/>
                <w:kern w:val="0"/>
                <w:highlight w:val="none"/>
              </w:rPr>
              <w:t>。</w:t>
            </w:r>
          </w:p>
          <w:p w14:paraId="18CBBCE1">
            <w:pPr>
              <w:ind w:firstLine="0" w:firstLineChars="0"/>
              <w:jc w:val="center"/>
              <w:rPr>
                <w:b/>
                <w:bCs/>
                <w:color w:val="auto"/>
                <w:highlight w:val="none"/>
              </w:rPr>
            </w:pPr>
            <w:r>
              <w:rPr>
                <w:b/>
                <w:bCs/>
                <w:color w:val="auto"/>
                <w:highlight w:val="none"/>
              </w:rPr>
              <w:t>表3-</w:t>
            </w:r>
            <w:r>
              <w:rPr>
                <w:rFonts w:hint="eastAsia"/>
                <w:b/>
                <w:bCs/>
                <w:color w:val="auto"/>
                <w:highlight w:val="none"/>
                <w:lang w:val="en-US" w:eastAsia="zh-CN"/>
              </w:rPr>
              <w:t>2</w:t>
            </w:r>
            <w:r>
              <w:rPr>
                <w:b/>
                <w:bCs/>
                <w:color w:val="auto"/>
                <w:highlight w:val="none"/>
              </w:rPr>
              <w:t>特征污染物环境质量现状（监测结果）一览表</w:t>
            </w:r>
          </w:p>
          <w:tbl>
            <w:tblPr>
              <w:tblStyle w:val="14"/>
              <w:tblW w:w="78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7"/>
              <w:gridCol w:w="1124"/>
              <w:gridCol w:w="1512"/>
              <w:gridCol w:w="1539"/>
              <w:gridCol w:w="1569"/>
              <w:gridCol w:w="816"/>
            </w:tblGrid>
            <w:tr w14:paraId="1EF32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257" w:type="dxa"/>
                  <w:vMerge w:val="restart"/>
                  <w:noWrap w:val="0"/>
                  <w:vAlign w:val="center"/>
                </w:tcPr>
                <w:p w14:paraId="47C7A366">
                  <w:pPr>
                    <w:adjustRightInd w:val="0"/>
                    <w:snapToGrid w:val="0"/>
                    <w:spacing w:line="240" w:lineRule="auto"/>
                    <w:ind w:firstLine="0" w:firstLineChars="0"/>
                    <w:jc w:val="center"/>
                    <w:rPr>
                      <w:color w:val="auto"/>
                      <w:kern w:val="0"/>
                      <w:highlight w:val="none"/>
                    </w:rPr>
                  </w:pPr>
                  <w:r>
                    <w:rPr>
                      <w:color w:val="auto"/>
                      <w:kern w:val="0"/>
                      <w:highlight w:val="none"/>
                    </w:rPr>
                    <w:t>监测点位</w:t>
                  </w:r>
                </w:p>
              </w:tc>
              <w:tc>
                <w:tcPr>
                  <w:tcW w:w="1124" w:type="dxa"/>
                  <w:vMerge w:val="restart"/>
                  <w:noWrap w:val="0"/>
                  <w:vAlign w:val="center"/>
                </w:tcPr>
                <w:p w14:paraId="2C907C49">
                  <w:pPr>
                    <w:adjustRightInd w:val="0"/>
                    <w:snapToGrid w:val="0"/>
                    <w:spacing w:line="240" w:lineRule="auto"/>
                    <w:ind w:firstLine="0" w:firstLineChars="0"/>
                    <w:jc w:val="center"/>
                    <w:rPr>
                      <w:color w:val="auto"/>
                      <w:kern w:val="0"/>
                      <w:highlight w:val="none"/>
                    </w:rPr>
                  </w:pPr>
                  <w:r>
                    <w:rPr>
                      <w:color w:val="auto"/>
                      <w:kern w:val="0"/>
                      <w:highlight w:val="none"/>
                    </w:rPr>
                    <w:t>污染物</w:t>
                  </w:r>
                </w:p>
              </w:tc>
              <w:tc>
                <w:tcPr>
                  <w:tcW w:w="1512" w:type="dxa"/>
                  <w:vMerge w:val="restart"/>
                  <w:noWrap w:val="0"/>
                  <w:vAlign w:val="center"/>
                </w:tcPr>
                <w:p w14:paraId="11FB89F3">
                  <w:pPr>
                    <w:adjustRightInd w:val="0"/>
                    <w:snapToGrid w:val="0"/>
                    <w:spacing w:line="240" w:lineRule="auto"/>
                    <w:ind w:firstLine="0" w:firstLineChars="0"/>
                    <w:jc w:val="center"/>
                    <w:rPr>
                      <w:color w:val="auto"/>
                      <w:kern w:val="0"/>
                      <w:highlight w:val="none"/>
                    </w:rPr>
                  </w:pPr>
                  <w:r>
                    <w:rPr>
                      <w:color w:val="auto"/>
                      <w:kern w:val="0"/>
                      <w:highlight w:val="none"/>
                    </w:rPr>
                    <w:t>评价标准</w:t>
                  </w:r>
                </w:p>
                <w:p w14:paraId="79C01463">
                  <w:pPr>
                    <w:adjustRightInd w:val="0"/>
                    <w:snapToGrid w:val="0"/>
                    <w:spacing w:line="240" w:lineRule="auto"/>
                    <w:ind w:firstLine="0" w:firstLineChars="0"/>
                    <w:jc w:val="center"/>
                    <w:rPr>
                      <w:color w:val="auto"/>
                      <w:kern w:val="0"/>
                      <w:highlight w:val="none"/>
                    </w:rPr>
                  </w:pPr>
                  <w:r>
                    <w:rPr>
                      <w:color w:val="auto"/>
                      <w:kern w:val="0"/>
                      <w:highlight w:val="none"/>
                    </w:rPr>
                    <w:t>（mg/m³）</w:t>
                  </w:r>
                </w:p>
              </w:tc>
              <w:tc>
                <w:tcPr>
                  <w:tcW w:w="1539" w:type="dxa"/>
                  <w:vMerge w:val="restart"/>
                  <w:noWrap w:val="0"/>
                  <w:vAlign w:val="center"/>
                </w:tcPr>
                <w:p w14:paraId="12212620">
                  <w:pPr>
                    <w:adjustRightInd w:val="0"/>
                    <w:snapToGrid w:val="0"/>
                    <w:spacing w:line="240" w:lineRule="auto"/>
                    <w:ind w:firstLine="0" w:firstLineChars="0"/>
                    <w:jc w:val="center"/>
                    <w:rPr>
                      <w:color w:val="auto"/>
                      <w:kern w:val="0"/>
                      <w:highlight w:val="none"/>
                    </w:rPr>
                  </w:pPr>
                  <w:r>
                    <w:rPr>
                      <w:color w:val="auto"/>
                      <w:kern w:val="0"/>
                      <w:highlight w:val="none"/>
                    </w:rPr>
                    <w:t>监测浓度范围（mg/m³）</w:t>
                  </w:r>
                </w:p>
              </w:tc>
              <w:tc>
                <w:tcPr>
                  <w:tcW w:w="1569" w:type="dxa"/>
                  <w:vMerge w:val="restart"/>
                  <w:noWrap w:val="0"/>
                  <w:vAlign w:val="center"/>
                </w:tcPr>
                <w:p w14:paraId="55AA5167">
                  <w:pPr>
                    <w:adjustRightInd w:val="0"/>
                    <w:snapToGrid w:val="0"/>
                    <w:spacing w:line="240" w:lineRule="auto"/>
                    <w:ind w:firstLine="0" w:firstLineChars="0"/>
                    <w:jc w:val="center"/>
                    <w:rPr>
                      <w:color w:val="auto"/>
                      <w:kern w:val="0"/>
                      <w:highlight w:val="none"/>
                    </w:rPr>
                  </w:pPr>
                  <w:r>
                    <w:rPr>
                      <w:color w:val="auto"/>
                      <w:kern w:val="0"/>
                      <w:highlight w:val="none"/>
                    </w:rPr>
                    <w:t>最大浓度占标准率%</w:t>
                  </w:r>
                </w:p>
              </w:tc>
              <w:tc>
                <w:tcPr>
                  <w:tcW w:w="816" w:type="dxa"/>
                  <w:vMerge w:val="restart"/>
                  <w:noWrap w:val="0"/>
                  <w:vAlign w:val="center"/>
                </w:tcPr>
                <w:p w14:paraId="65F3C814">
                  <w:pPr>
                    <w:adjustRightInd w:val="0"/>
                    <w:snapToGrid w:val="0"/>
                    <w:spacing w:line="240" w:lineRule="auto"/>
                    <w:ind w:firstLine="0" w:firstLineChars="0"/>
                    <w:jc w:val="center"/>
                    <w:rPr>
                      <w:color w:val="auto"/>
                      <w:kern w:val="0"/>
                      <w:highlight w:val="none"/>
                    </w:rPr>
                  </w:pPr>
                  <w:r>
                    <w:rPr>
                      <w:color w:val="auto"/>
                      <w:kern w:val="0"/>
                      <w:highlight w:val="none"/>
                    </w:rPr>
                    <w:t>达标情况</w:t>
                  </w:r>
                </w:p>
              </w:tc>
            </w:tr>
            <w:tr w14:paraId="65011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57" w:type="dxa"/>
                  <w:vMerge w:val="continue"/>
                  <w:noWrap w:val="0"/>
                  <w:vAlign w:val="center"/>
                </w:tcPr>
                <w:p w14:paraId="5C20658A">
                  <w:pPr>
                    <w:adjustRightInd w:val="0"/>
                    <w:snapToGrid w:val="0"/>
                    <w:spacing w:line="240" w:lineRule="auto"/>
                    <w:ind w:firstLine="0" w:firstLineChars="0"/>
                    <w:jc w:val="center"/>
                    <w:rPr>
                      <w:color w:val="auto"/>
                      <w:kern w:val="0"/>
                      <w:highlight w:val="none"/>
                    </w:rPr>
                  </w:pPr>
                </w:p>
              </w:tc>
              <w:tc>
                <w:tcPr>
                  <w:tcW w:w="1124" w:type="dxa"/>
                  <w:vMerge w:val="continue"/>
                  <w:noWrap w:val="0"/>
                  <w:vAlign w:val="center"/>
                </w:tcPr>
                <w:p w14:paraId="56BBB214">
                  <w:pPr>
                    <w:adjustRightInd w:val="0"/>
                    <w:snapToGrid w:val="0"/>
                    <w:spacing w:line="240" w:lineRule="auto"/>
                    <w:ind w:firstLine="0" w:firstLineChars="0"/>
                    <w:jc w:val="center"/>
                    <w:rPr>
                      <w:color w:val="auto"/>
                      <w:kern w:val="0"/>
                      <w:highlight w:val="none"/>
                    </w:rPr>
                  </w:pPr>
                </w:p>
              </w:tc>
              <w:tc>
                <w:tcPr>
                  <w:tcW w:w="1512" w:type="dxa"/>
                  <w:vMerge w:val="continue"/>
                  <w:noWrap w:val="0"/>
                  <w:vAlign w:val="center"/>
                </w:tcPr>
                <w:p w14:paraId="05F1398F">
                  <w:pPr>
                    <w:adjustRightInd w:val="0"/>
                    <w:snapToGrid w:val="0"/>
                    <w:spacing w:line="240" w:lineRule="auto"/>
                    <w:ind w:firstLine="0" w:firstLineChars="0"/>
                    <w:jc w:val="center"/>
                    <w:rPr>
                      <w:color w:val="auto"/>
                      <w:kern w:val="0"/>
                      <w:highlight w:val="none"/>
                    </w:rPr>
                  </w:pPr>
                </w:p>
              </w:tc>
              <w:tc>
                <w:tcPr>
                  <w:tcW w:w="1539" w:type="dxa"/>
                  <w:vMerge w:val="continue"/>
                  <w:noWrap w:val="0"/>
                  <w:vAlign w:val="center"/>
                </w:tcPr>
                <w:p w14:paraId="13EA811D">
                  <w:pPr>
                    <w:adjustRightInd w:val="0"/>
                    <w:snapToGrid w:val="0"/>
                    <w:spacing w:line="240" w:lineRule="auto"/>
                    <w:ind w:firstLine="0" w:firstLineChars="0"/>
                    <w:jc w:val="center"/>
                    <w:rPr>
                      <w:color w:val="auto"/>
                      <w:kern w:val="0"/>
                      <w:highlight w:val="none"/>
                    </w:rPr>
                  </w:pPr>
                </w:p>
              </w:tc>
              <w:tc>
                <w:tcPr>
                  <w:tcW w:w="1569" w:type="dxa"/>
                  <w:vMerge w:val="continue"/>
                  <w:noWrap w:val="0"/>
                  <w:vAlign w:val="center"/>
                </w:tcPr>
                <w:p w14:paraId="1AC5876F">
                  <w:pPr>
                    <w:adjustRightInd w:val="0"/>
                    <w:snapToGrid w:val="0"/>
                    <w:spacing w:line="240" w:lineRule="auto"/>
                    <w:ind w:firstLine="0" w:firstLineChars="0"/>
                    <w:jc w:val="center"/>
                    <w:rPr>
                      <w:color w:val="auto"/>
                      <w:kern w:val="0"/>
                      <w:highlight w:val="none"/>
                    </w:rPr>
                  </w:pPr>
                </w:p>
              </w:tc>
              <w:tc>
                <w:tcPr>
                  <w:tcW w:w="816" w:type="dxa"/>
                  <w:vMerge w:val="continue"/>
                  <w:noWrap w:val="0"/>
                  <w:vAlign w:val="center"/>
                </w:tcPr>
                <w:p w14:paraId="4F369753">
                  <w:pPr>
                    <w:adjustRightInd w:val="0"/>
                    <w:snapToGrid w:val="0"/>
                    <w:spacing w:line="240" w:lineRule="auto"/>
                    <w:ind w:firstLine="0" w:firstLineChars="0"/>
                    <w:jc w:val="center"/>
                    <w:rPr>
                      <w:color w:val="auto"/>
                      <w:kern w:val="0"/>
                      <w:highlight w:val="none"/>
                    </w:rPr>
                  </w:pPr>
                </w:p>
              </w:tc>
            </w:tr>
            <w:tr w14:paraId="204EE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1257" w:type="dxa"/>
                  <w:noWrap w:val="0"/>
                  <w:vAlign w:val="center"/>
                </w:tcPr>
                <w:p w14:paraId="07A4893B">
                  <w:pPr>
                    <w:adjustRightInd w:val="0"/>
                    <w:snapToGrid w:val="0"/>
                    <w:spacing w:line="240" w:lineRule="auto"/>
                    <w:ind w:firstLine="0" w:firstLineChars="0"/>
                    <w:jc w:val="center"/>
                    <w:rPr>
                      <w:color w:val="auto"/>
                      <w:kern w:val="0"/>
                      <w:highlight w:val="none"/>
                    </w:rPr>
                  </w:pPr>
                  <w:r>
                    <w:rPr>
                      <w:color w:val="auto"/>
                      <w:kern w:val="0"/>
                      <w:highlight w:val="none"/>
                    </w:rPr>
                    <w:t>厂址下风向</w:t>
                  </w:r>
                </w:p>
              </w:tc>
              <w:tc>
                <w:tcPr>
                  <w:tcW w:w="1124" w:type="dxa"/>
                  <w:noWrap w:val="0"/>
                  <w:vAlign w:val="center"/>
                </w:tcPr>
                <w:p w14:paraId="7EF32507">
                  <w:pPr>
                    <w:adjustRightInd w:val="0"/>
                    <w:snapToGrid w:val="0"/>
                    <w:spacing w:line="240" w:lineRule="auto"/>
                    <w:ind w:firstLine="0" w:firstLineChars="0"/>
                    <w:jc w:val="center"/>
                    <w:rPr>
                      <w:color w:val="auto"/>
                      <w:kern w:val="0"/>
                      <w:highlight w:val="none"/>
                    </w:rPr>
                  </w:pPr>
                  <w:r>
                    <w:rPr>
                      <w:color w:val="auto"/>
                      <w:kern w:val="0"/>
                      <w:highlight w:val="none"/>
                    </w:rPr>
                    <w:t>非甲烷总烃</w:t>
                  </w:r>
                </w:p>
              </w:tc>
              <w:tc>
                <w:tcPr>
                  <w:tcW w:w="1512" w:type="dxa"/>
                  <w:noWrap w:val="0"/>
                  <w:vAlign w:val="center"/>
                </w:tcPr>
                <w:p w14:paraId="47F6629A">
                  <w:pPr>
                    <w:adjustRightInd w:val="0"/>
                    <w:snapToGrid w:val="0"/>
                    <w:spacing w:line="240" w:lineRule="auto"/>
                    <w:ind w:firstLine="0" w:firstLineChars="0"/>
                    <w:jc w:val="center"/>
                    <w:rPr>
                      <w:color w:val="auto"/>
                      <w:kern w:val="0"/>
                      <w:highlight w:val="none"/>
                    </w:rPr>
                  </w:pPr>
                  <w:r>
                    <w:rPr>
                      <w:color w:val="auto"/>
                      <w:kern w:val="0"/>
                      <w:highlight w:val="none"/>
                    </w:rPr>
                    <w:t>2.0</w:t>
                  </w:r>
                </w:p>
              </w:tc>
              <w:tc>
                <w:tcPr>
                  <w:tcW w:w="1539" w:type="dxa"/>
                  <w:noWrap w:val="0"/>
                  <w:vAlign w:val="center"/>
                </w:tcPr>
                <w:p w14:paraId="25FC92BD">
                  <w:pPr>
                    <w:adjustRightInd w:val="0"/>
                    <w:snapToGrid w:val="0"/>
                    <w:spacing w:line="240" w:lineRule="auto"/>
                    <w:ind w:firstLine="0" w:firstLineChars="0"/>
                    <w:jc w:val="center"/>
                    <w:rPr>
                      <w:rFonts w:hint="default" w:eastAsia="宋体"/>
                      <w:color w:val="auto"/>
                      <w:kern w:val="0"/>
                      <w:highlight w:val="none"/>
                      <w:lang w:val="en-US" w:eastAsia="zh-CN"/>
                    </w:rPr>
                  </w:pPr>
                  <w:r>
                    <w:rPr>
                      <w:color w:val="auto"/>
                      <w:kern w:val="0"/>
                      <w:highlight w:val="none"/>
                    </w:rPr>
                    <w:t>0.</w:t>
                  </w:r>
                  <w:r>
                    <w:rPr>
                      <w:rFonts w:hint="eastAsia"/>
                      <w:color w:val="auto"/>
                      <w:kern w:val="0"/>
                      <w:highlight w:val="none"/>
                      <w:lang w:val="en-US" w:eastAsia="zh-CN"/>
                    </w:rPr>
                    <w:t>11</w:t>
                  </w:r>
                  <w:r>
                    <w:rPr>
                      <w:color w:val="auto"/>
                      <w:kern w:val="0"/>
                      <w:highlight w:val="none"/>
                    </w:rPr>
                    <w:t>-</w:t>
                  </w:r>
                  <w:r>
                    <w:rPr>
                      <w:rFonts w:hint="eastAsia"/>
                      <w:color w:val="auto"/>
                      <w:kern w:val="0"/>
                      <w:highlight w:val="none"/>
                    </w:rPr>
                    <w:t>0.</w:t>
                  </w:r>
                  <w:r>
                    <w:rPr>
                      <w:rFonts w:hint="eastAsia"/>
                      <w:color w:val="auto"/>
                      <w:kern w:val="0"/>
                      <w:highlight w:val="none"/>
                      <w:lang w:val="en-US" w:eastAsia="zh-CN"/>
                    </w:rPr>
                    <w:t>99</w:t>
                  </w:r>
                </w:p>
              </w:tc>
              <w:tc>
                <w:tcPr>
                  <w:tcW w:w="1569" w:type="dxa"/>
                  <w:noWrap w:val="0"/>
                  <w:vAlign w:val="center"/>
                </w:tcPr>
                <w:p w14:paraId="2BDD37BD">
                  <w:pPr>
                    <w:adjustRightInd w:val="0"/>
                    <w:snapToGrid w:val="0"/>
                    <w:spacing w:line="240" w:lineRule="auto"/>
                    <w:ind w:firstLine="0" w:firstLineChars="0"/>
                    <w:jc w:val="center"/>
                    <w:rPr>
                      <w:color w:val="auto"/>
                      <w:kern w:val="0"/>
                      <w:highlight w:val="none"/>
                    </w:rPr>
                  </w:pPr>
                  <w:r>
                    <w:rPr>
                      <w:rFonts w:hint="eastAsia" w:cs="Times New Roman"/>
                      <w:color w:val="auto"/>
                      <w:kern w:val="0"/>
                      <w:highlight w:val="none"/>
                      <w:lang w:val="en-US" w:eastAsia="zh-CN"/>
                    </w:rPr>
                    <w:t>5.5</w:t>
                  </w:r>
                  <w:r>
                    <w:rPr>
                      <w:rFonts w:hint="eastAsia" w:ascii="Times New Roman" w:hAnsi="Times New Roman" w:eastAsia="宋体" w:cs="Times New Roman"/>
                      <w:color w:val="auto"/>
                      <w:kern w:val="0"/>
                      <w:highlight w:val="none"/>
                    </w:rPr>
                    <w:t>%-</w:t>
                  </w:r>
                  <w:r>
                    <w:rPr>
                      <w:rFonts w:hint="eastAsia" w:cs="Times New Roman"/>
                      <w:color w:val="auto"/>
                      <w:kern w:val="0"/>
                      <w:highlight w:val="none"/>
                      <w:lang w:val="en-US" w:eastAsia="zh-CN"/>
                    </w:rPr>
                    <w:t>49.5</w:t>
                  </w:r>
                  <w:r>
                    <w:rPr>
                      <w:rFonts w:hint="eastAsia" w:ascii="Times New Roman" w:hAnsi="Times New Roman" w:eastAsia="宋体" w:cs="Times New Roman"/>
                      <w:color w:val="auto"/>
                      <w:kern w:val="0"/>
                      <w:highlight w:val="none"/>
                    </w:rPr>
                    <w:t>%</w:t>
                  </w:r>
                </w:p>
              </w:tc>
              <w:tc>
                <w:tcPr>
                  <w:tcW w:w="816" w:type="dxa"/>
                  <w:noWrap w:val="0"/>
                  <w:vAlign w:val="center"/>
                </w:tcPr>
                <w:p w14:paraId="44C1C1EB">
                  <w:pPr>
                    <w:adjustRightInd w:val="0"/>
                    <w:snapToGrid w:val="0"/>
                    <w:spacing w:line="240" w:lineRule="auto"/>
                    <w:ind w:firstLine="0" w:firstLineChars="0"/>
                    <w:jc w:val="center"/>
                    <w:rPr>
                      <w:color w:val="auto"/>
                      <w:kern w:val="0"/>
                      <w:highlight w:val="none"/>
                    </w:rPr>
                  </w:pPr>
                  <w:r>
                    <w:rPr>
                      <w:color w:val="auto"/>
                      <w:kern w:val="0"/>
                      <w:highlight w:val="none"/>
                    </w:rPr>
                    <w:t>达标</w:t>
                  </w:r>
                </w:p>
              </w:tc>
            </w:tr>
          </w:tbl>
          <w:p w14:paraId="3A1E46A7">
            <w:pPr>
              <w:adjustRightInd w:val="0"/>
              <w:snapToGrid w:val="0"/>
              <w:ind w:firstLine="480"/>
              <w:jc w:val="left"/>
              <w:rPr>
                <w:rFonts w:hint="default"/>
                <w:color w:val="auto"/>
                <w:kern w:val="0"/>
                <w:highlight w:val="none"/>
                <w:lang w:val="en-US" w:eastAsia="zh-CN"/>
              </w:rPr>
            </w:pPr>
            <w:r>
              <w:rPr>
                <w:color w:val="auto"/>
                <w:kern w:val="0"/>
                <w:highlight w:val="none"/>
              </w:rPr>
              <w:t>由表3-</w:t>
            </w:r>
            <w:r>
              <w:rPr>
                <w:rFonts w:hint="eastAsia"/>
                <w:color w:val="auto"/>
                <w:kern w:val="0"/>
                <w:highlight w:val="none"/>
                <w:lang w:val="en-US" w:eastAsia="zh-CN"/>
              </w:rPr>
              <w:t>2</w:t>
            </w:r>
            <w:r>
              <w:rPr>
                <w:color w:val="auto"/>
                <w:kern w:val="0"/>
                <w:highlight w:val="none"/>
              </w:rPr>
              <w:t>可知，评价区域特征污染物非甲烷总烃检测结果满足《环境空气质量非甲烷总烃限值》（DB13/1577-2012）</w:t>
            </w:r>
            <w:r>
              <w:rPr>
                <w:rFonts w:hint="eastAsia"/>
                <w:color w:val="auto"/>
                <w:kern w:val="0"/>
                <w:highlight w:val="none"/>
                <w:lang w:val="en-US" w:eastAsia="zh-CN"/>
              </w:rPr>
              <w:t>表1中二级标准限值，</w:t>
            </w:r>
            <w:r>
              <w:rPr>
                <w:color w:val="auto"/>
                <w:kern w:val="0"/>
                <w:highlight w:val="none"/>
              </w:rPr>
              <w:t>项目区域大气环境质量良好。</w:t>
            </w:r>
          </w:p>
          <w:p w14:paraId="4FBAB4D8">
            <w:pPr>
              <w:adjustRightInd w:val="0"/>
              <w:snapToGrid w:val="0"/>
              <w:ind w:firstLine="482"/>
              <w:jc w:val="left"/>
              <w:rPr>
                <w:b/>
                <w:bCs/>
                <w:color w:val="auto"/>
                <w:kern w:val="0"/>
                <w:highlight w:val="none"/>
              </w:rPr>
            </w:pPr>
            <w:r>
              <w:rPr>
                <w:b/>
                <w:bCs/>
                <w:color w:val="auto"/>
                <w:kern w:val="0"/>
                <w:highlight w:val="none"/>
              </w:rPr>
              <w:t>2、声环境质量现状</w:t>
            </w:r>
          </w:p>
          <w:p w14:paraId="0D171614">
            <w:pPr>
              <w:adjustRightInd w:val="0"/>
              <w:snapToGrid w:val="0"/>
              <w:ind w:firstLine="480"/>
              <w:jc w:val="left"/>
              <w:rPr>
                <w:color w:val="auto"/>
                <w:kern w:val="0"/>
                <w:highlight w:val="none"/>
              </w:rPr>
            </w:pPr>
            <w:r>
              <w:rPr>
                <w:color w:val="auto"/>
                <w:kern w:val="0"/>
                <w:highlight w:val="none"/>
              </w:rPr>
              <w:t>根据《建设项目环境影响报告表编制技术指南（污染影响类）》（试行），厂界外周边50米范围内存在声环境保护目标的建设项目，应监测保护目标声环境质量现状并评价达标情况。根据现场踏勘本项目厂界范围50米范围内无声环境保护</w:t>
            </w:r>
            <w:r>
              <w:rPr>
                <w:rFonts w:ascii="Times New Roman" w:hAnsi="Times New Roman" w:eastAsia="宋体" w:cs="Times New Roman"/>
                <w:color w:val="auto"/>
                <w:kern w:val="0"/>
                <w:highlight w:val="none"/>
              </w:rPr>
              <w:t>目标，因此本次不对声环境质量现状</w:t>
            </w:r>
            <w:r>
              <w:rPr>
                <w:rFonts w:hint="eastAsia" w:ascii="Times New Roman" w:hAnsi="Times New Roman" w:eastAsia="宋体" w:cs="Times New Roman"/>
                <w:color w:val="auto"/>
                <w:kern w:val="0"/>
                <w:highlight w:val="none"/>
                <w:lang w:val="en-US" w:eastAsia="zh-CN"/>
              </w:rPr>
              <w:t>监测</w:t>
            </w:r>
            <w:r>
              <w:rPr>
                <w:rFonts w:ascii="Times New Roman" w:hAnsi="Times New Roman" w:eastAsia="宋体" w:cs="Times New Roman"/>
                <w:color w:val="auto"/>
                <w:kern w:val="0"/>
                <w:highlight w:val="none"/>
              </w:rPr>
              <w:t>。</w:t>
            </w:r>
          </w:p>
          <w:p w14:paraId="735E3ECC">
            <w:pPr>
              <w:ind w:firstLine="482"/>
              <w:rPr>
                <w:b/>
                <w:bCs/>
                <w:color w:val="auto"/>
                <w:highlight w:val="none"/>
              </w:rPr>
            </w:pPr>
            <w:r>
              <w:rPr>
                <w:b/>
                <w:bCs/>
                <w:color w:val="auto"/>
                <w:highlight w:val="none"/>
              </w:rPr>
              <w:t>3、地下水环境质量现状</w:t>
            </w:r>
          </w:p>
          <w:p w14:paraId="46D42F62">
            <w:pPr>
              <w:ind w:firstLine="480"/>
              <w:rPr>
                <w:color w:val="auto"/>
                <w:highlight w:val="none"/>
              </w:rPr>
            </w:pPr>
            <w:r>
              <w:rPr>
                <w:color w:val="auto"/>
                <w:highlight w:val="none"/>
              </w:rPr>
              <w:t>依照《建设项目环境影响报告表编制技术指南（污染影响类）》（试行），地下水环境原则上不开展环境质量现状调查。建设项目存在地下水污染途径的，应结合污染源、保护目标分布情况开展现状调查以留作背景值。经调查，本项目用于暂存</w:t>
            </w:r>
            <w:r>
              <w:rPr>
                <w:rFonts w:hint="eastAsia"/>
                <w:color w:val="auto"/>
                <w:highlight w:val="none"/>
                <w:lang w:eastAsia="zh-CN"/>
              </w:rPr>
              <w:t>鄂尔多斯市宇驰顺捷汽车销售服务有限公司现有</w:t>
            </w:r>
            <w:r>
              <w:rPr>
                <w:color w:val="auto"/>
                <w:highlight w:val="none"/>
              </w:rPr>
              <w:t>产生的</w:t>
            </w:r>
            <w:r>
              <w:rPr>
                <w:rFonts w:hint="eastAsia"/>
                <w:color w:val="auto"/>
                <w:highlight w:val="none"/>
                <w:lang w:eastAsia="zh-CN"/>
              </w:rPr>
              <w:t>废润滑油、</w:t>
            </w:r>
            <w:r>
              <w:rPr>
                <w:rFonts w:hint="eastAsia"/>
                <w:color w:val="auto"/>
                <w:highlight w:val="none"/>
              </w:rPr>
              <w:t>废油桶，</w:t>
            </w:r>
            <w:r>
              <w:rPr>
                <w:color w:val="auto"/>
                <w:highlight w:val="none"/>
              </w:rPr>
              <w:t>危险废物贮存库地面、</w:t>
            </w:r>
            <w:r>
              <w:rPr>
                <w:rFonts w:hint="eastAsia"/>
                <w:color w:val="auto"/>
                <w:highlight w:val="none"/>
              </w:rPr>
              <w:t>裙脚</w:t>
            </w:r>
            <w:r>
              <w:rPr>
                <w:color w:val="auto"/>
                <w:highlight w:val="none"/>
              </w:rPr>
              <w:t>、集液池、</w:t>
            </w:r>
            <w:r>
              <w:rPr>
                <w:rFonts w:hint="eastAsia"/>
                <w:color w:val="auto"/>
                <w:highlight w:val="none"/>
              </w:rPr>
              <w:t>导流渠采用相同防渗层，</w:t>
            </w:r>
            <w:r>
              <w:rPr>
                <w:color w:val="auto"/>
                <w:highlight w:val="none"/>
              </w:rPr>
              <w:t>按照《危险废物贮存污染控制标准》（GB18597-2023）相关内容进行防渗，具</w:t>
            </w:r>
            <w:r>
              <w:rPr>
                <w:rFonts w:ascii="Times New Roman" w:hAnsi="Times New Roman" w:eastAsia="宋体" w:cs="Times New Roman"/>
                <w:color w:val="auto"/>
                <w:highlight w:val="none"/>
              </w:rPr>
              <w:t>体防渗措施采用</w:t>
            </w:r>
            <w:r>
              <w:rPr>
                <w:rFonts w:hint="eastAsia" w:cs="Times New Roman"/>
                <w:color w:val="auto"/>
                <w:highlight w:val="none"/>
                <w:lang w:eastAsia="zh-CN"/>
              </w:rPr>
              <w:t>防渗层为至少1m厚黏土层（渗透系数≤10</w:t>
            </w:r>
            <w:r>
              <w:rPr>
                <w:rFonts w:hint="eastAsia" w:cs="Times New Roman"/>
                <w:color w:val="auto"/>
                <w:highlight w:val="none"/>
                <w:vertAlign w:val="superscript"/>
                <w:lang w:eastAsia="zh-CN"/>
              </w:rPr>
              <w:t>-7</w:t>
            </w:r>
            <w:r>
              <w:rPr>
                <w:rFonts w:hint="eastAsia" w:cs="Times New Roman"/>
                <w:color w:val="auto"/>
                <w:highlight w:val="none"/>
                <w:lang w:eastAsia="zh-CN"/>
              </w:rPr>
              <w:t>cm/s），或至少2mm厚高密度聚乙烯膜等人工防渗材料（渗透系数≤10</w:t>
            </w:r>
            <w:r>
              <w:rPr>
                <w:rFonts w:hint="eastAsia" w:cs="Times New Roman"/>
                <w:color w:val="auto"/>
                <w:highlight w:val="none"/>
                <w:vertAlign w:val="superscript"/>
                <w:lang w:eastAsia="zh-CN"/>
              </w:rPr>
              <w:t>-10</w:t>
            </w:r>
            <w:r>
              <w:rPr>
                <w:rFonts w:hint="eastAsia" w:cs="Times New Roman"/>
                <w:color w:val="auto"/>
                <w:highlight w:val="none"/>
                <w:lang w:eastAsia="zh-CN"/>
              </w:rPr>
              <w:t>cm/s），或其他防渗性能等效的材料，并涂刷环氧树脂地坪漆。</w:t>
            </w:r>
            <w:r>
              <w:rPr>
                <w:rFonts w:hint="eastAsia" w:cs="Times New Roman"/>
                <w:color w:val="auto"/>
                <w:highlight w:val="none"/>
                <w:lang w:val="en-US" w:eastAsia="zh-CN"/>
              </w:rPr>
              <w:t>在采取上述防渗措施后，本项目对周围地下水环境影响较小，</w:t>
            </w:r>
            <w:r>
              <w:rPr>
                <w:rFonts w:hint="eastAsia"/>
                <w:color w:val="auto"/>
                <w:highlight w:val="none"/>
                <w:lang w:val="en-US" w:eastAsia="zh-CN"/>
              </w:rPr>
              <w:t>且</w:t>
            </w:r>
            <w:r>
              <w:rPr>
                <w:rFonts w:hint="eastAsia"/>
                <w:color w:val="auto"/>
                <w:highlight w:val="none"/>
                <w:lang w:eastAsia="zh-CN"/>
              </w:rPr>
              <w:t>本</w:t>
            </w:r>
            <w:r>
              <w:rPr>
                <w:rFonts w:hint="eastAsia" w:cs="Times New Roman"/>
                <w:color w:val="auto"/>
                <w:highlight w:val="none"/>
                <w:lang w:eastAsia="zh-CN"/>
              </w:rPr>
              <w:t>项目位于城市建成区，项目周边无水井，因此，本次未开展地下水环境质量现状调查。</w:t>
            </w:r>
          </w:p>
          <w:p w14:paraId="3A419AB2">
            <w:pPr>
              <w:ind w:firstLine="482"/>
              <w:rPr>
                <w:b/>
                <w:bCs/>
                <w:color w:val="auto"/>
                <w:highlight w:val="none"/>
              </w:rPr>
            </w:pPr>
            <w:r>
              <w:rPr>
                <w:b/>
                <w:bCs/>
                <w:color w:val="auto"/>
                <w:highlight w:val="none"/>
              </w:rPr>
              <w:t>4、土壤</w:t>
            </w:r>
            <w:r>
              <w:rPr>
                <w:rFonts w:hint="eastAsia"/>
                <w:b/>
                <w:bCs/>
                <w:color w:val="auto"/>
                <w:highlight w:val="none"/>
              </w:rPr>
              <w:t>环境质量现状</w:t>
            </w:r>
          </w:p>
          <w:p w14:paraId="0F034DA2">
            <w:pPr>
              <w:ind w:firstLine="480"/>
              <w:rPr>
                <w:color w:val="auto"/>
                <w:highlight w:val="none"/>
              </w:rPr>
            </w:pPr>
            <w:r>
              <w:rPr>
                <w:color w:val="auto"/>
                <w:highlight w:val="none"/>
              </w:rPr>
              <w:t>本项目依照《建设项目环境影响报告表编制技术指南（污染影响类）》（试行），土壤环境原则上不开展环境质量现状调查。危险废物贮存库地面、裙脚、集液池、导流渠采用相同防渗</w:t>
            </w:r>
            <w:r>
              <w:rPr>
                <w:rFonts w:ascii="Times New Roman" w:hAnsi="Times New Roman" w:eastAsia="宋体" w:cs="Times New Roman"/>
                <w:color w:val="auto"/>
                <w:highlight w:val="none"/>
              </w:rPr>
              <w:t>层，按照《危险废物贮存污染控制标准》（GB18597-2023）相关内容进行防渗，具体防渗措施采用</w:t>
            </w:r>
            <w:r>
              <w:rPr>
                <w:rFonts w:hint="eastAsia" w:cs="Times New Roman"/>
                <w:color w:val="auto"/>
                <w:highlight w:val="none"/>
                <w:lang w:eastAsia="zh-CN"/>
              </w:rPr>
              <w:t>防渗层为至少1m厚黏土层（渗透系数≤10</w:t>
            </w:r>
            <w:r>
              <w:rPr>
                <w:rFonts w:hint="eastAsia" w:cs="Times New Roman"/>
                <w:color w:val="auto"/>
                <w:highlight w:val="none"/>
                <w:vertAlign w:val="superscript"/>
                <w:lang w:eastAsia="zh-CN"/>
              </w:rPr>
              <w:t>-7</w:t>
            </w:r>
            <w:r>
              <w:rPr>
                <w:rFonts w:hint="eastAsia" w:cs="Times New Roman"/>
                <w:color w:val="auto"/>
                <w:highlight w:val="none"/>
                <w:lang w:eastAsia="zh-CN"/>
              </w:rPr>
              <w:t>cm/s），或至少2mm厚高密度聚乙烯膜等人工防渗材料（渗透系数≤10</w:t>
            </w:r>
            <w:r>
              <w:rPr>
                <w:rFonts w:hint="eastAsia" w:cs="Times New Roman"/>
                <w:color w:val="auto"/>
                <w:highlight w:val="none"/>
                <w:vertAlign w:val="superscript"/>
                <w:lang w:eastAsia="zh-CN"/>
              </w:rPr>
              <w:t>-10</w:t>
            </w:r>
            <w:r>
              <w:rPr>
                <w:rFonts w:hint="eastAsia" w:cs="Times New Roman"/>
                <w:color w:val="auto"/>
                <w:highlight w:val="none"/>
                <w:lang w:eastAsia="zh-CN"/>
              </w:rPr>
              <w:t>cm/s），或其他防渗性能等效的材料，并涂刷环氧树脂地坪漆。</w:t>
            </w:r>
            <w:r>
              <w:rPr>
                <w:rFonts w:hint="eastAsia" w:cs="Times New Roman"/>
                <w:color w:val="auto"/>
                <w:highlight w:val="none"/>
                <w:lang w:val="en-US" w:eastAsia="zh-CN"/>
              </w:rPr>
              <w:t>在采取上述防渗措施后，本项目对周围土壤环境影响较小，且项目厂区周边范围内已全部硬化处理，无裸露表土，</w:t>
            </w:r>
            <w:r>
              <w:rPr>
                <w:color w:val="auto"/>
                <w:highlight w:val="none"/>
              </w:rPr>
              <w:t>因此本次评价</w:t>
            </w:r>
            <w:r>
              <w:rPr>
                <w:rFonts w:hint="eastAsia"/>
                <w:color w:val="auto"/>
                <w:highlight w:val="none"/>
                <w:lang w:val="en-US" w:eastAsia="zh-CN"/>
              </w:rPr>
              <w:t>未</w:t>
            </w:r>
            <w:r>
              <w:rPr>
                <w:color w:val="auto"/>
                <w:highlight w:val="none"/>
              </w:rPr>
              <w:t>开展土壤环境质量现状监测。</w:t>
            </w:r>
          </w:p>
          <w:p w14:paraId="1069880F">
            <w:pPr>
              <w:ind w:firstLine="482"/>
              <w:rPr>
                <w:color w:val="auto"/>
                <w:highlight w:val="none"/>
              </w:rPr>
            </w:pPr>
            <w:r>
              <w:rPr>
                <w:b/>
                <w:bCs/>
                <w:color w:val="auto"/>
                <w:highlight w:val="none"/>
              </w:rPr>
              <w:t>5、地表水、生态环境</w:t>
            </w:r>
            <w:r>
              <w:rPr>
                <w:rFonts w:hint="eastAsia"/>
                <w:b/>
                <w:bCs/>
                <w:color w:val="auto"/>
                <w:highlight w:val="none"/>
              </w:rPr>
              <w:t>质量现状</w:t>
            </w:r>
          </w:p>
          <w:p w14:paraId="2D8F8AA5">
            <w:pPr>
              <w:adjustRightInd w:val="0"/>
              <w:snapToGrid w:val="0"/>
              <w:ind w:firstLine="480"/>
              <w:jc w:val="left"/>
              <w:rPr>
                <w:color w:val="auto"/>
                <w:kern w:val="0"/>
                <w:highlight w:val="none"/>
              </w:rPr>
            </w:pPr>
            <w:r>
              <w:rPr>
                <w:color w:val="auto"/>
                <w:highlight w:val="none"/>
              </w:rPr>
              <w:t>地表水：本项目周围不存在地表水体。生态环境：依照《建设项目环境影响报告表编制技术指南（污染影响类）》（试行）要求，产业园区外建设项目新增用地且用地范围内还有生态环境保护目标时，应开展现状调查。本项目位于</w:t>
            </w:r>
            <w:r>
              <w:rPr>
                <w:rFonts w:hint="eastAsia"/>
                <w:color w:val="auto"/>
                <w:highlight w:val="none"/>
                <w:lang w:eastAsia="zh-CN"/>
              </w:rPr>
              <w:t>鄂尔多斯市宇驰顺捷汽车销售服务有限公司现有</w:t>
            </w:r>
            <w:r>
              <w:rPr>
                <w:rFonts w:hint="eastAsia"/>
                <w:color w:val="auto"/>
                <w:highlight w:val="none"/>
              </w:rPr>
              <w:t>厂区内</w:t>
            </w:r>
            <w:r>
              <w:rPr>
                <w:color w:val="auto"/>
                <w:highlight w:val="none"/>
              </w:rPr>
              <w:t>，不新增用地，占地范围内不存在生态环境保护目标，因此不开展生态环境现状调查。</w:t>
            </w:r>
          </w:p>
        </w:tc>
      </w:tr>
      <w:tr w14:paraId="2A825E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noWrap w:val="0"/>
            <w:vAlign w:val="center"/>
          </w:tcPr>
          <w:p w14:paraId="20E3FCD9">
            <w:pPr>
              <w:adjustRightInd w:val="0"/>
              <w:snapToGrid w:val="0"/>
              <w:ind w:firstLine="0" w:firstLineChars="0"/>
              <w:jc w:val="center"/>
              <w:rPr>
                <w:color w:val="auto"/>
                <w:kern w:val="0"/>
                <w:highlight w:val="none"/>
              </w:rPr>
            </w:pPr>
            <w:r>
              <w:rPr>
                <w:color w:val="auto"/>
                <w:kern w:val="0"/>
                <w:highlight w:val="none"/>
              </w:rPr>
              <w:t>环境</w:t>
            </w:r>
          </w:p>
          <w:p w14:paraId="63AE913A">
            <w:pPr>
              <w:adjustRightInd w:val="0"/>
              <w:snapToGrid w:val="0"/>
              <w:ind w:firstLine="0" w:firstLineChars="0"/>
              <w:jc w:val="center"/>
              <w:rPr>
                <w:color w:val="auto"/>
                <w:kern w:val="0"/>
                <w:highlight w:val="none"/>
              </w:rPr>
            </w:pPr>
            <w:r>
              <w:rPr>
                <w:color w:val="auto"/>
                <w:kern w:val="0"/>
                <w:highlight w:val="none"/>
              </w:rPr>
              <w:t>保护</w:t>
            </w:r>
          </w:p>
          <w:p w14:paraId="6B242C2C">
            <w:pPr>
              <w:adjustRightInd w:val="0"/>
              <w:snapToGrid w:val="0"/>
              <w:ind w:firstLine="0" w:firstLineChars="0"/>
              <w:jc w:val="center"/>
              <w:rPr>
                <w:color w:val="auto"/>
                <w:kern w:val="0"/>
                <w:highlight w:val="none"/>
              </w:rPr>
            </w:pPr>
            <w:r>
              <w:rPr>
                <w:color w:val="auto"/>
                <w:kern w:val="0"/>
                <w:highlight w:val="none"/>
              </w:rPr>
              <w:t>目标</w:t>
            </w:r>
          </w:p>
        </w:tc>
        <w:tc>
          <w:tcPr>
            <w:tcW w:w="8190" w:type="dxa"/>
            <w:gridSpan w:val="2"/>
            <w:noWrap w:val="0"/>
            <w:vAlign w:val="center"/>
          </w:tcPr>
          <w:p w14:paraId="4CDF3F7F">
            <w:pPr>
              <w:adjustRightInd w:val="0"/>
              <w:snapToGrid w:val="0"/>
              <w:ind w:firstLine="480"/>
              <w:rPr>
                <w:color w:val="auto"/>
                <w:kern w:val="0"/>
                <w:highlight w:val="none"/>
              </w:rPr>
            </w:pPr>
            <w:r>
              <w:rPr>
                <w:color w:val="auto"/>
                <w:kern w:val="0"/>
                <w:highlight w:val="none"/>
              </w:rPr>
              <w:t>根据</w:t>
            </w:r>
            <w:r>
              <w:rPr>
                <w:rFonts w:hint="eastAsia"/>
                <w:color w:val="auto"/>
                <w:kern w:val="0"/>
                <w:highlight w:val="none"/>
              </w:rPr>
              <w:t>现场勘查</w:t>
            </w:r>
            <w:r>
              <w:rPr>
                <w:color w:val="auto"/>
                <w:kern w:val="0"/>
                <w:highlight w:val="none"/>
              </w:rPr>
              <w:t>，本项目</w:t>
            </w:r>
            <w:r>
              <w:rPr>
                <w:rFonts w:hint="eastAsia"/>
                <w:color w:val="auto"/>
                <w:kern w:val="0"/>
                <w:highlight w:val="none"/>
                <w:lang w:val="en-US" w:eastAsia="zh-CN"/>
              </w:rPr>
              <w:t>厂界外500m范围内无</w:t>
            </w:r>
            <w:r>
              <w:rPr>
                <w:color w:val="auto"/>
                <w:kern w:val="0"/>
                <w:highlight w:val="none"/>
              </w:rPr>
              <w:t>自然保护区、</w:t>
            </w:r>
            <w:r>
              <w:rPr>
                <w:rFonts w:hint="eastAsia"/>
                <w:color w:val="auto"/>
                <w:kern w:val="0"/>
                <w:highlight w:val="none"/>
              </w:rPr>
              <w:t>风景名胜区、</w:t>
            </w:r>
            <w:r>
              <w:rPr>
                <w:color w:val="auto"/>
                <w:kern w:val="0"/>
                <w:highlight w:val="none"/>
              </w:rPr>
              <w:t>水源地、珍稀动植物资源等重点保护目标。主要保护目标见表3-3。</w:t>
            </w:r>
          </w:p>
          <w:p w14:paraId="0352F314">
            <w:pPr>
              <w:adjustRightInd w:val="0"/>
              <w:snapToGrid w:val="0"/>
              <w:ind w:firstLine="0" w:firstLineChars="0"/>
              <w:jc w:val="center"/>
              <w:rPr>
                <w:b/>
                <w:bCs/>
                <w:color w:val="auto"/>
                <w:kern w:val="0"/>
                <w:highlight w:val="none"/>
              </w:rPr>
            </w:pPr>
            <w:r>
              <w:rPr>
                <w:b/>
                <w:bCs/>
                <w:color w:val="auto"/>
                <w:kern w:val="0"/>
                <w:highlight w:val="none"/>
              </w:rPr>
              <w:t>表3-3环境保护目标一览表</w:t>
            </w:r>
          </w:p>
          <w:tbl>
            <w:tblPr>
              <w:tblStyle w:val="14"/>
              <w:tblW w:w="7976"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1363"/>
              <w:gridCol w:w="737"/>
              <w:gridCol w:w="1235"/>
              <w:gridCol w:w="1473"/>
              <w:gridCol w:w="2292"/>
            </w:tblGrid>
            <w:tr w14:paraId="4C41F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trPr>
              <w:tc>
                <w:tcPr>
                  <w:tcW w:w="876" w:type="dxa"/>
                  <w:noWrap w:val="0"/>
                  <w:vAlign w:val="center"/>
                </w:tcPr>
                <w:p w14:paraId="2ADFF154">
                  <w:pPr>
                    <w:adjustRightInd w:val="0"/>
                    <w:snapToGrid w:val="0"/>
                    <w:spacing w:line="240" w:lineRule="auto"/>
                    <w:ind w:firstLine="0" w:firstLineChars="0"/>
                    <w:rPr>
                      <w:color w:val="auto"/>
                      <w:kern w:val="0"/>
                      <w:highlight w:val="none"/>
                    </w:rPr>
                  </w:pPr>
                  <w:r>
                    <w:rPr>
                      <w:color w:val="auto"/>
                      <w:kern w:val="0"/>
                      <w:highlight w:val="none"/>
                    </w:rPr>
                    <w:t>环境要素</w:t>
                  </w:r>
                </w:p>
              </w:tc>
              <w:tc>
                <w:tcPr>
                  <w:tcW w:w="1363" w:type="dxa"/>
                  <w:noWrap w:val="0"/>
                  <w:vAlign w:val="center"/>
                </w:tcPr>
                <w:p w14:paraId="094CD45F">
                  <w:pPr>
                    <w:adjustRightInd w:val="0"/>
                    <w:snapToGrid w:val="0"/>
                    <w:spacing w:line="240" w:lineRule="auto"/>
                    <w:ind w:firstLine="0" w:firstLineChars="0"/>
                    <w:rPr>
                      <w:color w:val="auto"/>
                      <w:kern w:val="0"/>
                      <w:highlight w:val="none"/>
                    </w:rPr>
                  </w:pPr>
                  <w:r>
                    <w:rPr>
                      <w:color w:val="auto"/>
                      <w:kern w:val="0"/>
                      <w:highlight w:val="none"/>
                    </w:rPr>
                    <w:t>环境保护对象名称</w:t>
                  </w:r>
                </w:p>
              </w:tc>
              <w:tc>
                <w:tcPr>
                  <w:tcW w:w="737" w:type="dxa"/>
                  <w:noWrap w:val="0"/>
                  <w:vAlign w:val="center"/>
                </w:tcPr>
                <w:p w14:paraId="3BE087A8">
                  <w:pPr>
                    <w:adjustRightInd w:val="0"/>
                    <w:snapToGrid w:val="0"/>
                    <w:spacing w:line="240" w:lineRule="auto"/>
                    <w:ind w:firstLine="0" w:firstLineChars="0"/>
                    <w:rPr>
                      <w:color w:val="auto"/>
                      <w:kern w:val="0"/>
                      <w:highlight w:val="none"/>
                    </w:rPr>
                  </w:pPr>
                  <w:r>
                    <w:rPr>
                      <w:color w:val="auto"/>
                      <w:kern w:val="0"/>
                      <w:highlight w:val="none"/>
                    </w:rPr>
                    <w:t>方位</w:t>
                  </w:r>
                </w:p>
              </w:tc>
              <w:tc>
                <w:tcPr>
                  <w:tcW w:w="1235" w:type="dxa"/>
                  <w:noWrap w:val="0"/>
                  <w:vAlign w:val="center"/>
                </w:tcPr>
                <w:p w14:paraId="72B74411">
                  <w:pPr>
                    <w:adjustRightInd w:val="0"/>
                    <w:snapToGrid w:val="0"/>
                    <w:spacing w:line="240" w:lineRule="auto"/>
                    <w:ind w:firstLine="0" w:firstLineChars="0"/>
                    <w:jc w:val="center"/>
                    <w:rPr>
                      <w:rFonts w:hint="default" w:eastAsia="宋体"/>
                      <w:color w:val="auto"/>
                      <w:kern w:val="0"/>
                      <w:highlight w:val="none"/>
                      <w:lang w:val="en-US" w:eastAsia="zh-CN"/>
                    </w:rPr>
                  </w:pPr>
                  <w:r>
                    <w:rPr>
                      <w:rFonts w:hint="eastAsia"/>
                      <w:color w:val="auto"/>
                      <w:kern w:val="0"/>
                      <w:highlight w:val="none"/>
                      <w:lang w:val="en-US" w:eastAsia="zh-CN"/>
                    </w:rPr>
                    <w:t>人数</w:t>
                  </w:r>
                </w:p>
              </w:tc>
              <w:tc>
                <w:tcPr>
                  <w:tcW w:w="1473" w:type="dxa"/>
                  <w:noWrap w:val="0"/>
                  <w:vAlign w:val="center"/>
                </w:tcPr>
                <w:p w14:paraId="58A3A266">
                  <w:pPr>
                    <w:adjustRightInd w:val="0"/>
                    <w:snapToGrid w:val="0"/>
                    <w:spacing w:line="240" w:lineRule="auto"/>
                    <w:ind w:firstLine="0" w:firstLineChars="0"/>
                    <w:rPr>
                      <w:color w:val="auto"/>
                      <w:kern w:val="0"/>
                      <w:highlight w:val="none"/>
                    </w:rPr>
                  </w:pPr>
                  <w:r>
                    <w:rPr>
                      <w:color w:val="auto"/>
                      <w:kern w:val="0"/>
                      <w:highlight w:val="none"/>
                    </w:rPr>
                    <w:t>与本项目距离（m）</w:t>
                  </w:r>
                </w:p>
              </w:tc>
              <w:tc>
                <w:tcPr>
                  <w:tcW w:w="2292" w:type="dxa"/>
                  <w:noWrap w:val="0"/>
                  <w:vAlign w:val="center"/>
                </w:tcPr>
                <w:p w14:paraId="1A903BCF">
                  <w:pPr>
                    <w:adjustRightInd w:val="0"/>
                    <w:snapToGrid w:val="0"/>
                    <w:spacing w:line="240" w:lineRule="auto"/>
                    <w:ind w:firstLine="0" w:firstLineChars="0"/>
                    <w:rPr>
                      <w:color w:val="auto"/>
                      <w:kern w:val="0"/>
                      <w:highlight w:val="none"/>
                    </w:rPr>
                  </w:pPr>
                  <w:r>
                    <w:rPr>
                      <w:color w:val="auto"/>
                      <w:kern w:val="0"/>
                      <w:highlight w:val="none"/>
                    </w:rPr>
                    <w:t>环境功能区划</w:t>
                  </w:r>
                </w:p>
              </w:tc>
            </w:tr>
            <w:tr w14:paraId="257D6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876" w:type="dxa"/>
                  <w:noWrap w:val="0"/>
                  <w:vAlign w:val="center"/>
                </w:tcPr>
                <w:p w14:paraId="20569EE3">
                  <w:pPr>
                    <w:adjustRightInd w:val="0"/>
                    <w:snapToGrid w:val="0"/>
                    <w:spacing w:line="240" w:lineRule="auto"/>
                    <w:ind w:firstLine="0" w:firstLineChars="0"/>
                    <w:rPr>
                      <w:color w:val="auto"/>
                      <w:kern w:val="0"/>
                      <w:highlight w:val="none"/>
                    </w:rPr>
                  </w:pPr>
                  <w:r>
                    <w:rPr>
                      <w:color w:val="auto"/>
                      <w:kern w:val="0"/>
                      <w:highlight w:val="none"/>
                    </w:rPr>
                    <w:t>环境空气</w:t>
                  </w:r>
                </w:p>
              </w:tc>
              <w:tc>
                <w:tcPr>
                  <w:tcW w:w="1363" w:type="dxa"/>
                  <w:noWrap w:val="0"/>
                  <w:vAlign w:val="center"/>
                </w:tcPr>
                <w:p w14:paraId="4762DA6F">
                  <w:pPr>
                    <w:adjustRightInd w:val="0"/>
                    <w:snapToGrid w:val="0"/>
                    <w:spacing w:line="240" w:lineRule="auto"/>
                    <w:ind w:firstLine="0" w:firstLineChars="0"/>
                    <w:rPr>
                      <w:rFonts w:hint="default" w:ascii="Times New Roman" w:hAnsi="Times New Roman" w:eastAsia="宋体" w:cs="Times New Roman"/>
                      <w:color w:val="auto"/>
                      <w:kern w:val="0"/>
                      <w:highlight w:val="none"/>
                      <w:lang w:val="en-US" w:eastAsia="zh-CN"/>
                    </w:rPr>
                  </w:pPr>
                  <w:r>
                    <w:rPr>
                      <w:rFonts w:hint="eastAsia"/>
                      <w:color w:val="auto"/>
                      <w:lang w:val="en-US" w:eastAsia="zh-CN"/>
                    </w:rPr>
                    <w:t>大磊馨视界</w:t>
                  </w:r>
                </w:p>
              </w:tc>
              <w:tc>
                <w:tcPr>
                  <w:tcW w:w="737" w:type="dxa"/>
                  <w:noWrap w:val="0"/>
                  <w:vAlign w:val="center"/>
                </w:tcPr>
                <w:p w14:paraId="456D3DC1">
                  <w:pPr>
                    <w:adjustRightInd w:val="0"/>
                    <w:snapToGrid w:val="0"/>
                    <w:spacing w:line="240" w:lineRule="auto"/>
                    <w:ind w:firstLine="0" w:firstLineChars="0"/>
                    <w:rPr>
                      <w:rFonts w:hint="default" w:eastAsia="宋体"/>
                      <w:color w:val="auto"/>
                      <w:lang w:val="en-US" w:eastAsia="zh-CN"/>
                    </w:rPr>
                  </w:pPr>
                  <w:r>
                    <w:rPr>
                      <w:rFonts w:hint="eastAsia"/>
                      <w:color w:val="auto"/>
                      <w:lang w:val="en-US" w:eastAsia="zh-CN"/>
                    </w:rPr>
                    <w:t>EN</w:t>
                  </w:r>
                </w:p>
              </w:tc>
              <w:tc>
                <w:tcPr>
                  <w:tcW w:w="1235" w:type="dxa"/>
                  <w:noWrap w:val="0"/>
                  <w:vAlign w:val="center"/>
                </w:tcPr>
                <w:p w14:paraId="4CA43108">
                  <w:pPr>
                    <w:adjustRightInd w:val="0"/>
                    <w:snapToGrid w:val="0"/>
                    <w:spacing w:line="240" w:lineRule="auto"/>
                    <w:ind w:firstLine="0" w:firstLineChars="0"/>
                    <w:jc w:val="center"/>
                    <w:rPr>
                      <w:rFonts w:hint="default" w:eastAsia="宋体"/>
                      <w:color w:val="auto"/>
                      <w:lang w:val="en-US" w:eastAsia="zh-CN"/>
                    </w:rPr>
                  </w:pPr>
                  <w:r>
                    <w:rPr>
                      <w:rFonts w:hint="eastAsia"/>
                      <w:color w:val="auto"/>
                      <w:lang w:val="en-US" w:eastAsia="zh-CN"/>
                    </w:rPr>
                    <w:t>500人</w:t>
                  </w:r>
                </w:p>
              </w:tc>
              <w:tc>
                <w:tcPr>
                  <w:tcW w:w="1473" w:type="dxa"/>
                  <w:noWrap w:val="0"/>
                  <w:vAlign w:val="center"/>
                </w:tcPr>
                <w:p w14:paraId="0FC02F7A">
                  <w:pPr>
                    <w:adjustRightInd w:val="0"/>
                    <w:snapToGrid w:val="0"/>
                    <w:spacing w:line="240" w:lineRule="auto"/>
                    <w:ind w:firstLine="0" w:firstLineChars="0"/>
                    <w:rPr>
                      <w:rFonts w:hint="default" w:eastAsia="宋体"/>
                      <w:color w:val="auto"/>
                      <w:lang w:val="en-US" w:eastAsia="zh-CN"/>
                    </w:rPr>
                  </w:pPr>
                  <w:r>
                    <w:rPr>
                      <w:rFonts w:hint="eastAsia"/>
                      <w:color w:val="auto"/>
                      <w:lang w:val="en-US" w:eastAsia="zh-CN"/>
                    </w:rPr>
                    <w:t>351m</w:t>
                  </w:r>
                </w:p>
              </w:tc>
              <w:tc>
                <w:tcPr>
                  <w:tcW w:w="2292" w:type="dxa"/>
                  <w:noWrap w:val="0"/>
                  <w:vAlign w:val="center"/>
                </w:tcPr>
                <w:p w14:paraId="453F8184">
                  <w:pPr>
                    <w:adjustRightInd w:val="0"/>
                    <w:snapToGrid w:val="0"/>
                    <w:spacing w:line="240" w:lineRule="auto"/>
                    <w:ind w:firstLine="0" w:firstLineChars="0"/>
                    <w:rPr>
                      <w:color w:val="auto"/>
                      <w:kern w:val="0"/>
                      <w:highlight w:val="none"/>
                    </w:rPr>
                  </w:pPr>
                  <w:r>
                    <w:rPr>
                      <w:color w:val="auto"/>
                      <w:kern w:val="0"/>
                      <w:highlight w:val="none"/>
                    </w:rPr>
                    <w:t>《环境空气质量标准》(GB3095-2012)二类区</w:t>
                  </w:r>
                </w:p>
              </w:tc>
            </w:tr>
            <w:tr w14:paraId="5ED6C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trPr>
              <w:tc>
                <w:tcPr>
                  <w:tcW w:w="876" w:type="dxa"/>
                  <w:noWrap w:val="0"/>
                  <w:vAlign w:val="center"/>
                </w:tcPr>
                <w:p w14:paraId="1BF908A7">
                  <w:pPr>
                    <w:adjustRightInd w:val="0"/>
                    <w:snapToGrid w:val="0"/>
                    <w:spacing w:line="240" w:lineRule="auto"/>
                    <w:ind w:firstLine="0" w:firstLineChars="0"/>
                    <w:rPr>
                      <w:color w:val="auto"/>
                      <w:kern w:val="0"/>
                      <w:highlight w:val="none"/>
                    </w:rPr>
                  </w:pPr>
                  <w:r>
                    <w:rPr>
                      <w:color w:val="auto"/>
                      <w:kern w:val="0"/>
                      <w:highlight w:val="none"/>
                    </w:rPr>
                    <w:t>声环境</w:t>
                  </w:r>
                </w:p>
              </w:tc>
              <w:tc>
                <w:tcPr>
                  <w:tcW w:w="4808" w:type="dxa"/>
                  <w:gridSpan w:val="4"/>
                  <w:noWrap w:val="0"/>
                  <w:vAlign w:val="center"/>
                </w:tcPr>
                <w:p w14:paraId="663175CD">
                  <w:pPr>
                    <w:adjustRightInd w:val="0"/>
                    <w:snapToGrid w:val="0"/>
                    <w:spacing w:line="240" w:lineRule="auto"/>
                    <w:ind w:firstLine="0" w:firstLineChars="0"/>
                    <w:rPr>
                      <w:rFonts w:hint="eastAsia" w:eastAsia="宋体"/>
                      <w:color w:val="auto"/>
                      <w:kern w:val="0"/>
                      <w:highlight w:val="none"/>
                      <w:lang w:eastAsia="zh-CN"/>
                    </w:rPr>
                  </w:pPr>
                  <w:r>
                    <w:rPr>
                      <w:color w:val="auto"/>
                      <w:kern w:val="0"/>
                      <w:highlight w:val="none"/>
                    </w:rPr>
                    <w:t>项目</w:t>
                  </w:r>
                  <w:r>
                    <w:rPr>
                      <w:rFonts w:hint="eastAsia"/>
                      <w:color w:val="auto"/>
                      <w:kern w:val="0"/>
                      <w:highlight w:val="none"/>
                      <w:lang w:val="en-US" w:eastAsia="zh-CN"/>
                    </w:rPr>
                    <w:t>厂界</w:t>
                  </w:r>
                  <w:r>
                    <w:rPr>
                      <w:color w:val="auto"/>
                      <w:kern w:val="0"/>
                      <w:highlight w:val="none"/>
                    </w:rPr>
                    <w:t>外50m范围内无声环境保护目标</w:t>
                  </w:r>
                  <w:r>
                    <w:rPr>
                      <w:rFonts w:hint="eastAsia"/>
                      <w:color w:val="auto"/>
                      <w:kern w:val="0"/>
                      <w:highlight w:val="none"/>
                      <w:lang w:eastAsia="zh-CN"/>
                    </w:rPr>
                    <w:t>。</w:t>
                  </w:r>
                </w:p>
              </w:tc>
              <w:tc>
                <w:tcPr>
                  <w:tcW w:w="2292" w:type="dxa"/>
                  <w:noWrap w:val="0"/>
                  <w:vAlign w:val="center"/>
                </w:tcPr>
                <w:p w14:paraId="115FA561">
                  <w:pPr>
                    <w:adjustRightInd w:val="0"/>
                    <w:snapToGrid w:val="0"/>
                    <w:spacing w:line="240" w:lineRule="auto"/>
                    <w:ind w:firstLine="0" w:firstLineChars="0"/>
                    <w:rPr>
                      <w:color w:val="auto"/>
                      <w:kern w:val="0"/>
                      <w:highlight w:val="none"/>
                    </w:rPr>
                  </w:pPr>
                  <w:r>
                    <w:rPr>
                      <w:color w:val="auto"/>
                      <w:kern w:val="0"/>
                      <w:highlight w:val="none"/>
                    </w:rPr>
                    <w:t>《声环境质量标准》</w:t>
                  </w:r>
                  <w:r>
                    <w:rPr>
                      <w:rFonts w:hint="eastAsia"/>
                      <w:color w:val="auto"/>
                      <w:kern w:val="0"/>
                      <w:highlight w:val="none"/>
                      <w:lang w:eastAsia="zh-CN"/>
                    </w:rPr>
                    <w:t>（</w:t>
                  </w:r>
                  <w:r>
                    <w:rPr>
                      <w:color w:val="auto"/>
                      <w:kern w:val="0"/>
                      <w:highlight w:val="none"/>
                    </w:rPr>
                    <w:t>GB3096-2008</w:t>
                  </w:r>
                  <w:r>
                    <w:rPr>
                      <w:rFonts w:hint="eastAsia"/>
                      <w:color w:val="auto"/>
                      <w:kern w:val="0"/>
                      <w:highlight w:val="none"/>
                      <w:lang w:eastAsia="zh-CN"/>
                    </w:rPr>
                    <w:t>）</w:t>
                  </w:r>
                  <w:r>
                    <w:rPr>
                      <w:rFonts w:hint="eastAsia"/>
                      <w:color w:val="auto"/>
                      <w:kern w:val="0"/>
                      <w:highlight w:val="none"/>
                      <w:lang w:val="en-US" w:eastAsia="zh-CN"/>
                    </w:rPr>
                    <w:t>2类</w:t>
                  </w:r>
                  <w:r>
                    <w:rPr>
                      <w:color w:val="auto"/>
                      <w:kern w:val="0"/>
                      <w:highlight w:val="none"/>
                    </w:rPr>
                    <w:t>标准</w:t>
                  </w:r>
                </w:p>
              </w:tc>
            </w:tr>
            <w:tr w14:paraId="0BD11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876" w:type="dxa"/>
                  <w:noWrap w:val="0"/>
                  <w:vAlign w:val="center"/>
                </w:tcPr>
                <w:p w14:paraId="527784FF">
                  <w:pPr>
                    <w:adjustRightInd w:val="0"/>
                    <w:snapToGrid w:val="0"/>
                    <w:spacing w:line="240" w:lineRule="auto"/>
                    <w:ind w:firstLine="0" w:firstLineChars="0"/>
                    <w:rPr>
                      <w:color w:val="auto"/>
                      <w:kern w:val="0"/>
                      <w:highlight w:val="none"/>
                    </w:rPr>
                  </w:pPr>
                  <w:r>
                    <w:rPr>
                      <w:color w:val="auto"/>
                      <w:kern w:val="0"/>
                      <w:highlight w:val="none"/>
                    </w:rPr>
                    <w:t>水环境</w:t>
                  </w:r>
                </w:p>
              </w:tc>
              <w:tc>
                <w:tcPr>
                  <w:tcW w:w="4808" w:type="dxa"/>
                  <w:gridSpan w:val="4"/>
                  <w:noWrap w:val="0"/>
                  <w:vAlign w:val="center"/>
                </w:tcPr>
                <w:p w14:paraId="3A56439A">
                  <w:pPr>
                    <w:adjustRightInd w:val="0"/>
                    <w:snapToGrid w:val="0"/>
                    <w:spacing w:line="240" w:lineRule="auto"/>
                    <w:ind w:firstLine="0" w:firstLineChars="0"/>
                    <w:rPr>
                      <w:color w:val="auto"/>
                      <w:kern w:val="0"/>
                      <w:highlight w:val="none"/>
                    </w:rPr>
                  </w:pPr>
                  <w:r>
                    <w:rPr>
                      <w:color w:val="auto"/>
                      <w:kern w:val="0"/>
                      <w:highlight w:val="none"/>
                    </w:rPr>
                    <w:t>项目</w:t>
                  </w:r>
                  <w:r>
                    <w:rPr>
                      <w:rFonts w:hint="eastAsia"/>
                      <w:color w:val="auto"/>
                      <w:kern w:val="0"/>
                      <w:highlight w:val="none"/>
                      <w:lang w:val="en-US" w:eastAsia="zh-CN"/>
                    </w:rPr>
                    <w:t>厂界</w:t>
                  </w:r>
                  <w:r>
                    <w:rPr>
                      <w:color w:val="auto"/>
                      <w:kern w:val="0"/>
                      <w:highlight w:val="none"/>
                    </w:rPr>
                    <w:t>外500m范围内无地下水集中式饮用水水源和热水、矿泉水、温水等特殊地下水资源</w:t>
                  </w:r>
                </w:p>
              </w:tc>
              <w:tc>
                <w:tcPr>
                  <w:tcW w:w="2292" w:type="dxa"/>
                  <w:noWrap w:val="0"/>
                  <w:vAlign w:val="center"/>
                </w:tcPr>
                <w:p w14:paraId="6BEC88BB">
                  <w:pPr>
                    <w:adjustRightInd w:val="0"/>
                    <w:snapToGrid w:val="0"/>
                    <w:spacing w:line="240" w:lineRule="auto"/>
                    <w:ind w:firstLine="0" w:firstLineChars="0"/>
                    <w:rPr>
                      <w:color w:val="auto"/>
                      <w:kern w:val="0"/>
                      <w:highlight w:val="none"/>
                    </w:rPr>
                  </w:pPr>
                  <w:r>
                    <w:rPr>
                      <w:color w:val="auto"/>
                      <w:kern w:val="0"/>
                      <w:highlight w:val="none"/>
                    </w:rPr>
                    <w:t>《地下水质量标准》（GB/T14848-2017）中Ⅲ类标准</w:t>
                  </w:r>
                </w:p>
              </w:tc>
            </w:tr>
            <w:tr w14:paraId="3B82C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trPr>
              <w:tc>
                <w:tcPr>
                  <w:tcW w:w="876" w:type="dxa"/>
                  <w:noWrap w:val="0"/>
                  <w:vAlign w:val="center"/>
                </w:tcPr>
                <w:p w14:paraId="6579CA4F">
                  <w:pPr>
                    <w:adjustRightInd w:val="0"/>
                    <w:snapToGrid w:val="0"/>
                    <w:spacing w:line="240" w:lineRule="auto"/>
                    <w:ind w:firstLine="0" w:firstLineChars="0"/>
                    <w:rPr>
                      <w:color w:val="auto"/>
                      <w:kern w:val="0"/>
                      <w:highlight w:val="none"/>
                    </w:rPr>
                  </w:pPr>
                  <w:r>
                    <w:rPr>
                      <w:color w:val="auto"/>
                      <w:kern w:val="0"/>
                      <w:highlight w:val="none"/>
                    </w:rPr>
                    <w:t>生态环境</w:t>
                  </w:r>
                </w:p>
              </w:tc>
              <w:tc>
                <w:tcPr>
                  <w:tcW w:w="7100" w:type="dxa"/>
                  <w:gridSpan w:val="5"/>
                  <w:noWrap w:val="0"/>
                  <w:vAlign w:val="center"/>
                </w:tcPr>
                <w:p w14:paraId="718A0DAB">
                  <w:pPr>
                    <w:adjustRightInd w:val="0"/>
                    <w:snapToGrid w:val="0"/>
                    <w:spacing w:line="240" w:lineRule="auto"/>
                    <w:ind w:firstLine="0" w:firstLineChars="0"/>
                    <w:rPr>
                      <w:rFonts w:hint="eastAsia" w:eastAsia="宋体"/>
                      <w:color w:val="auto"/>
                      <w:kern w:val="0"/>
                      <w:highlight w:val="none"/>
                      <w:lang w:eastAsia="zh-CN"/>
                    </w:rPr>
                  </w:pPr>
                  <w:r>
                    <w:rPr>
                      <w:color w:val="auto"/>
                      <w:kern w:val="0"/>
                      <w:highlight w:val="none"/>
                    </w:rPr>
                    <w:t>本项目于</w:t>
                  </w:r>
                  <w:r>
                    <w:rPr>
                      <w:rFonts w:hint="eastAsia"/>
                      <w:color w:val="auto"/>
                      <w:kern w:val="0"/>
                      <w:highlight w:val="none"/>
                      <w:lang w:eastAsia="zh-CN"/>
                    </w:rPr>
                    <w:t>鄂尔多斯市宇驰顺捷汽车销售服务有限公司</w:t>
                  </w:r>
                  <w:r>
                    <w:rPr>
                      <w:rFonts w:hint="eastAsia"/>
                      <w:color w:val="auto"/>
                      <w:kern w:val="0"/>
                      <w:highlight w:val="none"/>
                    </w:rPr>
                    <w:t>厂区内</w:t>
                  </w:r>
                  <w:r>
                    <w:rPr>
                      <w:color w:val="auto"/>
                      <w:kern w:val="0"/>
                      <w:highlight w:val="none"/>
                    </w:rPr>
                    <w:t>建设，不新增用地，不会对周围生态环境产生影响</w:t>
                  </w:r>
                  <w:r>
                    <w:rPr>
                      <w:rFonts w:hint="eastAsia"/>
                      <w:color w:val="auto"/>
                      <w:kern w:val="0"/>
                      <w:highlight w:val="none"/>
                      <w:lang w:eastAsia="zh-CN"/>
                    </w:rPr>
                    <w:t>。</w:t>
                  </w:r>
                </w:p>
              </w:tc>
            </w:tr>
          </w:tbl>
          <w:p w14:paraId="623131DE">
            <w:pPr>
              <w:adjustRightInd w:val="0"/>
              <w:snapToGrid w:val="0"/>
              <w:ind w:firstLine="480"/>
              <w:rPr>
                <w:color w:val="auto"/>
                <w:kern w:val="0"/>
                <w:highlight w:val="none"/>
              </w:rPr>
            </w:pPr>
          </w:p>
        </w:tc>
      </w:tr>
      <w:tr w14:paraId="19F562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11" w:hRule="atLeast"/>
          <w:jc w:val="center"/>
        </w:trPr>
        <w:tc>
          <w:tcPr>
            <w:tcW w:w="800" w:type="dxa"/>
            <w:noWrap w:val="0"/>
            <w:tcMar>
              <w:left w:w="28" w:type="dxa"/>
              <w:right w:w="28" w:type="dxa"/>
            </w:tcMar>
            <w:vAlign w:val="center"/>
          </w:tcPr>
          <w:p w14:paraId="0571D038">
            <w:pPr>
              <w:adjustRightInd w:val="0"/>
              <w:snapToGrid w:val="0"/>
              <w:ind w:firstLine="0" w:firstLineChars="0"/>
              <w:jc w:val="center"/>
              <w:rPr>
                <w:color w:val="auto"/>
                <w:kern w:val="0"/>
                <w:highlight w:val="none"/>
              </w:rPr>
            </w:pPr>
            <w:r>
              <w:rPr>
                <w:color w:val="auto"/>
                <w:kern w:val="0"/>
                <w:highlight w:val="none"/>
              </w:rPr>
              <w:t>污染</w:t>
            </w:r>
          </w:p>
          <w:p w14:paraId="0D1A140C">
            <w:pPr>
              <w:adjustRightInd w:val="0"/>
              <w:snapToGrid w:val="0"/>
              <w:ind w:firstLine="0" w:firstLineChars="0"/>
              <w:jc w:val="center"/>
              <w:rPr>
                <w:color w:val="auto"/>
                <w:kern w:val="0"/>
                <w:highlight w:val="none"/>
              </w:rPr>
            </w:pPr>
            <w:r>
              <w:rPr>
                <w:color w:val="auto"/>
                <w:kern w:val="0"/>
                <w:highlight w:val="none"/>
              </w:rPr>
              <w:t>物排</w:t>
            </w:r>
          </w:p>
          <w:p w14:paraId="0D36447F">
            <w:pPr>
              <w:adjustRightInd w:val="0"/>
              <w:snapToGrid w:val="0"/>
              <w:ind w:firstLine="0" w:firstLineChars="0"/>
              <w:jc w:val="center"/>
              <w:rPr>
                <w:color w:val="auto"/>
                <w:kern w:val="0"/>
                <w:highlight w:val="none"/>
              </w:rPr>
            </w:pPr>
            <w:r>
              <w:rPr>
                <w:color w:val="auto"/>
                <w:kern w:val="0"/>
                <w:highlight w:val="none"/>
              </w:rPr>
              <w:t>放控</w:t>
            </w:r>
          </w:p>
          <w:p w14:paraId="21C9B13E">
            <w:pPr>
              <w:adjustRightInd w:val="0"/>
              <w:snapToGrid w:val="0"/>
              <w:ind w:firstLine="0" w:firstLineChars="0"/>
              <w:jc w:val="center"/>
              <w:rPr>
                <w:color w:val="auto"/>
                <w:kern w:val="0"/>
                <w:highlight w:val="none"/>
              </w:rPr>
            </w:pPr>
            <w:r>
              <w:rPr>
                <w:color w:val="auto"/>
                <w:kern w:val="0"/>
                <w:highlight w:val="none"/>
              </w:rPr>
              <w:t>制标</w:t>
            </w:r>
          </w:p>
          <w:p w14:paraId="2BCDBB91">
            <w:pPr>
              <w:adjustRightInd w:val="0"/>
              <w:snapToGrid w:val="0"/>
              <w:ind w:firstLine="0" w:firstLineChars="0"/>
              <w:jc w:val="center"/>
              <w:rPr>
                <w:color w:val="auto"/>
                <w:kern w:val="0"/>
                <w:highlight w:val="none"/>
              </w:rPr>
            </w:pPr>
            <w:r>
              <w:rPr>
                <w:color w:val="auto"/>
                <w:kern w:val="0"/>
                <w:highlight w:val="none"/>
              </w:rPr>
              <w:t>准</w:t>
            </w:r>
          </w:p>
        </w:tc>
        <w:tc>
          <w:tcPr>
            <w:tcW w:w="8190" w:type="dxa"/>
            <w:gridSpan w:val="2"/>
            <w:noWrap w:val="0"/>
            <w:vAlign w:val="center"/>
          </w:tcPr>
          <w:p w14:paraId="3D0F1734">
            <w:pPr>
              <w:adjustRightInd w:val="0"/>
              <w:snapToGrid w:val="0"/>
              <w:ind w:firstLine="482"/>
              <w:rPr>
                <w:b/>
                <w:bCs/>
                <w:color w:val="auto"/>
                <w:kern w:val="0"/>
                <w:highlight w:val="none"/>
              </w:rPr>
            </w:pPr>
            <w:r>
              <w:rPr>
                <w:rFonts w:hint="eastAsia"/>
                <w:b/>
                <w:bCs/>
                <w:color w:val="auto"/>
                <w:kern w:val="0"/>
                <w:highlight w:val="none"/>
                <w:lang w:val="en-US" w:eastAsia="zh-CN"/>
              </w:rPr>
              <w:t>一</w:t>
            </w:r>
            <w:r>
              <w:rPr>
                <w:b/>
                <w:bCs/>
                <w:color w:val="auto"/>
                <w:kern w:val="0"/>
                <w:highlight w:val="none"/>
              </w:rPr>
              <w:t>、</w:t>
            </w:r>
            <w:r>
              <w:rPr>
                <w:rFonts w:hint="eastAsia"/>
                <w:b/>
                <w:bCs/>
                <w:color w:val="auto"/>
                <w:kern w:val="0"/>
                <w:highlight w:val="none"/>
              </w:rPr>
              <w:t>废气排放标准</w:t>
            </w:r>
          </w:p>
          <w:p w14:paraId="35FE77E2">
            <w:pPr>
              <w:bidi w:val="0"/>
              <w:rPr>
                <w:rFonts w:hint="eastAsia"/>
                <w:color w:val="auto"/>
                <w:sz w:val="24"/>
                <w:szCs w:val="24"/>
              </w:rPr>
            </w:pPr>
            <w:r>
              <w:rPr>
                <w:color w:val="auto"/>
                <w:highlight w:val="none"/>
              </w:rPr>
              <w:t>本项目施工期产</w:t>
            </w:r>
            <w:r>
              <w:rPr>
                <w:rFonts w:hint="eastAsia"/>
                <w:color w:val="auto"/>
                <w:highlight w:val="none"/>
                <w:lang w:eastAsia="zh-CN"/>
              </w:rPr>
              <w:t>生的</w:t>
            </w:r>
            <w:r>
              <w:rPr>
                <w:color w:val="auto"/>
                <w:highlight w:val="none"/>
              </w:rPr>
              <w:t>粉尘执行《大气污染物综合排放标准》（GB16297-1996）中的表2新污染源大气排放限值中无组织排放监控浓度限值</w:t>
            </w:r>
            <w:r>
              <w:rPr>
                <w:rFonts w:hint="eastAsia"/>
                <w:color w:val="auto"/>
                <w:highlight w:val="none"/>
              </w:rPr>
              <w:t>；运营期厂界无组织非甲烷总烃排放执行《大气污染物综合排放标准》（GB16297-1996）表2中无组织排放监控浓度限值要求。</w:t>
            </w:r>
            <w:r>
              <w:rPr>
                <w:rFonts w:hint="eastAsia"/>
                <w:color w:val="auto"/>
                <w:sz w:val="24"/>
                <w:szCs w:val="24"/>
              </w:rPr>
              <w:t>厂区内无组织排放的非甲烷总烃控制措施符合《挥发性有机物无组织排放控制标准》（GB37822-2019）</w:t>
            </w:r>
            <w:r>
              <w:rPr>
                <w:rFonts w:hint="eastAsia"/>
                <w:color w:val="auto"/>
                <w:sz w:val="24"/>
                <w:szCs w:val="24"/>
                <w:lang w:val="en-US" w:eastAsia="zh-CN"/>
              </w:rPr>
              <w:t>表A.1厂区内VOCs无组织排放限值要求</w:t>
            </w:r>
            <w:r>
              <w:rPr>
                <w:rFonts w:hint="eastAsia"/>
                <w:color w:val="auto"/>
                <w:sz w:val="24"/>
                <w:szCs w:val="24"/>
              </w:rPr>
              <w:t>。</w:t>
            </w:r>
          </w:p>
          <w:p w14:paraId="53B555B0">
            <w:pPr>
              <w:ind w:firstLine="482"/>
              <w:jc w:val="center"/>
              <w:rPr>
                <w:b/>
                <w:bCs/>
                <w:color w:val="auto"/>
                <w:highlight w:val="none"/>
              </w:rPr>
            </w:pPr>
            <w:r>
              <w:rPr>
                <w:b/>
                <w:bCs/>
                <w:color w:val="auto"/>
                <w:highlight w:val="none"/>
              </w:rPr>
              <w:t>表3-4本项目施工期废气排放标准一览表</w:t>
            </w:r>
          </w:p>
          <w:tbl>
            <w:tblPr>
              <w:tblStyle w:val="14"/>
              <w:tblW w:w="79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59"/>
              <w:gridCol w:w="1347"/>
              <w:gridCol w:w="1296"/>
              <w:gridCol w:w="4496"/>
            </w:tblGrid>
            <w:tr w14:paraId="0866E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73" w:hRule="atLeast"/>
              </w:trPr>
              <w:tc>
                <w:tcPr>
                  <w:tcW w:w="537" w:type="pct"/>
                  <w:noWrap w:val="0"/>
                  <w:tcMar>
                    <w:left w:w="0" w:type="dxa"/>
                    <w:right w:w="0" w:type="dxa"/>
                  </w:tcMar>
                  <w:vAlign w:val="center"/>
                </w:tcPr>
                <w:p w14:paraId="3519AFA5">
                  <w:pPr>
                    <w:spacing w:line="240" w:lineRule="auto"/>
                    <w:ind w:firstLine="0" w:firstLineChars="0"/>
                    <w:jc w:val="center"/>
                    <w:rPr>
                      <w:color w:val="auto"/>
                      <w:highlight w:val="none"/>
                    </w:rPr>
                  </w:pPr>
                  <w:r>
                    <w:rPr>
                      <w:color w:val="auto"/>
                      <w:highlight w:val="none"/>
                    </w:rPr>
                    <w:t>时期</w:t>
                  </w:r>
                </w:p>
              </w:tc>
              <w:tc>
                <w:tcPr>
                  <w:tcW w:w="842" w:type="pct"/>
                  <w:noWrap w:val="0"/>
                  <w:vAlign w:val="center"/>
                </w:tcPr>
                <w:p w14:paraId="411E36B3">
                  <w:pPr>
                    <w:spacing w:line="240" w:lineRule="auto"/>
                    <w:ind w:firstLine="0" w:firstLineChars="0"/>
                    <w:jc w:val="center"/>
                    <w:rPr>
                      <w:color w:val="auto"/>
                      <w:highlight w:val="none"/>
                    </w:rPr>
                  </w:pPr>
                  <w:r>
                    <w:rPr>
                      <w:color w:val="auto"/>
                      <w:highlight w:val="none"/>
                    </w:rPr>
                    <w:t>污染物</w:t>
                  </w:r>
                </w:p>
              </w:tc>
              <w:tc>
                <w:tcPr>
                  <w:tcW w:w="810" w:type="pct"/>
                  <w:noWrap w:val="0"/>
                  <w:tcMar>
                    <w:left w:w="0" w:type="dxa"/>
                    <w:right w:w="0" w:type="dxa"/>
                  </w:tcMar>
                  <w:vAlign w:val="center"/>
                </w:tcPr>
                <w:p w14:paraId="19BAA591">
                  <w:pPr>
                    <w:spacing w:line="240" w:lineRule="auto"/>
                    <w:ind w:firstLine="0" w:firstLineChars="0"/>
                    <w:jc w:val="center"/>
                    <w:rPr>
                      <w:color w:val="auto"/>
                      <w:highlight w:val="none"/>
                    </w:rPr>
                  </w:pPr>
                  <w:r>
                    <w:rPr>
                      <w:color w:val="auto"/>
                      <w:highlight w:val="none"/>
                    </w:rPr>
                    <w:t>排放标准值</w:t>
                  </w:r>
                </w:p>
              </w:tc>
              <w:tc>
                <w:tcPr>
                  <w:tcW w:w="2810" w:type="pct"/>
                  <w:noWrap w:val="0"/>
                  <w:tcMar>
                    <w:left w:w="0" w:type="dxa"/>
                    <w:right w:w="0" w:type="dxa"/>
                  </w:tcMar>
                  <w:vAlign w:val="center"/>
                </w:tcPr>
                <w:p w14:paraId="315A4837">
                  <w:pPr>
                    <w:spacing w:line="240" w:lineRule="auto"/>
                    <w:ind w:firstLine="0" w:firstLineChars="0"/>
                    <w:jc w:val="center"/>
                    <w:rPr>
                      <w:color w:val="auto"/>
                      <w:highlight w:val="none"/>
                    </w:rPr>
                  </w:pPr>
                  <w:r>
                    <w:rPr>
                      <w:color w:val="auto"/>
                      <w:highlight w:val="none"/>
                    </w:rPr>
                    <w:t>标准来源</w:t>
                  </w:r>
                </w:p>
              </w:tc>
            </w:tr>
            <w:tr w14:paraId="20D86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0" w:hRule="atLeast"/>
              </w:trPr>
              <w:tc>
                <w:tcPr>
                  <w:tcW w:w="537" w:type="pct"/>
                  <w:noWrap w:val="0"/>
                  <w:tcMar>
                    <w:left w:w="0" w:type="dxa"/>
                    <w:right w:w="0" w:type="dxa"/>
                  </w:tcMar>
                  <w:vAlign w:val="center"/>
                </w:tcPr>
                <w:p w14:paraId="51136A89">
                  <w:pPr>
                    <w:spacing w:line="240" w:lineRule="auto"/>
                    <w:ind w:firstLine="0" w:firstLineChars="0"/>
                    <w:jc w:val="center"/>
                    <w:rPr>
                      <w:color w:val="auto"/>
                      <w:highlight w:val="none"/>
                    </w:rPr>
                  </w:pPr>
                  <w:r>
                    <w:rPr>
                      <w:color w:val="auto"/>
                      <w:highlight w:val="none"/>
                    </w:rPr>
                    <w:t>施工期</w:t>
                  </w:r>
                </w:p>
              </w:tc>
              <w:tc>
                <w:tcPr>
                  <w:tcW w:w="842" w:type="pct"/>
                  <w:noWrap w:val="0"/>
                  <w:vAlign w:val="center"/>
                </w:tcPr>
                <w:p w14:paraId="776555DE">
                  <w:pPr>
                    <w:spacing w:line="240" w:lineRule="auto"/>
                    <w:ind w:firstLine="0" w:firstLineChars="0"/>
                    <w:jc w:val="center"/>
                    <w:rPr>
                      <w:color w:val="auto"/>
                      <w:highlight w:val="none"/>
                    </w:rPr>
                  </w:pPr>
                  <w:r>
                    <w:rPr>
                      <w:color w:val="auto"/>
                      <w:highlight w:val="none"/>
                    </w:rPr>
                    <w:t>颗粒物</w:t>
                  </w:r>
                </w:p>
              </w:tc>
              <w:tc>
                <w:tcPr>
                  <w:tcW w:w="810" w:type="pct"/>
                  <w:noWrap w:val="0"/>
                  <w:tcMar>
                    <w:left w:w="0" w:type="dxa"/>
                    <w:right w:w="0" w:type="dxa"/>
                  </w:tcMar>
                  <w:vAlign w:val="center"/>
                </w:tcPr>
                <w:p w14:paraId="49221A80">
                  <w:pPr>
                    <w:spacing w:line="240" w:lineRule="auto"/>
                    <w:ind w:firstLine="0" w:firstLineChars="0"/>
                    <w:jc w:val="center"/>
                    <w:rPr>
                      <w:color w:val="auto"/>
                      <w:highlight w:val="none"/>
                    </w:rPr>
                  </w:pPr>
                  <w:r>
                    <w:rPr>
                      <w:color w:val="auto"/>
                      <w:highlight w:val="none"/>
                    </w:rPr>
                    <w:t>1.0mg/m³</w:t>
                  </w:r>
                </w:p>
              </w:tc>
              <w:tc>
                <w:tcPr>
                  <w:tcW w:w="2810" w:type="pct"/>
                  <w:noWrap w:val="0"/>
                  <w:tcMar>
                    <w:left w:w="0" w:type="dxa"/>
                    <w:right w:w="0" w:type="dxa"/>
                  </w:tcMar>
                  <w:vAlign w:val="center"/>
                </w:tcPr>
                <w:p w14:paraId="660DCCF4">
                  <w:pPr>
                    <w:spacing w:line="240" w:lineRule="auto"/>
                    <w:ind w:firstLine="0" w:firstLineChars="0"/>
                    <w:jc w:val="center"/>
                    <w:rPr>
                      <w:color w:val="auto"/>
                      <w:highlight w:val="none"/>
                    </w:rPr>
                  </w:pPr>
                  <w:r>
                    <w:rPr>
                      <w:color w:val="auto"/>
                      <w:highlight w:val="none"/>
                    </w:rPr>
                    <w:t>《大气污染物综合排放标准》（GB16297-1996）表2新污染源大气排放限值中无组织排放监控浓度限值。</w:t>
                  </w:r>
                </w:p>
              </w:tc>
            </w:tr>
          </w:tbl>
          <w:p w14:paraId="5A0F57A3">
            <w:pPr>
              <w:adjustRightInd w:val="0"/>
              <w:snapToGrid w:val="0"/>
              <w:ind w:firstLine="482"/>
              <w:jc w:val="center"/>
              <w:rPr>
                <w:b/>
                <w:bCs/>
                <w:color w:val="auto"/>
                <w:kern w:val="0"/>
                <w:highlight w:val="none"/>
              </w:rPr>
            </w:pPr>
            <w:r>
              <w:rPr>
                <w:b/>
                <w:bCs/>
                <w:color w:val="auto"/>
                <w:kern w:val="0"/>
                <w:highlight w:val="none"/>
              </w:rPr>
              <w:t>表3-</w:t>
            </w:r>
            <w:r>
              <w:rPr>
                <w:rFonts w:hint="eastAsia"/>
                <w:b/>
                <w:bCs/>
                <w:color w:val="auto"/>
                <w:kern w:val="0"/>
                <w:highlight w:val="none"/>
              </w:rPr>
              <w:t>5</w:t>
            </w:r>
            <w:r>
              <w:rPr>
                <w:b/>
                <w:bCs/>
                <w:color w:val="auto"/>
                <w:kern w:val="0"/>
                <w:highlight w:val="none"/>
              </w:rPr>
              <w:t>《大气污染物综合排放标准》（GB16297-1996）</w:t>
            </w:r>
          </w:p>
          <w:tbl>
            <w:tblPr>
              <w:tblStyle w:val="14"/>
              <w:tblW w:w="79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0"/>
              <w:gridCol w:w="788"/>
              <w:gridCol w:w="775"/>
              <w:gridCol w:w="1427"/>
              <w:gridCol w:w="1168"/>
              <w:gridCol w:w="2760"/>
            </w:tblGrid>
            <w:tr w14:paraId="32C0D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040" w:type="dxa"/>
                  <w:vMerge w:val="restart"/>
                  <w:noWrap w:val="0"/>
                  <w:vAlign w:val="center"/>
                </w:tcPr>
                <w:p w14:paraId="0C573AF3">
                  <w:pPr>
                    <w:adjustRightInd w:val="0"/>
                    <w:snapToGrid w:val="0"/>
                    <w:spacing w:line="240" w:lineRule="auto"/>
                    <w:ind w:firstLine="0" w:firstLineChars="0"/>
                    <w:jc w:val="center"/>
                    <w:rPr>
                      <w:rFonts w:hint="default" w:eastAsia="宋体"/>
                      <w:color w:val="auto"/>
                      <w:kern w:val="0"/>
                      <w:highlight w:val="none"/>
                      <w:lang w:val="en-US" w:eastAsia="zh-CN"/>
                    </w:rPr>
                  </w:pPr>
                  <w:r>
                    <w:rPr>
                      <w:rFonts w:hint="eastAsia"/>
                      <w:color w:val="auto"/>
                      <w:kern w:val="0"/>
                      <w:highlight w:val="none"/>
                      <w:lang w:val="en-US" w:eastAsia="zh-CN"/>
                    </w:rPr>
                    <w:t>产排污环节</w:t>
                  </w:r>
                </w:p>
              </w:tc>
              <w:tc>
                <w:tcPr>
                  <w:tcW w:w="788" w:type="dxa"/>
                  <w:vMerge w:val="restart"/>
                  <w:noWrap w:val="0"/>
                  <w:vAlign w:val="center"/>
                </w:tcPr>
                <w:p w14:paraId="3C515A8D">
                  <w:pPr>
                    <w:adjustRightInd w:val="0"/>
                    <w:snapToGrid w:val="0"/>
                    <w:spacing w:line="240" w:lineRule="auto"/>
                    <w:ind w:firstLine="0" w:firstLineChars="0"/>
                    <w:jc w:val="center"/>
                    <w:rPr>
                      <w:color w:val="auto"/>
                      <w:kern w:val="0"/>
                      <w:highlight w:val="none"/>
                    </w:rPr>
                  </w:pPr>
                  <w:r>
                    <w:rPr>
                      <w:color w:val="auto"/>
                      <w:kern w:val="0"/>
                      <w:highlight w:val="none"/>
                    </w:rPr>
                    <w:t>污染物</w:t>
                  </w:r>
                </w:p>
              </w:tc>
              <w:tc>
                <w:tcPr>
                  <w:tcW w:w="775" w:type="dxa"/>
                  <w:vMerge w:val="restart"/>
                  <w:noWrap w:val="0"/>
                  <w:vAlign w:val="center"/>
                </w:tcPr>
                <w:p w14:paraId="79B8D6FA">
                  <w:pPr>
                    <w:adjustRightInd w:val="0"/>
                    <w:snapToGrid w:val="0"/>
                    <w:spacing w:line="240" w:lineRule="auto"/>
                    <w:ind w:firstLine="0" w:firstLineChars="0"/>
                    <w:jc w:val="center"/>
                    <w:rPr>
                      <w:rFonts w:hint="default" w:eastAsia="宋体"/>
                      <w:color w:val="auto"/>
                      <w:kern w:val="0"/>
                      <w:highlight w:val="none"/>
                      <w:lang w:val="en-US" w:eastAsia="zh-CN"/>
                    </w:rPr>
                  </w:pPr>
                  <w:r>
                    <w:rPr>
                      <w:rFonts w:hint="eastAsia"/>
                      <w:color w:val="auto"/>
                      <w:kern w:val="0"/>
                      <w:highlight w:val="none"/>
                      <w:lang w:val="en-US" w:eastAsia="zh-CN"/>
                    </w:rPr>
                    <w:t>排放方式</w:t>
                  </w:r>
                </w:p>
              </w:tc>
              <w:tc>
                <w:tcPr>
                  <w:tcW w:w="2595" w:type="dxa"/>
                  <w:gridSpan w:val="2"/>
                  <w:noWrap w:val="0"/>
                  <w:vAlign w:val="center"/>
                </w:tcPr>
                <w:p w14:paraId="608F4ACD">
                  <w:pPr>
                    <w:adjustRightInd w:val="0"/>
                    <w:snapToGrid w:val="0"/>
                    <w:spacing w:line="240" w:lineRule="auto"/>
                    <w:ind w:firstLine="0" w:firstLineChars="0"/>
                    <w:jc w:val="center"/>
                    <w:rPr>
                      <w:color w:val="auto"/>
                      <w:kern w:val="0"/>
                      <w:highlight w:val="none"/>
                    </w:rPr>
                  </w:pPr>
                  <w:r>
                    <w:rPr>
                      <w:color w:val="auto"/>
                      <w:kern w:val="0"/>
                      <w:highlight w:val="none"/>
                    </w:rPr>
                    <w:t>无组织排放监控浓度</w:t>
                  </w:r>
                </w:p>
              </w:tc>
              <w:tc>
                <w:tcPr>
                  <w:tcW w:w="2760" w:type="dxa"/>
                  <w:vMerge w:val="restart"/>
                  <w:noWrap w:val="0"/>
                  <w:vAlign w:val="center"/>
                </w:tcPr>
                <w:p w14:paraId="3E417CC2">
                  <w:pPr>
                    <w:adjustRightInd w:val="0"/>
                    <w:snapToGrid w:val="0"/>
                    <w:spacing w:line="240" w:lineRule="auto"/>
                    <w:ind w:firstLine="0" w:firstLineChars="0"/>
                    <w:jc w:val="center"/>
                    <w:rPr>
                      <w:color w:val="auto"/>
                      <w:kern w:val="0"/>
                      <w:highlight w:val="none"/>
                    </w:rPr>
                  </w:pPr>
                  <w:r>
                    <w:rPr>
                      <w:color w:val="auto"/>
                      <w:kern w:val="0"/>
                      <w:highlight w:val="none"/>
                    </w:rPr>
                    <w:t>执行标准</w:t>
                  </w:r>
                </w:p>
              </w:tc>
            </w:tr>
            <w:tr w14:paraId="530B7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040" w:type="dxa"/>
                  <w:vMerge w:val="continue"/>
                  <w:noWrap w:val="0"/>
                  <w:vAlign w:val="center"/>
                </w:tcPr>
                <w:p w14:paraId="59F64335">
                  <w:pPr>
                    <w:adjustRightInd w:val="0"/>
                    <w:snapToGrid w:val="0"/>
                    <w:spacing w:line="240" w:lineRule="auto"/>
                    <w:ind w:firstLine="0" w:firstLineChars="0"/>
                    <w:jc w:val="center"/>
                    <w:rPr>
                      <w:color w:val="auto"/>
                      <w:kern w:val="0"/>
                      <w:highlight w:val="none"/>
                    </w:rPr>
                  </w:pPr>
                </w:p>
              </w:tc>
              <w:tc>
                <w:tcPr>
                  <w:tcW w:w="788" w:type="dxa"/>
                  <w:vMerge w:val="continue"/>
                  <w:noWrap w:val="0"/>
                  <w:vAlign w:val="center"/>
                </w:tcPr>
                <w:p w14:paraId="7F9F79D1">
                  <w:pPr>
                    <w:adjustRightInd w:val="0"/>
                    <w:snapToGrid w:val="0"/>
                    <w:spacing w:line="240" w:lineRule="auto"/>
                    <w:ind w:firstLine="0" w:firstLineChars="0"/>
                    <w:jc w:val="center"/>
                    <w:rPr>
                      <w:color w:val="auto"/>
                      <w:kern w:val="0"/>
                      <w:highlight w:val="none"/>
                    </w:rPr>
                  </w:pPr>
                </w:p>
              </w:tc>
              <w:tc>
                <w:tcPr>
                  <w:tcW w:w="775" w:type="dxa"/>
                  <w:vMerge w:val="continue"/>
                  <w:noWrap w:val="0"/>
                  <w:vAlign w:val="center"/>
                </w:tcPr>
                <w:p w14:paraId="4EDFEBF1">
                  <w:pPr>
                    <w:adjustRightInd w:val="0"/>
                    <w:snapToGrid w:val="0"/>
                    <w:spacing w:line="240" w:lineRule="auto"/>
                    <w:ind w:firstLine="0" w:firstLineChars="0"/>
                    <w:jc w:val="center"/>
                    <w:rPr>
                      <w:color w:val="auto"/>
                      <w:kern w:val="0"/>
                      <w:highlight w:val="none"/>
                    </w:rPr>
                  </w:pPr>
                </w:p>
              </w:tc>
              <w:tc>
                <w:tcPr>
                  <w:tcW w:w="1427" w:type="dxa"/>
                  <w:noWrap w:val="0"/>
                  <w:vAlign w:val="center"/>
                </w:tcPr>
                <w:p w14:paraId="707AE68D">
                  <w:pPr>
                    <w:adjustRightInd w:val="0"/>
                    <w:snapToGrid w:val="0"/>
                    <w:spacing w:line="240" w:lineRule="auto"/>
                    <w:ind w:firstLine="0" w:firstLineChars="0"/>
                    <w:jc w:val="center"/>
                    <w:rPr>
                      <w:color w:val="auto"/>
                      <w:kern w:val="0"/>
                      <w:highlight w:val="none"/>
                    </w:rPr>
                  </w:pPr>
                  <w:r>
                    <w:rPr>
                      <w:color w:val="auto"/>
                      <w:kern w:val="0"/>
                      <w:highlight w:val="none"/>
                    </w:rPr>
                    <w:t>监控点</w:t>
                  </w:r>
                </w:p>
              </w:tc>
              <w:tc>
                <w:tcPr>
                  <w:tcW w:w="1168" w:type="dxa"/>
                  <w:noWrap w:val="0"/>
                  <w:vAlign w:val="center"/>
                </w:tcPr>
                <w:p w14:paraId="47F50B29">
                  <w:pPr>
                    <w:adjustRightInd w:val="0"/>
                    <w:snapToGrid w:val="0"/>
                    <w:spacing w:line="240" w:lineRule="auto"/>
                    <w:ind w:firstLine="0" w:firstLineChars="0"/>
                    <w:jc w:val="center"/>
                    <w:rPr>
                      <w:color w:val="auto"/>
                      <w:kern w:val="0"/>
                      <w:highlight w:val="none"/>
                    </w:rPr>
                  </w:pPr>
                  <w:r>
                    <w:rPr>
                      <w:color w:val="auto"/>
                      <w:kern w:val="0"/>
                      <w:highlight w:val="none"/>
                    </w:rPr>
                    <w:t>浓度</w:t>
                  </w:r>
                </w:p>
              </w:tc>
              <w:tc>
                <w:tcPr>
                  <w:tcW w:w="2760" w:type="dxa"/>
                  <w:vMerge w:val="continue"/>
                  <w:noWrap w:val="0"/>
                  <w:vAlign w:val="center"/>
                </w:tcPr>
                <w:p w14:paraId="056B13ED">
                  <w:pPr>
                    <w:adjustRightInd w:val="0"/>
                    <w:snapToGrid w:val="0"/>
                    <w:spacing w:line="240" w:lineRule="auto"/>
                    <w:ind w:firstLine="0" w:firstLineChars="0"/>
                    <w:jc w:val="center"/>
                    <w:rPr>
                      <w:color w:val="auto"/>
                      <w:kern w:val="0"/>
                      <w:highlight w:val="none"/>
                    </w:rPr>
                  </w:pPr>
                </w:p>
              </w:tc>
            </w:tr>
            <w:tr w14:paraId="7BD4B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7" w:hRule="atLeast"/>
              </w:trPr>
              <w:tc>
                <w:tcPr>
                  <w:tcW w:w="1040" w:type="dxa"/>
                  <w:noWrap w:val="0"/>
                  <w:vAlign w:val="center"/>
                </w:tcPr>
                <w:p w14:paraId="571A8849">
                  <w:pPr>
                    <w:adjustRightInd w:val="0"/>
                    <w:snapToGrid w:val="0"/>
                    <w:spacing w:line="240" w:lineRule="auto"/>
                    <w:ind w:firstLine="0" w:firstLineChars="0"/>
                    <w:jc w:val="center"/>
                    <w:rPr>
                      <w:rFonts w:hint="eastAsia" w:eastAsia="宋体"/>
                      <w:color w:val="auto"/>
                      <w:kern w:val="0"/>
                      <w:highlight w:val="none"/>
                      <w:lang w:val="en-US" w:eastAsia="zh-CN"/>
                    </w:rPr>
                  </w:pPr>
                  <w:r>
                    <w:rPr>
                      <w:rFonts w:hint="eastAsia"/>
                      <w:color w:val="auto"/>
                      <w:kern w:val="0"/>
                      <w:highlight w:val="none"/>
                      <w:lang w:val="en-US" w:eastAsia="zh-CN"/>
                    </w:rPr>
                    <w:t>厂界</w:t>
                  </w:r>
                </w:p>
              </w:tc>
              <w:tc>
                <w:tcPr>
                  <w:tcW w:w="788" w:type="dxa"/>
                  <w:vMerge w:val="restart"/>
                  <w:noWrap w:val="0"/>
                  <w:vAlign w:val="center"/>
                </w:tcPr>
                <w:p w14:paraId="6BB4B0B3">
                  <w:pPr>
                    <w:adjustRightInd w:val="0"/>
                    <w:snapToGrid w:val="0"/>
                    <w:spacing w:line="240" w:lineRule="auto"/>
                    <w:ind w:firstLine="0" w:firstLineChars="0"/>
                    <w:jc w:val="center"/>
                    <w:rPr>
                      <w:color w:val="auto"/>
                      <w:kern w:val="0"/>
                      <w:highlight w:val="none"/>
                    </w:rPr>
                  </w:pPr>
                  <w:r>
                    <w:rPr>
                      <w:color w:val="auto"/>
                      <w:kern w:val="0"/>
                      <w:highlight w:val="none"/>
                    </w:rPr>
                    <w:t>非甲烷总烃</w:t>
                  </w:r>
                </w:p>
              </w:tc>
              <w:tc>
                <w:tcPr>
                  <w:tcW w:w="775" w:type="dxa"/>
                  <w:vMerge w:val="restart"/>
                  <w:noWrap w:val="0"/>
                  <w:vAlign w:val="center"/>
                </w:tcPr>
                <w:p w14:paraId="074F03C2">
                  <w:pPr>
                    <w:adjustRightInd w:val="0"/>
                    <w:snapToGrid w:val="0"/>
                    <w:spacing w:line="240" w:lineRule="auto"/>
                    <w:ind w:firstLine="0" w:firstLineChars="0"/>
                    <w:jc w:val="center"/>
                    <w:rPr>
                      <w:rFonts w:hint="eastAsia" w:eastAsia="宋体"/>
                      <w:color w:val="auto"/>
                      <w:kern w:val="0"/>
                      <w:highlight w:val="none"/>
                      <w:lang w:val="en-US" w:eastAsia="zh-CN"/>
                    </w:rPr>
                  </w:pPr>
                  <w:r>
                    <w:rPr>
                      <w:rFonts w:hint="eastAsia"/>
                      <w:color w:val="auto"/>
                      <w:kern w:val="0"/>
                      <w:highlight w:val="none"/>
                      <w:lang w:val="en-US" w:eastAsia="zh-CN"/>
                    </w:rPr>
                    <w:t>无组织</w:t>
                  </w:r>
                </w:p>
              </w:tc>
              <w:tc>
                <w:tcPr>
                  <w:tcW w:w="1427" w:type="dxa"/>
                  <w:noWrap w:val="0"/>
                  <w:vAlign w:val="center"/>
                </w:tcPr>
                <w:p w14:paraId="51E94F36">
                  <w:pPr>
                    <w:adjustRightInd w:val="0"/>
                    <w:snapToGrid w:val="0"/>
                    <w:spacing w:line="240" w:lineRule="auto"/>
                    <w:ind w:firstLine="0" w:firstLineChars="0"/>
                    <w:jc w:val="center"/>
                    <w:rPr>
                      <w:color w:val="auto"/>
                      <w:kern w:val="0"/>
                      <w:highlight w:val="none"/>
                    </w:rPr>
                  </w:pPr>
                  <w:r>
                    <w:rPr>
                      <w:color w:val="auto"/>
                      <w:kern w:val="0"/>
                      <w:highlight w:val="none"/>
                    </w:rPr>
                    <w:t>周界外浓度最高点无组织排放浓度</w:t>
                  </w:r>
                </w:p>
              </w:tc>
              <w:tc>
                <w:tcPr>
                  <w:tcW w:w="1168" w:type="dxa"/>
                  <w:noWrap w:val="0"/>
                  <w:vAlign w:val="center"/>
                </w:tcPr>
                <w:p w14:paraId="03C2795C">
                  <w:pPr>
                    <w:adjustRightInd w:val="0"/>
                    <w:snapToGrid w:val="0"/>
                    <w:spacing w:line="240" w:lineRule="auto"/>
                    <w:ind w:firstLine="0" w:firstLineChars="0"/>
                    <w:jc w:val="center"/>
                    <w:rPr>
                      <w:color w:val="auto"/>
                      <w:kern w:val="0"/>
                      <w:highlight w:val="none"/>
                    </w:rPr>
                  </w:pPr>
                  <w:r>
                    <w:rPr>
                      <w:color w:val="auto"/>
                      <w:kern w:val="0"/>
                      <w:highlight w:val="none"/>
                    </w:rPr>
                    <w:t>4.0mg/m³</w:t>
                  </w:r>
                </w:p>
              </w:tc>
              <w:tc>
                <w:tcPr>
                  <w:tcW w:w="2760" w:type="dxa"/>
                  <w:noWrap w:val="0"/>
                  <w:vAlign w:val="center"/>
                </w:tcPr>
                <w:p w14:paraId="29C2DB6A">
                  <w:pPr>
                    <w:adjustRightInd w:val="0"/>
                    <w:snapToGrid w:val="0"/>
                    <w:spacing w:line="240" w:lineRule="auto"/>
                    <w:ind w:firstLine="0" w:firstLineChars="0"/>
                    <w:jc w:val="center"/>
                    <w:rPr>
                      <w:color w:val="auto"/>
                      <w:kern w:val="0"/>
                      <w:highlight w:val="none"/>
                    </w:rPr>
                  </w:pPr>
                  <w:r>
                    <w:rPr>
                      <w:color w:val="auto"/>
                      <w:kern w:val="0"/>
                      <w:highlight w:val="none"/>
                    </w:rPr>
                    <w:t>《大气污染物综合排放标准》（GB16297-1996）</w:t>
                  </w:r>
                  <w:r>
                    <w:rPr>
                      <w:color w:val="auto"/>
                      <w:highlight w:val="none"/>
                    </w:rPr>
                    <w:t>表2新污染源大气排放限值中无组织排放监控浓度限值。</w:t>
                  </w:r>
                </w:p>
              </w:tc>
            </w:tr>
            <w:tr w14:paraId="6A35F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3" w:hRule="atLeast"/>
              </w:trPr>
              <w:tc>
                <w:tcPr>
                  <w:tcW w:w="1040" w:type="dxa"/>
                  <w:noWrap w:val="0"/>
                  <w:vAlign w:val="center"/>
                </w:tcPr>
                <w:p w14:paraId="064A68E7">
                  <w:pPr>
                    <w:adjustRightInd w:val="0"/>
                    <w:snapToGrid w:val="0"/>
                    <w:spacing w:line="240" w:lineRule="auto"/>
                    <w:ind w:firstLine="0" w:firstLineChars="0"/>
                    <w:jc w:val="center"/>
                    <w:rPr>
                      <w:rFonts w:hint="default" w:eastAsia="宋体"/>
                      <w:color w:val="auto"/>
                      <w:kern w:val="0"/>
                      <w:highlight w:val="none"/>
                      <w:lang w:val="en-US" w:eastAsia="zh-CN"/>
                    </w:rPr>
                  </w:pPr>
                  <w:r>
                    <w:rPr>
                      <w:rFonts w:hint="default" w:eastAsia="宋体"/>
                      <w:color w:val="auto"/>
                      <w:kern w:val="0"/>
                      <w:highlight w:val="none"/>
                      <w:lang w:val="en-US" w:eastAsia="zh-CN"/>
                    </w:rPr>
                    <w:t>在厂房外设置监控点</w:t>
                  </w:r>
                </w:p>
              </w:tc>
              <w:tc>
                <w:tcPr>
                  <w:tcW w:w="788" w:type="dxa"/>
                  <w:vMerge w:val="continue"/>
                  <w:noWrap w:val="0"/>
                  <w:vAlign w:val="center"/>
                </w:tcPr>
                <w:p w14:paraId="03AEB3DE">
                  <w:pPr>
                    <w:adjustRightInd w:val="0"/>
                    <w:snapToGrid w:val="0"/>
                    <w:spacing w:line="240" w:lineRule="auto"/>
                    <w:ind w:firstLine="0" w:firstLineChars="0"/>
                    <w:jc w:val="center"/>
                    <w:rPr>
                      <w:color w:val="auto"/>
                      <w:kern w:val="0"/>
                      <w:highlight w:val="none"/>
                    </w:rPr>
                  </w:pPr>
                </w:p>
              </w:tc>
              <w:tc>
                <w:tcPr>
                  <w:tcW w:w="775" w:type="dxa"/>
                  <w:vMerge w:val="continue"/>
                  <w:noWrap w:val="0"/>
                  <w:vAlign w:val="center"/>
                </w:tcPr>
                <w:p w14:paraId="4E88DC68">
                  <w:pPr>
                    <w:adjustRightInd w:val="0"/>
                    <w:snapToGrid w:val="0"/>
                    <w:spacing w:line="240" w:lineRule="auto"/>
                    <w:ind w:firstLine="0" w:firstLineChars="0"/>
                    <w:jc w:val="center"/>
                    <w:rPr>
                      <w:color w:val="auto"/>
                      <w:kern w:val="0"/>
                      <w:highlight w:val="none"/>
                    </w:rPr>
                  </w:pPr>
                </w:p>
              </w:tc>
              <w:tc>
                <w:tcPr>
                  <w:tcW w:w="1427" w:type="dxa"/>
                  <w:noWrap w:val="0"/>
                  <w:vAlign w:val="center"/>
                </w:tcPr>
                <w:p w14:paraId="73EB5816">
                  <w:pPr>
                    <w:adjustRightInd w:val="0"/>
                    <w:snapToGrid w:val="0"/>
                    <w:spacing w:line="240" w:lineRule="auto"/>
                    <w:ind w:firstLine="0" w:firstLineChars="0"/>
                    <w:jc w:val="center"/>
                    <w:rPr>
                      <w:color w:val="auto"/>
                      <w:kern w:val="0"/>
                      <w:highlight w:val="none"/>
                    </w:rPr>
                  </w:pPr>
                  <w:r>
                    <w:rPr>
                      <w:rFonts w:hint="eastAsia"/>
                      <w:color w:val="auto"/>
                      <w:sz w:val="24"/>
                      <w:szCs w:val="24"/>
                      <w:highlight w:val="none"/>
                      <w:lang w:val="en-US" w:eastAsia="zh-CN"/>
                    </w:rPr>
                    <w:t>（监控点处1h平均浓度值）</w:t>
                  </w:r>
                </w:p>
              </w:tc>
              <w:tc>
                <w:tcPr>
                  <w:tcW w:w="1168" w:type="dxa"/>
                  <w:noWrap w:val="0"/>
                  <w:vAlign w:val="center"/>
                </w:tcPr>
                <w:p w14:paraId="5E3D37E1">
                  <w:pPr>
                    <w:adjustRightInd w:val="0"/>
                    <w:snapToGrid w:val="0"/>
                    <w:spacing w:line="240" w:lineRule="auto"/>
                    <w:ind w:firstLine="0" w:firstLineChars="0"/>
                    <w:jc w:val="center"/>
                    <w:rPr>
                      <w:color w:val="auto"/>
                      <w:kern w:val="0"/>
                      <w:highlight w:val="none"/>
                    </w:rPr>
                  </w:pPr>
                  <w:r>
                    <w:rPr>
                      <w:rFonts w:hint="eastAsia"/>
                      <w:color w:val="auto"/>
                      <w:sz w:val="24"/>
                      <w:szCs w:val="24"/>
                      <w:highlight w:val="none"/>
                      <w:lang w:val="en-US" w:eastAsia="zh-CN"/>
                    </w:rPr>
                    <w:t>10mg/m³</w:t>
                  </w:r>
                </w:p>
              </w:tc>
              <w:tc>
                <w:tcPr>
                  <w:tcW w:w="2760" w:type="dxa"/>
                  <w:noWrap w:val="0"/>
                  <w:vAlign w:val="center"/>
                </w:tcPr>
                <w:p w14:paraId="00856F18">
                  <w:pPr>
                    <w:adjustRightInd w:val="0"/>
                    <w:snapToGrid w:val="0"/>
                    <w:spacing w:line="240" w:lineRule="auto"/>
                    <w:ind w:firstLine="0" w:firstLineChars="0"/>
                    <w:jc w:val="center"/>
                    <w:rPr>
                      <w:color w:val="auto"/>
                      <w:kern w:val="0"/>
                      <w:highlight w:val="none"/>
                    </w:rPr>
                  </w:pPr>
                  <w:r>
                    <w:rPr>
                      <w:rFonts w:hint="eastAsia"/>
                      <w:color w:val="auto"/>
                      <w:sz w:val="24"/>
                      <w:szCs w:val="24"/>
                    </w:rPr>
                    <w:t>《挥发性有机物无组织排放控制标准》（GB37822-2019）</w:t>
                  </w:r>
                  <w:r>
                    <w:rPr>
                      <w:rFonts w:hint="eastAsia"/>
                      <w:color w:val="auto"/>
                      <w:sz w:val="24"/>
                      <w:szCs w:val="24"/>
                      <w:lang w:val="en-US" w:eastAsia="zh-CN"/>
                    </w:rPr>
                    <w:t>表A.1厂区内VOCs无组织排放限值要求</w:t>
                  </w:r>
                </w:p>
              </w:tc>
            </w:tr>
          </w:tbl>
          <w:p w14:paraId="68985C7A">
            <w:pPr>
              <w:adjustRightInd w:val="0"/>
              <w:snapToGrid w:val="0"/>
              <w:ind w:firstLine="482"/>
              <w:rPr>
                <w:b/>
                <w:bCs/>
                <w:color w:val="auto"/>
                <w:kern w:val="0"/>
                <w:highlight w:val="none"/>
              </w:rPr>
            </w:pPr>
            <w:r>
              <w:rPr>
                <w:rFonts w:hint="eastAsia"/>
                <w:b/>
                <w:bCs/>
                <w:color w:val="auto"/>
                <w:kern w:val="0"/>
                <w:highlight w:val="none"/>
                <w:lang w:val="en-US" w:eastAsia="zh-CN"/>
              </w:rPr>
              <w:t>二</w:t>
            </w:r>
            <w:r>
              <w:rPr>
                <w:rFonts w:hint="eastAsia"/>
                <w:b/>
                <w:bCs/>
                <w:color w:val="auto"/>
                <w:kern w:val="0"/>
                <w:highlight w:val="none"/>
              </w:rPr>
              <w:t>、</w:t>
            </w:r>
            <w:r>
              <w:rPr>
                <w:b/>
                <w:bCs/>
                <w:color w:val="auto"/>
                <w:kern w:val="0"/>
                <w:highlight w:val="none"/>
              </w:rPr>
              <w:t>噪声排放标准</w:t>
            </w:r>
          </w:p>
          <w:p w14:paraId="73BAD549">
            <w:pPr>
              <w:ind w:firstLine="480"/>
              <w:rPr>
                <w:color w:val="auto"/>
                <w:highlight w:val="none"/>
              </w:rPr>
            </w:pPr>
            <w:r>
              <w:rPr>
                <w:color w:val="auto"/>
                <w:highlight w:val="none"/>
              </w:rPr>
              <w:t>施工噪声执行《建筑施工场界环境噪声排放标准》（GB12523-2011）的标准限值</w:t>
            </w:r>
            <w:r>
              <w:rPr>
                <w:rFonts w:hint="eastAsia"/>
                <w:color w:val="auto"/>
                <w:highlight w:val="none"/>
              </w:rPr>
              <w:t>；</w:t>
            </w:r>
            <w:r>
              <w:rPr>
                <w:color w:val="auto"/>
                <w:highlight w:val="none"/>
              </w:rPr>
              <w:t>本项目运营期厂界噪声执行《工业企业厂界环境噪声排放标准》（GB12348-2008）中</w:t>
            </w:r>
            <w:r>
              <w:rPr>
                <w:rFonts w:hint="eastAsia"/>
                <w:color w:val="auto"/>
                <w:highlight w:val="none"/>
                <w:lang w:val="en-US" w:eastAsia="zh-CN"/>
              </w:rPr>
              <w:t>2类</w:t>
            </w:r>
            <w:r>
              <w:rPr>
                <w:color w:val="auto"/>
                <w:highlight w:val="none"/>
              </w:rPr>
              <w:t>标准限值，具体指标见表3-6。</w:t>
            </w:r>
          </w:p>
          <w:p w14:paraId="778DD4D2">
            <w:pPr>
              <w:ind w:firstLine="482"/>
              <w:jc w:val="center"/>
              <w:rPr>
                <w:b/>
                <w:bCs/>
                <w:color w:val="auto"/>
                <w:highlight w:val="none"/>
              </w:rPr>
            </w:pPr>
            <w:r>
              <w:rPr>
                <w:b/>
                <w:bCs/>
                <w:color w:val="auto"/>
                <w:highlight w:val="none"/>
              </w:rPr>
              <w:t>表3-6噪声排放标准一览表</w:t>
            </w:r>
          </w:p>
          <w:tbl>
            <w:tblPr>
              <w:tblStyle w:val="14"/>
              <w:tblW w:w="80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34"/>
              <w:gridCol w:w="2711"/>
              <w:gridCol w:w="2874"/>
            </w:tblGrid>
            <w:tr w14:paraId="06377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2434" w:type="dxa"/>
                  <w:vMerge w:val="restart"/>
                  <w:noWrap w:val="0"/>
                  <w:vAlign w:val="center"/>
                </w:tcPr>
                <w:p w14:paraId="6E5665FA">
                  <w:pPr>
                    <w:spacing w:line="240" w:lineRule="auto"/>
                    <w:ind w:firstLine="0" w:firstLineChars="0"/>
                    <w:jc w:val="center"/>
                    <w:rPr>
                      <w:color w:val="auto"/>
                      <w:highlight w:val="none"/>
                    </w:rPr>
                  </w:pPr>
                  <w:r>
                    <w:rPr>
                      <w:color w:val="auto"/>
                      <w:highlight w:val="none"/>
                    </w:rPr>
                    <w:t>时期</w:t>
                  </w:r>
                </w:p>
              </w:tc>
              <w:tc>
                <w:tcPr>
                  <w:tcW w:w="5585" w:type="dxa"/>
                  <w:gridSpan w:val="2"/>
                  <w:noWrap w:val="0"/>
                  <w:vAlign w:val="center"/>
                </w:tcPr>
                <w:p w14:paraId="1C03414E">
                  <w:pPr>
                    <w:spacing w:line="240" w:lineRule="auto"/>
                    <w:ind w:firstLine="0" w:firstLineChars="0"/>
                    <w:jc w:val="center"/>
                    <w:rPr>
                      <w:color w:val="auto"/>
                      <w:highlight w:val="none"/>
                    </w:rPr>
                  </w:pPr>
                  <w:r>
                    <w:rPr>
                      <w:color w:val="auto"/>
                      <w:highlight w:val="none"/>
                    </w:rPr>
                    <w:t>噪声限值Leq[dB（A）]</w:t>
                  </w:r>
                </w:p>
              </w:tc>
            </w:tr>
            <w:tr w14:paraId="7F800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2434" w:type="dxa"/>
                  <w:vMerge w:val="continue"/>
                  <w:noWrap w:val="0"/>
                  <w:vAlign w:val="center"/>
                </w:tcPr>
                <w:p w14:paraId="3D959C90">
                  <w:pPr>
                    <w:spacing w:line="240" w:lineRule="auto"/>
                    <w:ind w:firstLine="0" w:firstLineChars="0"/>
                    <w:jc w:val="center"/>
                    <w:rPr>
                      <w:color w:val="auto"/>
                      <w:highlight w:val="none"/>
                    </w:rPr>
                  </w:pPr>
                </w:p>
              </w:tc>
              <w:tc>
                <w:tcPr>
                  <w:tcW w:w="2711" w:type="dxa"/>
                  <w:noWrap w:val="0"/>
                  <w:vAlign w:val="center"/>
                </w:tcPr>
                <w:p w14:paraId="6469A212">
                  <w:pPr>
                    <w:spacing w:line="240" w:lineRule="auto"/>
                    <w:ind w:firstLine="0" w:firstLineChars="0"/>
                    <w:jc w:val="center"/>
                    <w:rPr>
                      <w:color w:val="auto"/>
                      <w:highlight w:val="none"/>
                    </w:rPr>
                  </w:pPr>
                  <w:r>
                    <w:rPr>
                      <w:color w:val="auto"/>
                      <w:highlight w:val="none"/>
                    </w:rPr>
                    <w:t>昼间</w:t>
                  </w:r>
                </w:p>
              </w:tc>
              <w:tc>
                <w:tcPr>
                  <w:tcW w:w="2874" w:type="dxa"/>
                  <w:noWrap w:val="0"/>
                  <w:vAlign w:val="center"/>
                </w:tcPr>
                <w:p w14:paraId="23285E7B">
                  <w:pPr>
                    <w:spacing w:line="240" w:lineRule="auto"/>
                    <w:ind w:firstLine="0" w:firstLineChars="0"/>
                    <w:jc w:val="center"/>
                    <w:rPr>
                      <w:color w:val="auto"/>
                      <w:highlight w:val="none"/>
                    </w:rPr>
                  </w:pPr>
                  <w:r>
                    <w:rPr>
                      <w:color w:val="auto"/>
                      <w:highlight w:val="none"/>
                    </w:rPr>
                    <w:t>夜间</w:t>
                  </w:r>
                </w:p>
              </w:tc>
            </w:tr>
            <w:tr w14:paraId="775B3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2434" w:type="dxa"/>
                  <w:noWrap w:val="0"/>
                  <w:vAlign w:val="center"/>
                </w:tcPr>
                <w:p w14:paraId="70A81456">
                  <w:pPr>
                    <w:spacing w:line="240" w:lineRule="auto"/>
                    <w:ind w:firstLine="0" w:firstLineChars="0"/>
                    <w:jc w:val="center"/>
                    <w:rPr>
                      <w:color w:val="auto"/>
                      <w:highlight w:val="none"/>
                    </w:rPr>
                  </w:pPr>
                  <w:r>
                    <w:rPr>
                      <w:color w:val="auto"/>
                      <w:highlight w:val="none"/>
                    </w:rPr>
                    <w:t>施工期</w:t>
                  </w:r>
                </w:p>
              </w:tc>
              <w:tc>
                <w:tcPr>
                  <w:tcW w:w="2711" w:type="dxa"/>
                  <w:noWrap w:val="0"/>
                  <w:vAlign w:val="center"/>
                </w:tcPr>
                <w:p w14:paraId="135D4C72">
                  <w:pPr>
                    <w:spacing w:line="240" w:lineRule="auto"/>
                    <w:ind w:firstLine="0" w:firstLineChars="0"/>
                    <w:jc w:val="center"/>
                    <w:rPr>
                      <w:color w:val="auto"/>
                      <w:highlight w:val="none"/>
                    </w:rPr>
                  </w:pPr>
                  <w:r>
                    <w:rPr>
                      <w:color w:val="auto"/>
                      <w:highlight w:val="none"/>
                    </w:rPr>
                    <w:t>70</w:t>
                  </w:r>
                </w:p>
              </w:tc>
              <w:tc>
                <w:tcPr>
                  <w:tcW w:w="2874" w:type="dxa"/>
                  <w:noWrap w:val="0"/>
                  <w:vAlign w:val="center"/>
                </w:tcPr>
                <w:p w14:paraId="3BBB73C9">
                  <w:pPr>
                    <w:spacing w:line="240" w:lineRule="auto"/>
                    <w:ind w:firstLine="0" w:firstLineChars="0"/>
                    <w:jc w:val="center"/>
                    <w:rPr>
                      <w:color w:val="auto"/>
                      <w:highlight w:val="none"/>
                    </w:rPr>
                  </w:pPr>
                  <w:r>
                    <w:rPr>
                      <w:color w:val="auto"/>
                      <w:highlight w:val="none"/>
                    </w:rPr>
                    <w:t>55</w:t>
                  </w:r>
                </w:p>
              </w:tc>
            </w:tr>
            <w:tr w14:paraId="2C8E7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2434" w:type="dxa"/>
                  <w:noWrap w:val="0"/>
                  <w:vAlign w:val="center"/>
                </w:tcPr>
                <w:p w14:paraId="2D9179D0">
                  <w:pPr>
                    <w:spacing w:line="240" w:lineRule="auto"/>
                    <w:ind w:firstLine="0" w:firstLineChars="0"/>
                    <w:jc w:val="center"/>
                    <w:rPr>
                      <w:color w:val="auto"/>
                      <w:highlight w:val="none"/>
                    </w:rPr>
                  </w:pPr>
                  <w:r>
                    <w:rPr>
                      <w:color w:val="auto"/>
                      <w:highlight w:val="none"/>
                    </w:rPr>
                    <w:t>运营期</w:t>
                  </w:r>
                </w:p>
              </w:tc>
              <w:tc>
                <w:tcPr>
                  <w:tcW w:w="2711" w:type="dxa"/>
                  <w:noWrap w:val="0"/>
                  <w:vAlign w:val="center"/>
                </w:tcPr>
                <w:p w14:paraId="167BD57A">
                  <w:pPr>
                    <w:spacing w:line="240" w:lineRule="auto"/>
                    <w:ind w:firstLine="0" w:firstLineChars="0"/>
                    <w:jc w:val="center"/>
                    <w:rPr>
                      <w:rFonts w:hint="default" w:eastAsia="宋体"/>
                      <w:color w:val="auto"/>
                      <w:highlight w:val="none"/>
                      <w:lang w:val="en-US" w:eastAsia="zh-CN"/>
                    </w:rPr>
                  </w:pPr>
                  <w:r>
                    <w:rPr>
                      <w:rFonts w:hint="eastAsia"/>
                      <w:color w:val="auto"/>
                      <w:highlight w:val="none"/>
                      <w:lang w:val="en-US" w:eastAsia="zh-CN"/>
                    </w:rPr>
                    <w:t>60</w:t>
                  </w:r>
                </w:p>
              </w:tc>
              <w:tc>
                <w:tcPr>
                  <w:tcW w:w="2874" w:type="dxa"/>
                  <w:noWrap w:val="0"/>
                  <w:vAlign w:val="center"/>
                </w:tcPr>
                <w:p w14:paraId="7D614D1E">
                  <w:pPr>
                    <w:spacing w:line="240" w:lineRule="auto"/>
                    <w:ind w:firstLine="0" w:firstLineChars="0"/>
                    <w:jc w:val="center"/>
                    <w:rPr>
                      <w:rFonts w:hint="default" w:eastAsia="宋体"/>
                      <w:color w:val="auto"/>
                      <w:highlight w:val="none"/>
                      <w:lang w:val="en-US" w:eastAsia="zh-CN"/>
                    </w:rPr>
                  </w:pPr>
                  <w:r>
                    <w:rPr>
                      <w:rFonts w:hint="eastAsia"/>
                      <w:color w:val="auto"/>
                      <w:highlight w:val="none"/>
                      <w:lang w:val="en-US" w:eastAsia="zh-CN"/>
                    </w:rPr>
                    <w:t>50</w:t>
                  </w:r>
                </w:p>
              </w:tc>
            </w:tr>
          </w:tbl>
          <w:p w14:paraId="245E86FD">
            <w:pPr>
              <w:adjustRightInd w:val="0"/>
              <w:snapToGrid w:val="0"/>
              <w:ind w:firstLine="482"/>
              <w:rPr>
                <w:b/>
                <w:bCs/>
                <w:color w:val="auto"/>
                <w:kern w:val="0"/>
                <w:highlight w:val="none"/>
              </w:rPr>
            </w:pPr>
            <w:r>
              <w:rPr>
                <w:rFonts w:hint="eastAsia"/>
                <w:b/>
                <w:bCs/>
                <w:color w:val="auto"/>
                <w:kern w:val="0"/>
                <w:highlight w:val="none"/>
                <w:lang w:val="en-US" w:eastAsia="zh-CN"/>
              </w:rPr>
              <w:t>三</w:t>
            </w:r>
            <w:r>
              <w:rPr>
                <w:b/>
                <w:bCs/>
                <w:color w:val="auto"/>
                <w:kern w:val="0"/>
                <w:highlight w:val="none"/>
              </w:rPr>
              <w:t>、固体废弃物</w:t>
            </w:r>
          </w:p>
          <w:p w14:paraId="1D1ED89C">
            <w:pPr>
              <w:adjustRightInd w:val="0"/>
              <w:snapToGrid w:val="0"/>
              <w:ind w:firstLine="480"/>
              <w:rPr>
                <w:color w:val="auto"/>
                <w:kern w:val="0"/>
                <w:highlight w:val="none"/>
              </w:rPr>
            </w:pPr>
            <w:r>
              <w:rPr>
                <w:color w:val="auto"/>
                <w:kern w:val="0"/>
                <w:highlight w:val="none"/>
              </w:rPr>
              <w:t>危险废物</w:t>
            </w:r>
            <w:r>
              <w:rPr>
                <w:rFonts w:hint="eastAsia"/>
                <w:color w:val="auto"/>
                <w:kern w:val="0"/>
                <w:highlight w:val="none"/>
                <w:lang w:val="en-US" w:eastAsia="zh-CN"/>
              </w:rPr>
              <w:t>暂存</w:t>
            </w:r>
            <w:r>
              <w:rPr>
                <w:color w:val="auto"/>
                <w:kern w:val="0"/>
                <w:highlight w:val="none"/>
              </w:rPr>
              <w:t>执行《危险废物贮存污染控制标准》（GB18597-2023）中相关规定。</w:t>
            </w:r>
          </w:p>
        </w:tc>
      </w:tr>
      <w:tr w14:paraId="223DE8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75" w:hRule="atLeast"/>
          <w:jc w:val="center"/>
        </w:trPr>
        <w:tc>
          <w:tcPr>
            <w:tcW w:w="1891" w:type="dxa"/>
            <w:gridSpan w:val="2"/>
            <w:noWrap w:val="0"/>
            <w:vAlign w:val="center"/>
          </w:tcPr>
          <w:p w14:paraId="5E5013B0">
            <w:pPr>
              <w:adjustRightInd w:val="0"/>
              <w:snapToGrid w:val="0"/>
              <w:ind w:firstLine="0" w:firstLineChars="0"/>
              <w:jc w:val="center"/>
              <w:rPr>
                <w:color w:val="auto"/>
                <w:kern w:val="0"/>
                <w:highlight w:val="none"/>
              </w:rPr>
            </w:pPr>
            <w:r>
              <w:rPr>
                <w:color w:val="auto"/>
                <w:kern w:val="0"/>
                <w:highlight w:val="none"/>
              </w:rPr>
              <w:t>总量控制指标</w:t>
            </w:r>
          </w:p>
        </w:tc>
        <w:tc>
          <w:tcPr>
            <w:tcW w:w="7099" w:type="dxa"/>
            <w:noWrap w:val="0"/>
            <w:vAlign w:val="center"/>
          </w:tcPr>
          <w:p w14:paraId="6234F851">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rPr>
              <w:t>根据《国务院关于印发“十四五”节能减排综合工作方案的通知》（国发</w:t>
            </w:r>
            <w:r>
              <w:rPr>
                <w:rFonts w:hint="eastAsia" w:ascii="Times New Roman" w:hAnsi="Times New Roman" w:eastAsia="宋体" w:cs="Times New Roman"/>
                <w:color w:val="auto"/>
                <w:sz w:val="24"/>
                <w:szCs w:val="24"/>
                <w:highlight w:val="none"/>
                <w:lang w:eastAsia="zh-CN"/>
              </w:rPr>
              <w:t>〔2021〕33号</w:t>
            </w:r>
            <w:r>
              <w:rPr>
                <w:rFonts w:hint="eastAsia" w:ascii="Times New Roman" w:hAnsi="Times New Roman" w:eastAsia="宋体" w:cs="Times New Roman"/>
                <w:color w:val="auto"/>
                <w:sz w:val="24"/>
                <w:szCs w:val="24"/>
                <w:highlight w:val="none"/>
              </w:rPr>
              <w:t>）中的规定，实施污染物排放总量控制的指标有化学需氧量、氨氮、</w:t>
            </w:r>
            <w:r>
              <w:rPr>
                <w:rFonts w:hint="eastAsia" w:cs="Times New Roman"/>
                <w:color w:val="auto"/>
                <w:sz w:val="24"/>
                <w:szCs w:val="24"/>
                <w:highlight w:val="none"/>
                <w:lang w:val="en-US" w:eastAsia="zh-CN"/>
              </w:rPr>
              <w:t>二氧化硫</w:t>
            </w:r>
            <w:r>
              <w:rPr>
                <w:rFonts w:hint="eastAsia" w:ascii="Times New Roman" w:hAnsi="Times New Roman" w:eastAsia="宋体" w:cs="Times New Roman"/>
                <w:color w:val="auto"/>
                <w:sz w:val="24"/>
                <w:szCs w:val="24"/>
                <w:highlight w:val="none"/>
              </w:rPr>
              <w:t>氮氧化物、挥发性有机物四项污染物。</w:t>
            </w:r>
            <w:r>
              <w:rPr>
                <w:rFonts w:hint="eastAsia" w:cs="Times New Roman"/>
                <w:color w:val="auto"/>
                <w:sz w:val="24"/>
                <w:szCs w:val="24"/>
                <w:highlight w:val="none"/>
                <w:lang w:val="en-US" w:eastAsia="zh-CN"/>
              </w:rPr>
              <w:t>本项目涉及的总量控制指标为非甲烷总烃。</w:t>
            </w:r>
          </w:p>
          <w:p w14:paraId="7EEE5F3C">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（1）污染物总量排放量统计</w:t>
            </w:r>
          </w:p>
          <w:p w14:paraId="03DE2DB9">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default" w:ascii="Times New Roman" w:hAnsi="Times New Roman" w:eastAsia="宋体" w:cs="Times New Roman"/>
                <w:b w:val="0"/>
                <w:bCs w:val="0"/>
                <w:color w:val="auto"/>
                <w:sz w:val="24"/>
                <w:highlight w:val="none"/>
                <w:lang w:val="en-US" w:eastAsia="zh-CN"/>
              </w:rPr>
            </w:pPr>
            <w:r>
              <w:rPr>
                <w:rFonts w:hint="default" w:ascii="Times New Roman" w:hAnsi="Times New Roman" w:eastAsia="宋体" w:cs="Times New Roman"/>
                <w:b w:val="0"/>
                <w:bCs w:val="0"/>
                <w:color w:val="auto"/>
                <w:sz w:val="24"/>
                <w:highlight w:val="none"/>
                <w:lang w:val="en-US" w:eastAsia="zh-CN"/>
              </w:rPr>
              <w:t>挥发性有机物（非甲烷总烃）排放</w:t>
            </w:r>
            <w:r>
              <w:rPr>
                <w:rFonts w:hint="eastAsia" w:ascii="Times New Roman" w:hAnsi="Times New Roman" w:eastAsia="宋体" w:cs="Times New Roman"/>
                <w:b w:val="0"/>
                <w:bCs w:val="0"/>
                <w:color w:val="auto"/>
                <w:sz w:val="24"/>
                <w:highlight w:val="none"/>
                <w:lang w:val="en-US" w:eastAsia="zh-CN"/>
              </w:rPr>
              <w:t>总</w:t>
            </w:r>
            <w:r>
              <w:rPr>
                <w:rFonts w:hint="default" w:ascii="Times New Roman" w:hAnsi="Times New Roman" w:eastAsia="宋体" w:cs="Times New Roman"/>
                <w:b w:val="0"/>
                <w:bCs w:val="0"/>
                <w:color w:val="auto"/>
                <w:sz w:val="24"/>
                <w:highlight w:val="none"/>
                <w:lang w:val="en-US" w:eastAsia="zh-CN"/>
              </w:rPr>
              <w:t>量见表</w:t>
            </w:r>
            <w:r>
              <w:rPr>
                <w:rFonts w:hint="eastAsia" w:ascii="Times New Roman" w:hAnsi="Times New Roman" w:eastAsia="宋体" w:cs="Times New Roman"/>
                <w:b w:val="0"/>
                <w:bCs w:val="0"/>
                <w:color w:val="auto"/>
                <w:sz w:val="24"/>
                <w:highlight w:val="none"/>
                <w:lang w:val="en-US" w:eastAsia="zh-CN"/>
              </w:rPr>
              <w:t>3-7</w:t>
            </w:r>
            <w:r>
              <w:rPr>
                <w:rFonts w:hint="default" w:ascii="Times New Roman" w:hAnsi="Times New Roman" w:eastAsia="宋体" w:cs="Times New Roman"/>
                <w:b w:val="0"/>
                <w:bCs w:val="0"/>
                <w:color w:val="auto"/>
                <w:sz w:val="24"/>
                <w:highlight w:val="none"/>
                <w:lang w:val="en-US" w:eastAsia="zh-CN"/>
              </w:rPr>
              <w:t>。</w:t>
            </w:r>
          </w:p>
          <w:p w14:paraId="175B8D7D">
            <w:pPr>
              <w:pStyle w:val="7"/>
              <w:snapToGrid/>
              <w:spacing w:before="0" w:after="0" w:line="240" w:lineRule="auto"/>
              <w:ind w:right="0"/>
              <w:jc w:val="center"/>
              <w:rPr>
                <w:rFonts w:hint="default" w:ascii="Times New Roman" w:hAnsi="Times New Roman" w:eastAsia="宋体" w:cs="Times New Roman"/>
                <w:b/>
                <w:bCs/>
                <w:color w:val="auto"/>
                <w:sz w:val="24"/>
                <w:szCs w:val="24"/>
                <w:highlight w:val="none"/>
                <w:lang w:val="en-US" w:eastAsia="zh-CN"/>
              </w:rPr>
            </w:pPr>
            <w:r>
              <w:rPr>
                <w:rFonts w:ascii="Times New Roman" w:hAnsi="Times New Roman" w:eastAsia="宋体" w:cs="Times New Roman"/>
                <w:b/>
                <w:bCs/>
                <w:color w:val="auto"/>
                <w:sz w:val="24"/>
                <w:szCs w:val="24"/>
                <w:highlight w:val="none"/>
              </w:rPr>
              <w:t>表3-</w:t>
            </w:r>
            <w:r>
              <w:rPr>
                <w:rFonts w:hint="eastAsia" w:ascii="Times New Roman" w:hAnsi="Times New Roman" w:eastAsia="宋体" w:cs="Times New Roman"/>
                <w:b/>
                <w:bCs/>
                <w:color w:val="auto"/>
                <w:sz w:val="24"/>
                <w:szCs w:val="24"/>
                <w:highlight w:val="none"/>
                <w:lang w:val="en-US" w:eastAsia="zh-CN"/>
              </w:rPr>
              <w:t>7本项目挥发性有机物排放量汇总</w:t>
            </w:r>
          </w:p>
          <w:tbl>
            <w:tblPr>
              <w:tblStyle w:val="1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18"/>
              <w:gridCol w:w="3654"/>
            </w:tblGrid>
            <w:tr w14:paraId="3B900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341" w:type="pct"/>
                  <w:noWrap w:val="0"/>
                  <w:vAlign w:val="center"/>
                </w:tcPr>
                <w:p w14:paraId="197249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lang w:val="en-US" w:eastAsia="zh-CN"/>
                    </w:rPr>
                  </w:pPr>
                  <w:r>
                    <w:rPr>
                      <w:rFonts w:hint="eastAsia"/>
                      <w:color w:val="auto"/>
                      <w:lang w:val="en-US" w:eastAsia="zh-CN"/>
                    </w:rPr>
                    <w:t>污染物</w:t>
                  </w:r>
                </w:p>
              </w:tc>
              <w:tc>
                <w:tcPr>
                  <w:tcW w:w="2658" w:type="pct"/>
                  <w:noWrap w:val="0"/>
                  <w:vAlign w:val="center"/>
                </w:tcPr>
                <w:p w14:paraId="7C7044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lang w:val="en-US" w:eastAsia="zh-CN"/>
                    </w:rPr>
                  </w:pPr>
                  <w:r>
                    <w:rPr>
                      <w:rFonts w:hint="eastAsia"/>
                      <w:color w:val="auto"/>
                      <w:lang w:val="en-US" w:eastAsia="zh-CN"/>
                    </w:rPr>
                    <w:t>排放量（t/a）</w:t>
                  </w:r>
                </w:p>
              </w:tc>
            </w:tr>
            <w:tr w14:paraId="4F5CD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2341" w:type="pct"/>
                  <w:noWrap w:val="0"/>
                  <w:vAlign w:val="center"/>
                </w:tcPr>
                <w:p w14:paraId="6946D5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lang w:val="en-US" w:eastAsia="zh-CN"/>
                    </w:rPr>
                  </w:pPr>
                  <w:r>
                    <w:rPr>
                      <w:rFonts w:hint="eastAsia"/>
                      <w:color w:val="auto"/>
                      <w:lang w:val="en-US" w:eastAsia="zh-CN"/>
                    </w:rPr>
                    <w:t>挥发性有机物（非甲烷总烃）</w:t>
                  </w:r>
                </w:p>
              </w:tc>
              <w:tc>
                <w:tcPr>
                  <w:tcW w:w="2658" w:type="pct"/>
                  <w:noWrap w:val="0"/>
                  <w:vAlign w:val="center"/>
                </w:tcPr>
                <w:p w14:paraId="3AAD69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lang w:val="en-US" w:eastAsia="zh-CN"/>
                    </w:rPr>
                  </w:pPr>
                  <w:r>
                    <w:rPr>
                      <w:rFonts w:hint="eastAsia"/>
                      <w:color w:val="auto"/>
                      <w:lang w:val="en-US" w:eastAsia="zh-CN"/>
                    </w:rPr>
                    <w:t>0.0007</w:t>
                  </w:r>
                </w:p>
              </w:tc>
            </w:tr>
          </w:tbl>
          <w:p w14:paraId="63171AE4">
            <w:pPr>
              <w:spacing w:line="360" w:lineRule="auto"/>
              <w:ind w:firstLine="480" w:firstLineChars="200"/>
              <w:rPr>
                <w:rFonts w:hint="default" w:ascii="Times New Roman" w:hAnsi="Times New Roman" w:eastAsia="宋体" w:cs="Times New Roman"/>
                <w:b w:val="0"/>
                <w:bCs w:val="0"/>
                <w:color w:val="auto"/>
                <w:sz w:val="24"/>
                <w:highlight w:val="none"/>
                <w:lang w:val="en-US" w:eastAsia="zh-CN"/>
              </w:rPr>
            </w:pPr>
            <w:r>
              <w:rPr>
                <w:rFonts w:hint="eastAsia" w:ascii="Times New Roman" w:hAnsi="Times New Roman" w:eastAsia="宋体" w:cs="Times New Roman"/>
                <w:b w:val="0"/>
                <w:bCs w:val="0"/>
                <w:color w:val="auto"/>
                <w:sz w:val="24"/>
                <w:highlight w:val="none"/>
                <w:lang w:val="en-US" w:eastAsia="zh-CN"/>
              </w:rPr>
              <w:t>本项目挥发性有机物（非甲烷总烃）排放总量</w:t>
            </w:r>
            <w:r>
              <w:rPr>
                <w:rFonts w:hint="eastAsia" w:cs="Times New Roman"/>
                <w:b w:val="0"/>
                <w:bCs w:val="0"/>
                <w:color w:val="auto"/>
                <w:sz w:val="24"/>
                <w:highlight w:val="none"/>
                <w:lang w:val="en-US" w:eastAsia="zh-CN"/>
              </w:rPr>
              <w:t>0.0007</w:t>
            </w:r>
            <w:r>
              <w:rPr>
                <w:rFonts w:hint="eastAsia" w:ascii="Times New Roman" w:hAnsi="Times New Roman" w:eastAsia="宋体" w:cs="Times New Roman"/>
                <w:b w:val="0"/>
                <w:bCs w:val="0"/>
                <w:color w:val="auto"/>
                <w:sz w:val="24"/>
                <w:highlight w:val="none"/>
                <w:lang w:val="en-US" w:eastAsia="zh-CN"/>
              </w:rPr>
              <w:t>t/a，依据生态环境部关于印发《生态环境部门进一步促进民营经济发展的若干措施》的通知（环综合〔2024〕62号，2024年9月14日），本项目挥发性有机物（非甲烷总烃）排放总量已在鄂尔多斯市生态环境局东胜区分局备案。</w:t>
            </w:r>
          </w:p>
          <w:p w14:paraId="0C0ED2E9">
            <w:pPr>
              <w:bidi w:val="0"/>
              <w:rPr>
                <w:rFonts w:hint="default" w:eastAsia="宋体"/>
                <w:color w:val="auto"/>
                <w:kern w:val="0"/>
                <w:highlight w:val="none"/>
                <w:lang w:val="en-US" w:eastAsia="zh-CN"/>
              </w:rPr>
            </w:pPr>
            <w:r>
              <w:rPr>
                <w:rFonts w:hint="eastAsia" w:ascii="Times New Roman" w:hAnsi="Times New Roman" w:eastAsia="宋体" w:cs="Times New Roman"/>
                <w:b w:val="0"/>
                <w:bCs w:val="0"/>
                <w:color w:val="auto"/>
                <w:sz w:val="24"/>
                <w:highlight w:val="none"/>
                <w:lang w:val="en-US" w:eastAsia="zh-CN"/>
              </w:rPr>
              <w:t>（2）本项目无废水外排，故无化学需氧量、氨氮总量外排。</w:t>
            </w:r>
          </w:p>
        </w:tc>
      </w:tr>
    </w:tbl>
    <w:p w14:paraId="46BB6720">
      <w:pPr>
        <w:pStyle w:val="12"/>
        <w:jc w:val="center"/>
        <w:outlineLvl w:val="0"/>
        <w:rPr>
          <w:rFonts w:ascii="Times New Roman" w:hAnsi="Times New Roman" w:eastAsia="黑体"/>
          <w:snapToGrid w:val="0"/>
          <w:color w:val="000000" w:themeColor="text1"/>
          <w:sz w:val="30"/>
          <w:szCs w:val="30"/>
          <w:highlight w:val="none"/>
          <w14:textFill>
            <w14:solidFill>
              <w14:schemeClr w14:val="tx1"/>
            </w14:solidFill>
          </w14:textFill>
        </w:rPr>
      </w:pPr>
      <w:r>
        <w:rPr>
          <w:rFonts w:ascii="Times New Roman" w:hAnsi="Times New Roman" w:eastAsia="黑体"/>
          <w:snapToGrid w:val="0"/>
          <w:color w:val="000000" w:themeColor="text1"/>
          <w:sz w:val="36"/>
          <w:szCs w:val="36"/>
          <w:highlight w:val="none"/>
          <w14:textFill>
            <w14:solidFill>
              <w14:schemeClr w14:val="tx1"/>
            </w14:solidFill>
          </w14:textFill>
        </w:rPr>
        <w:br w:type="page"/>
      </w:r>
      <w:r>
        <w:rPr>
          <w:rFonts w:ascii="Times New Roman" w:hAnsi="Times New Roman" w:eastAsia="黑体"/>
          <w:snapToGrid w:val="0"/>
          <w:color w:val="000000" w:themeColor="text1"/>
          <w:sz w:val="30"/>
          <w:szCs w:val="30"/>
          <w:highlight w:val="none"/>
          <w14:textFill>
            <w14:solidFill>
              <w14:schemeClr w14:val="tx1"/>
            </w14:solidFill>
          </w14:textFill>
        </w:rPr>
        <w:t>四、主要环境影响和保护措施</w:t>
      </w:r>
    </w:p>
    <w:tbl>
      <w:tblPr>
        <w:tblStyle w:val="14"/>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14:paraId="43DE54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746" w:type="dxa"/>
            <w:noWrap w:val="0"/>
            <w:tcMar>
              <w:left w:w="28" w:type="dxa"/>
              <w:right w:w="28" w:type="dxa"/>
            </w:tcMar>
            <w:vAlign w:val="center"/>
          </w:tcPr>
          <w:p w14:paraId="270CC7F9">
            <w:pPr>
              <w:pStyle w:val="12"/>
              <w:adjustRightInd w:val="0"/>
              <w:snapToGrid w:val="0"/>
              <w:spacing w:before="0" w:beforeAutospacing="0" w:after="0" w:afterAutospacing="0"/>
              <w:ind w:firstLine="0" w:firstLineChars="0"/>
              <w:jc w:val="center"/>
              <w:rPr>
                <w:rFonts w:ascii="Times New Roman" w:hAnsi="Times New Roman"/>
                <w:bCs/>
                <w:color w:val="auto"/>
                <w:kern w:val="2"/>
                <w:szCs w:val="24"/>
                <w:highlight w:val="none"/>
              </w:rPr>
            </w:pPr>
            <w:r>
              <w:rPr>
                <w:rFonts w:ascii="Times New Roman" w:hAnsi="Times New Roman"/>
                <w:color w:val="auto"/>
                <w:kern w:val="2"/>
                <w:szCs w:val="24"/>
                <w:highlight w:val="none"/>
              </w:rPr>
              <w:t>施工期环境保护措施</w:t>
            </w:r>
          </w:p>
        </w:tc>
        <w:tc>
          <w:tcPr>
            <w:tcW w:w="8162" w:type="dxa"/>
            <w:noWrap w:val="0"/>
            <w:vAlign w:val="center"/>
          </w:tcPr>
          <w:p w14:paraId="29405970">
            <w:pPr>
              <w:bidi w:val="0"/>
              <w:rPr>
                <w:rFonts w:hint="eastAsia"/>
                <w:b/>
                <w:bCs/>
                <w:color w:val="auto"/>
                <w:lang w:eastAsia="zh-CN"/>
              </w:rPr>
            </w:pPr>
            <w:r>
              <w:rPr>
                <w:rFonts w:hint="eastAsia"/>
                <w:b/>
                <w:bCs/>
                <w:color w:val="auto"/>
                <w:lang w:val="en-US" w:eastAsia="zh-CN"/>
              </w:rPr>
              <w:t>一</w:t>
            </w:r>
            <w:r>
              <w:rPr>
                <w:rFonts w:hint="eastAsia"/>
                <w:b/>
                <w:bCs/>
                <w:color w:val="auto"/>
              </w:rPr>
              <w:t>、施工期废气防治措施</w:t>
            </w:r>
          </w:p>
          <w:p w14:paraId="5B214324">
            <w:pPr>
              <w:bidi w:val="0"/>
              <w:rPr>
                <w:rFonts w:hint="eastAsia"/>
                <w:color w:val="auto"/>
                <w:lang w:eastAsia="zh-CN"/>
              </w:rPr>
            </w:pPr>
            <w:r>
              <w:rPr>
                <w:rFonts w:hint="eastAsia"/>
                <w:color w:val="auto"/>
                <w:lang w:eastAsia="zh-CN"/>
              </w:rPr>
              <w:t>项目施工期对环境空气的影响，主要是</w:t>
            </w:r>
            <w:r>
              <w:rPr>
                <w:rFonts w:hint="eastAsia"/>
                <w:color w:val="auto"/>
                <w:lang w:val="en-US" w:eastAsia="zh-CN"/>
              </w:rPr>
              <w:t>现有混凝土基础挖掘、导流槽、集液池挖掘过程、挡墙建设过程中产生的土建施工扬尘、弃土堆存中产生的扬尘及</w:t>
            </w:r>
            <w:r>
              <w:rPr>
                <w:rFonts w:hint="default"/>
                <w:color w:val="auto"/>
              </w:rPr>
              <w:t>涂刷环氧树脂地坪漆</w:t>
            </w:r>
            <w:r>
              <w:rPr>
                <w:rFonts w:hint="eastAsia"/>
                <w:color w:val="auto"/>
                <w:lang w:val="en-US" w:eastAsia="zh-CN"/>
              </w:rPr>
              <w:t>产生的挥发性有机物</w:t>
            </w:r>
            <w:r>
              <w:rPr>
                <w:rFonts w:hint="eastAsia"/>
                <w:color w:val="auto"/>
                <w:lang w:eastAsia="zh-CN"/>
              </w:rPr>
              <w:t>。</w:t>
            </w:r>
          </w:p>
          <w:p w14:paraId="43A8B834">
            <w:pPr>
              <w:bidi w:val="0"/>
              <w:rPr>
                <w:rFonts w:hint="eastAsia"/>
                <w:b/>
                <w:bCs/>
                <w:color w:val="auto"/>
                <w:lang w:eastAsia="zh-CN"/>
              </w:rPr>
            </w:pPr>
            <w:r>
              <w:rPr>
                <w:rFonts w:hint="eastAsia"/>
                <w:b/>
                <w:bCs/>
                <w:color w:val="auto"/>
                <w:lang w:val="en-US" w:eastAsia="zh-CN"/>
              </w:rPr>
              <w:t>1、土建</w:t>
            </w:r>
            <w:r>
              <w:rPr>
                <w:rFonts w:hint="eastAsia"/>
                <w:b/>
                <w:bCs/>
                <w:color w:val="auto"/>
                <w:lang w:eastAsia="zh-CN"/>
              </w:rPr>
              <w:t>施工扬尘防治措施</w:t>
            </w:r>
          </w:p>
          <w:p w14:paraId="2A0E12C1">
            <w:pPr>
              <w:bidi w:val="0"/>
              <w:rPr>
                <w:rFonts w:hint="eastAsia"/>
                <w:color w:val="auto"/>
                <w:lang w:eastAsia="zh-CN"/>
              </w:rPr>
            </w:pPr>
            <w:r>
              <w:rPr>
                <w:rFonts w:hint="eastAsia"/>
                <w:color w:val="auto"/>
                <w:lang w:val="en-US" w:eastAsia="zh-CN"/>
              </w:rPr>
              <w:t>本项目利用现有仓库改造危险废物贮存库，对现有地基进行开挖，建设导流渠、集液池，防渗层重新铺设，目前现有仓库属于全封闭库房，因此现有混凝土基础挖掘、导流槽、集液池挖掘过程、挡墙建设均在全封闭库房内进行，并在施工前和施工过程中采取洒水降尘措施，可有效减少土建</w:t>
            </w:r>
            <w:r>
              <w:rPr>
                <w:rFonts w:hint="eastAsia"/>
                <w:color w:val="auto"/>
                <w:lang w:eastAsia="zh-CN"/>
              </w:rPr>
              <w:t>施工扬尘</w:t>
            </w:r>
            <w:r>
              <w:rPr>
                <w:rFonts w:hint="eastAsia"/>
                <w:color w:val="auto"/>
                <w:lang w:val="en-US" w:eastAsia="zh-CN"/>
              </w:rPr>
              <w:t>对周围环境的影响</w:t>
            </w:r>
            <w:r>
              <w:rPr>
                <w:rFonts w:hint="eastAsia"/>
                <w:color w:val="auto"/>
                <w:lang w:eastAsia="zh-CN"/>
              </w:rPr>
              <w:t>。</w:t>
            </w:r>
          </w:p>
          <w:p w14:paraId="156EED63">
            <w:pPr>
              <w:bidi w:val="0"/>
              <w:rPr>
                <w:rFonts w:hint="default"/>
                <w:b/>
                <w:bCs/>
                <w:color w:val="auto"/>
                <w:lang w:val="en-US" w:eastAsia="zh-CN"/>
              </w:rPr>
            </w:pPr>
            <w:r>
              <w:rPr>
                <w:rFonts w:hint="eastAsia"/>
                <w:b/>
                <w:bCs/>
                <w:color w:val="auto"/>
                <w:lang w:val="en-US" w:eastAsia="zh-CN"/>
              </w:rPr>
              <w:t>2、</w:t>
            </w:r>
            <w:r>
              <w:rPr>
                <w:rFonts w:hint="eastAsia"/>
                <w:b/>
                <w:bCs/>
                <w:color w:val="auto"/>
                <w:lang w:eastAsia="zh-CN"/>
              </w:rPr>
              <w:t>弃土堆存</w:t>
            </w:r>
            <w:r>
              <w:rPr>
                <w:rFonts w:hint="eastAsia"/>
                <w:b/>
                <w:bCs/>
                <w:color w:val="auto"/>
                <w:lang w:val="en-US" w:eastAsia="zh-CN"/>
              </w:rPr>
              <w:t>扬尘</w:t>
            </w:r>
            <w:r>
              <w:rPr>
                <w:rFonts w:hint="eastAsia"/>
                <w:b/>
                <w:bCs/>
                <w:color w:val="auto"/>
                <w:lang w:eastAsia="zh-CN"/>
              </w:rPr>
              <w:t>防治措施</w:t>
            </w:r>
          </w:p>
          <w:p w14:paraId="17E63EE7">
            <w:pPr>
              <w:bidi w:val="0"/>
              <w:rPr>
                <w:rFonts w:hint="eastAsia"/>
                <w:color w:val="auto"/>
                <w:lang w:eastAsia="zh-CN"/>
              </w:rPr>
            </w:pPr>
            <w:r>
              <w:rPr>
                <w:rFonts w:hint="eastAsia"/>
                <w:color w:val="auto"/>
                <w:lang w:eastAsia="zh-CN"/>
              </w:rPr>
              <w:t>施工单位对</w:t>
            </w:r>
            <w:r>
              <w:rPr>
                <w:rFonts w:hint="eastAsia"/>
                <w:color w:val="auto"/>
                <w:lang w:val="en-US" w:eastAsia="zh-CN"/>
              </w:rPr>
              <w:t>弃土集中收集，堆放在危险废物贮存库旁固定场地，弃土需</w:t>
            </w:r>
            <w:r>
              <w:rPr>
                <w:rFonts w:hint="eastAsia"/>
                <w:color w:val="auto"/>
                <w:lang w:eastAsia="zh-CN"/>
              </w:rPr>
              <w:t>覆盖防尘布，</w:t>
            </w:r>
            <w:r>
              <w:rPr>
                <w:rFonts w:hint="eastAsia"/>
                <w:color w:val="auto"/>
                <w:lang w:val="en-US" w:eastAsia="zh-CN"/>
              </w:rPr>
              <w:t>并每日采取</w:t>
            </w:r>
            <w:r>
              <w:rPr>
                <w:rFonts w:hint="eastAsia"/>
                <w:color w:val="auto"/>
                <w:lang w:eastAsia="zh-CN"/>
              </w:rPr>
              <w:t>洒水降尘措施，防止风蚀</w:t>
            </w:r>
            <w:r>
              <w:rPr>
                <w:rFonts w:hint="eastAsia"/>
                <w:color w:val="auto"/>
                <w:lang w:val="en-US" w:eastAsia="zh-CN"/>
              </w:rPr>
              <w:t>扬</w:t>
            </w:r>
            <w:r>
              <w:rPr>
                <w:rFonts w:hint="eastAsia"/>
                <w:color w:val="auto"/>
                <w:lang w:eastAsia="zh-CN"/>
              </w:rPr>
              <w:t>尘</w:t>
            </w:r>
            <w:r>
              <w:rPr>
                <w:rFonts w:hint="eastAsia"/>
                <w:color w:val="auto"/>
                <w:lang w:val="en-US" w:eastAsia="zh-CN"/>
              </w:rPr>
              <w:t>的产生。</w:t>
            </w:r>
          </w:p>
          <w:p w14:paraId="52BF3B01">
            <w:pPr>
              <w:bidi w:val="0"/>
              <w:rPr>
                <w:rFonts w:hint="eastAsia"/>
                <w:b/>
                <w:bCs/>
                <w:color w:val="auto"/>
                <w:lang w:eastAsia="zh-CN"/>
              </w:rPr>
            </w:pPr>
            <w:r>
              <w:rPr>
                <w:rFonts w:hint="eastAsia"/>
                <w:b/>
                <w:bCs/>
                <w:color w:val="auto"/>
                <w:lang w:val="en-US" w:eastAsia="zh-CN"/>
              </w:rPr>
              <w:t>3、</w:t>
            </w:r>
            <w:r>
              <w:rPr>
                <w:rFonts w:hint="eastAsia"/>
                <w:b/>
                <w:bCs/>
                <w:color w:val="auto"/>
                <w:lang w:eastAsia="zh-CN"/>
              </w:rPr>
              <w:t>涂刷环氧树脂地坪漆废气</w:t>
            </w:r>
          </w:p>
          <w:p w14:paraId="7C39F53A">
            <w:pPr>
              <w:bidi w:val="0"/>
              <w:rPr>
                <w:rFonts w:hint="default"/>
                <w:color w:val="auto"/>
                <w:lang w:val="en-US" w:eastAsia="zh-CN"/>
              </w:rPr>
            </w:pPr>
            <w:r>
              <w:rPr>
                <w:rFonts w:hint="eastAsia"/>
                <w:color w:val="auto"/>
                <w:lang w:eastAsia="zh-CN"/>
              </w:rPr>
              <w:t>涂刷环氧树脂地坪漆</w:t>
            </w:r>
            <w:r>
              <w:rPr>
                <w:rFonts w:hint="eastAsia"/>
                <w:color w:val="auto"/>
                <w:lang w:val="en-US" w:eastAsia="zh-CN"/>
              </w:rPr>
              <w:t>在全封闭库房内进行，涂刷时和涂刷后加强通风，缩短施工周期的措施，可有效减少挥发性有机物对周围环境的影响。</w:t>
            </w:r>
          </w:p>
          <w:p w14:paraId="6B595097">
            <w:pPr>
              <w:bidi w:val="0"/>
              <w:rPr>
                <w:rFonts w:hint="eastAsia"/>
                <w:b/>
                <w:bCs/>
                <w:color w:val="auto"/>
                <w:lang w:eastAsia="zh-CN"/>
              </w:rPr>
            </w:pPr>
            <w:r>
              <w:rPr>
                <w:rFonts w:hint="eastAsia"/>
                <w:b/>
                <w:bCs/>
                <w:color w:val="auto"/>
                <w:lang w:val="en-US" w:eastAsia="zh-CN"/>
              </w:rPr>
              <w:t>4、</w:t>
            </w:r>
            <w:r>
              <w:rPr>
                <w:rFonts w:hint="eastAsia"/>
                <w:b/>
                <w:bCs/>
                <w:color w:val="auto"/>
                <w:lang w:eastAsia="zh-CN"/>
              </w:rPr>
              <w:t>运输车辆尾气</w:t>
            </w:r>
          </w:p>
          <w:p w14:paraId="7B02678A">
            <w:pPr>
              <w:bidi w:val="0"/>
              <w:rPr>
                <w:rFonts w:hint="eastAsia"/>
                <w:color w:val="auto"/>
                <w:lang w:eastAsia="zh-CN"/>
              </w:rPr>
            </w:pPr>
            <w:r>
              <w:rPr>
                <w:rFonts w:hint="eastAsia"/>
                <w:color w:val="auto"/>
                <w:lang w:val="en-US" w:eastAsia="zh-CN"/>
              </w:rPr>
              <w:t>运输车辆要求运输方采用性能良好的车辆，并在到达目标地点后熄火，减少运输车辆尾气对周围环境的影响。</w:t>
            </w:r>
          </w:p>
          <w:p w14:paraId="4B3B8488">
            <w:pPr>
              <w:bidi w:val="0"/>
              <w:rPr>
                <w:rFonts w:hint="default"/>
                <w:b/>
                <w:bCs/>
                <w:color w:val="auto"/>
                <w:lang w:val="en-US" w:eastAsia="zh-CN"/>
              </w:rPr>
            </w:pPr>
            <w:r>
              <w:rPr>
                <w:rFonts w:hint="eastAsia"/>
                <w:b/>
                <w:bCs/>
                <w:color w:val="auto"/>
                <w:lang w:val="en-US" w:eastAsia="zh-CN"/>
              </w:rPr>
              <w:t>5、施工废气管理措施</w:t>
            </w:r>
          </w:p>
          <w:p w14:paraId="73F3B4AC">
            <w:pPr>
              <w:bidi w:val="0"/>
              <w:rPr>
                <w:rFonts w:hint="eastAsia"/>
                <w:color w:val="auto"/>
                <w:lang w:eastAsia="zh-CN"/>
              </w:rPr>
            </w:pPr>
            <w:r>
              <w:rPr>
                <w:rFonts w:hint="eastAsia"/>
                <w:color w:val="auto"/>
                <w:lang w:val="en-US" w:eastAsia="zh-CN"/>
              </w:rPr>
              <w:t>①</w:t>
            </w:r>
            <w:r>
              <w:rPr>
                <w:rFonts w:hint="eastAsia"/>
                <w:color w:val="auto"/>
                <w:lang w:eastAsia="zh-CN"/>
              </w:rPr>
              <w:t>强化施工期环境监督管理，提高全员环保意识宣传和教育，制定合理施工计划，缩短工期，采取集中力量逐项施工方法，坚决杜绝粗放式施工现象发生。</w:t>
            </w:r>
          </w:p>
          <w:p w14:paraId="2DE8295C">
            <w:pPr>
              <w:bidi w:val="0"/>
              <w:rPr>
                <w:rFonts w:hint="eastAsia"/>
                <w:color w:val="auto"/>
                <w:lang w:val="en-US" w:eastAsia="zh-CN"/>
              </w:rPr>
            </w:pPr>
            <w:r>
              <w:rPr>
                <w:rFonts w:hint="eastAsia"/>
                <w:color w:val="auto"/>
                <w:lang w:val="en-US" w:eastAsia="zh-CN"/>
              </w:rPr>
              <w:t>②</w:t>
            </w:r>
            <w:r>
              <w:rPr>
                <w:rFonts w:hint="eastAsia"/>
                <w:color w:val="auto"/>
                <w:lang w:eastAsia="zh-CN"/>
              </w:rPr>
              <w:t>运输车辆采用密闭化措施。运输单位和个人应当加强对车辆机械密闭装置的维护，确保设备正常使用，运输途中的物料不得沿途泄漏、散落或者飞扬，并按照指定的时间、区域和路线行驶。</w:t>
            </w:r>
          </w:p>
          <w:p w14:paraId="565E1675">
            <w:pPr>
              <w:bidi w:val="0"/>
              <w:rPr>
                <w:rFonts w:hint="default"/>
                <w:color w:val="auto"/>
                <w:lang w:val="en-US" w:eastAsia="zh-CN"/>
              </w:rPr>
            </w:pPr>
            <w:r>
              <w:rPr>
                <w:rFonts w:hint="eastAsia"/>
                <w:color w:val="auto"/>
                <w:lang w:val="en-US" w:eastAsia="zh-CN"/>
              </w:rPr>
              <w:t>本项目预计施工周期一个月，项目施工期较短，在上述措施有效落实的情况下，项目施工期废气对周围环境空气的影响可接受。</w:t>
            </w:r>
          </w:p>
          <w:p w14:paraId="6D9D6DE4">
            <w:pPr>
              <w:bidi w:val="0"/>
              <w:rPr>
                <w:rFonts w:hint="eastAsia"/>
                <w:b/>
                <w:bCs/>
                <w:color w:val="auto"/>
                <w:lang w:val="en-US" w:eastAsia="zh-CN"/>
              </w:rPr>
            </w:pPr>
            <w:r>
              <w:rPr>
                <w:rFonts w:hint="eastAsia"/>
                <w:b/>
                <w:bCs/>
                <w:color w:val="auto"/>
                <w:lang w:val="en-US" w:eastAsia="zh-CN"/>
              </w:rPr>
              <w:t>二、施工期废水防治措施</w:t>
            </w:r>
          </w:p>
          <w:p w14:paraId="22DCC001">
            <w:pPr>
              <w:bidi w:val="0"/>
              <w:rPr>
                <w:rFonts w:hint="eastAsia"/>
                <w:color w:val="auto"/>
                <w:lang w:val="en-US" w:eastAsia="zh-CN"/>
              </w:rPr>
            </w:pPr>
            <w:r>
              <w:rPr>
                <w:rFonts w:hint="eastAsia"/>
                <w:color w:val="auto"/>
                <w:lang w:val="en-US" w:eastAsia="zh-CN"/>
              </w:rPr>
              <w:t>本项目施工期废水主要为生产废水及生活污水。</w:t>
            </w:r>
          </w:p>
          <w:p w14:paraId="377919DA">
            <w:pPr>
              <w:bidi w:val="0"/>
              <w:rPr>
                <w:rFonts w:hint="eastAsia"/>
                <w:color w:val="auto"/>
                <w:lang w:val="en-US" w:eastAsia="zh-CN"/>
              </w:rPr>
            </w:pPr>
            <w:r>
              <w:rPr>
                <w:rFonts w:hint="eastAsia"/>
                <w:color w:val="auto"/>
                <w:lang w:val="en-US" w:eastAsia="zh-CN"/>
              </w:rPr>
              <w:t>施工期生产废水：施工期间的生产废水主要来自砂石、灰浆等施工设备冲洗废水，及施工场地洒水降尘用水。施工场地设置简单平流式自然沉淀池，施工期生产废水由临时沉淀池收集后回用于场地洒水降尘，不外排。洒水抑尘用水自然蒸发。施工人员生活污水</w:t>
            </w:r>
            <w:r>
              <w:rPr>
                <w:rFonts w:hint="eastAsia"/>
                <w:color w:val="auto"/>
                <w:lang w:eastAsia="zh-CN"/>
              </w:rPr>
              <w:t>中的主要污染因子为COD、BOD</w:t>
            </w:r>
            <w:r>
              <w:rPr>
                <w:rFonts w:hint="eastAsia"/>
                <w:color w:val="auto"/>
                <w:vertAlign w:val="subscript"/>
                <w:lang w:val="en-US" w:eastAsia="zh-CN"/>
              </w:rPr>
              <w:t>5</w:t>
            </w:r>
            <w:r>
              <w:rPr>
                <w:rFonts w:hint="eastAsia"/>
                <w:color w:val="auto"/>
                <w:lang w:eastAsia="zh-CN"/>
              </w:rPr>
              <w:t>、SS等，</w:t>
            </w:r>
            <w:r>
              <w:rPr>
                <w:rFonts w:hint="eastAsia"/>
                <w:color w:val="auto"/>
                <w:lang w:val="en-US" w:eastAsia="zh-CN"/>
              </w:rPr>
              <w:t>施工期生活污水依托厂区现有化粪池沉淀处理后，最终排入市政污水管网。综上所述，只要施工单位加强环境管理，做好施工废水处理及排放措施，施工期对周围地表水环境影响可控制在一定范围之内。</w:t>
            </w:r>
          </w:p>
          <w:p w14:paraId="10A4C92C">
            <w:pPr>
              <w:bidi w:val="0"/>
              <w:rPr>
                <w:rFonts w:hint="eastAsia"/>
                <w:b/>
                <w:bCs/>
                <w:color w:val="auto"/>
                <w:lang w:val="en-US" w:eastAsia="zh-CN"/>
              </w:rPr>
            </w:pPr>
            <w:r>
              <w:rPr>
                <w:rFonts w:hint="eastAsia"/>
                <w:b/>
                <w:bCs/>
                <w:color w:val="auto"/>
                <w:lang w:val="en-US" w:eastAsia="zh-CN"/>
              </w:rPr>
              <w:t>三、施工期噪声防治措施</w:t>
            </w:r>
          </w:p>
          <w:p w14:paraId="66BD4C5A">
            <w:pPr>
              <w:bidi w:val="0"/>
              <w:rPr>
                <w:rFonts w:hint="eastAsia"/>
                <w:color w:val="auto"/>
                <w:lang w:val="en-US" w:eastAsia="zh-CN"/>
              </w:rPr>
            </w:pPr>
            <w:r>
              <w:rPr>
                <w:rFonts w:hint="eastAsia"/>
                <w:color w:val="auto"/>
                <w:lang w:val="en-US" w:eastAsia="zh-CN"/>
              </w:rPr>
              <w:t>为减少施工噪声影响，项目可采取以下防护措施：</w:t>
            </w:r>
          </w:p>
          <w:p w14:paraId="0A2D921C">
            <w:pPr>
              <w:bidi w:val="0"/>
              <w:rPr>
                <w:rFonts w:hint="eastAsia"/>
                <w:color w:val="auto"/>
                <w:lang w:val="en-US" w:eastAsia="zh-CN"/>
              </w:rPr>
            </w:pPr>
            <w:r>
              <w:rPr>
                <w:rFonts w:hint="eastAsia"/>
                <w:color w:val="auto"/>
                <w:lang w:val="en-US" w:eastAsia="zh-CN"/>
              </w:rPr>
              <w:t>1、施工期禁止夜间施工，施工单位加强施工期的管理；</w:t>
            </w:r>
          </w:p>
          <w:p w14:paraId="5849255F">
            <w:pPr>
              <w:bidi w:val="0"/>
              <w:rPr>
                <w:rFonts w:hint="eastAsia"/>
                <w:color w:val="auto"/>
                <w:lang w:val="en-US" w:eastAsia="zh-CN"/>
              </w:rPr>
            </w:pPr>
            <w:r>
              <w:rPr>
                <w:rFonts w:hint="eastAsia"/>
                <w:color w:val="auto"/>
                <w:lang w:val="en-US" w:eastAsia="zh-CN"/>
              </w:rPr>
              <w:t>2、避免在同一地点安排大量动力机械设备，以避免局部声级过高；</w:t>
            </w:r>
          </w:p>
          <w:p w14:paraId="28A3871C">
            <w:pPr>
              <w:bidi w:val="0"/>
              <w:rPr>
                <w:rFonts w:hint="eastAsia"/>
                <w:color w:val="auto"/>
                <w:lang w:val="en-US" w:eastAsia="zh-CN"/>
              </w:rPr>
            </w:pPr>
            <w:r>
              <w:rPr>
                <w:rFonts w:hint="eastAsia"/>
                <w:color w:val="auto"/>
                <w:lang w:val="en-US" w:eastAsia="zh-CN"/>
              </w:rPr>
              <w:t>3、施工设备选型上尽量采用低噪声设备；</w:t>
            </w:r>
          </w:p>
          <w:p w14:paraId="33D15B6A">
            <w:pPr>
              <w:bidi w:val="0"/>
              <w:rPr>
                <w:rFonts w:hint="eastAsia"/>
                <w:color w:val="auto"/>
                <w:lang w:val="en-US" w:eastAsia="zh-CN"/>
              </w:rPr>
            </w:pPr>
            <w:r>
              <w:rPr>
                <w:rFonts w:hint="eastAsia"/>
                <w:color w:val="auto"/>
                <w:lang w:val="en-US" w:eastAsia="zh-CN"/>
              </w:rPr>
              <w:t>4、对动力机械设备进行定期维修、养护，避免设备因部件松动引起的振动或消声器的损坏而增大噪声；</w:t>
            </w:r>
          </w:p>
          <w:p w14:paraId="553C471E">
            <w:pPr>
              <w:bidi w:val="0"/>
              <w:rPr>
                <w:rFonts w:hint="eastAsia"/>
                <w:color w:val="auto"/>
                <w:lang w:val="en-US" w:eastAsia="zh-CN"/>
              </w:rPr>
            </w:pPr>
            <w:r>
              <w:rPr>
                <w:rFonts w:hint="eastAsia"/>
                <w:color w:val="auto"/>
                <w:lang w:val="en-US" w:eastAsia="zh-CN"/>
              </w:rPr>
              <w:t>5、运输车辆要求运输方采用性能良好的车辆，并在到达目标地点后熄火，减少车辆产生的噪声对周围环境的影响；</w:t>
            </w:r>
          </w:p>
          <w:p w14:paraId="6E19D9B7">
            <w:pPr>
              <w:bidi w:val="0"/>
              <w:rPr>
                <w:rFonts w:hint="default"/>
                <w:color w:val="auto"/>
                <w:lang w:val="en-US" w:eastAsia="zh-CN"/>
              </w:rPr>
            </w:pPr>
            <w:r>
              <w:rPr>
                <w:rFonts w:hint="eastAsia"/>
                <w:color w:val="auto"/>
                <w:lang w:val="en-US" w:eastAsia="zh-CN"/>
              </w:rPr>
              <w:t>6、施工过程均在全封闭仓库内进行，库房隔声。</w:t>
            </w:r>
          </w:p>
          <w:p w14:paraId="6C75C982">
            <w:pPr>
              <w:bidi w:val="0"/>
              <w:rPr>
                <w:rFonts w:hint="eastAsia"/>
                <w:color w:val="auto"/>
                <w:lang w:val="en-US" w:eastAsia="zh-CN"/>
              </w:rPr>
            </w:pPr>
            <w:r>
              <w:rPr>
                <w:rFonts w:hint="eastAsia"/>
                <w:color w:val="auto"/>
                <w:lang w:val="en-US" w:eastAsia="zh-CN"/>
              </w:rPr>
              <w:t>本项目在采取上述措施后，由于周围无声环境保护目标，因此施工期噪声对周围声环境的影响可接受。</w:t>
            </w:r>
          </w:p>
          <w:p w14:paraId="57A54D86">
            <w:pPr>
              <w:bidi w:val="0"/>
              <w:rPr>
                <w:rFonts w:hint="eastAsia"/>
                <w:b/>
                <w:bCs/>
                <w:color w:val="auto"/>
                <w:lang w:val="en-US" w:eastAsia="zh-CN"/>
              </w:rPr>
            </w:pPr>
            <w:r>
              <w:rPr>
                <w:rFonts w:hint="eastAsia"/>
                <w:b/>
                <w:bCs/>
                <w:color w:val="auto"/>
                <w:lang w:val="en-US" w:eastAsia="zh-CN"/>
              </w:rPr>
              <w:t>四、施工期固体废物防治措施</w:t>
            </w:r>
          </w:p>
          <w:p w14:paraId="6EC2E728">
            <w:pPr>
              <w:bidi w:val="0"/>
              <w:rPr>
                <w:rFonts w:hint="eastAsia"/>
                <w:color w:val="auto"/>
                <w:lang w:val="en-US" w:eastAsia="zh-CN"/>
              </w:rPr>
            </w:pPr>
            <w:r>
              <w:rPr>
                <w:rFonts w:hint="eastAsia"/>
                <w:color w:val="auto"/>
                <w:lang w:val="en-US" w:eastAsia="zh-CN"/>
              </w:rPr>
              <w:t>本项目施工期主要为弃土、废漆、废漆桶、建筑垃圾和施工生活垃圾。</w:t>
            </w:r>
          </w:p>
          <w:p w14:paraId="2C4E617E">
            <w:pPr>
              <w:bidi w:val="0"/>
              <w:rPr>
                <w:color w:val="auto"/>
              </w:rPr>
            </w:pPr>
            <w:r>
              <w:rPr>
                <w:rFonts w:hint="eastAsia"/>
                <w:color w:val="auto"/>
                <w:lang w:val="en-US" w:eastAsia="zh-CN"/>
              </w:rPr>
              <w:t>1、弃土</w:t>
            </w:r>
          </w:p>
          <w:p w14:paraId="61E324AF">
            <w:pPr>
              <w:bidi w:val="0"/>
              <w:rPr>
                <w:rFonts w:hint="default"/>
                <w:color w:val="auto"/>
                <w:lang w:val="en-US"/>
              </w:rPr>
            </w:pPr>
            <w:r>
              <w:rPr>
                <w:rFonts w:hint="eastAsia"/>
                <w:color w:val="auto"/>
                <w:lang w:val="en-US" w:eastAsia="zh-CN"/>
              </w:rPr>
              <w:t>本项目在现有混凝土基础挖掘、导流槽、集液池挖掘过程中会产生一定量的弃土，集中收集后堆放在危险废物贮存库旁固定场地，施工完成后送往当地政府部门指定的弃土场，不得随意丢弃。</w:t>
            </w:r>
          </w:p>
          <w:p w14:paraId="08048441">
            <w:pPr>
              <w:bidi w:val="0"/>
              <w:rPr>
                <w:rFonts w:hint="default"/>
                <w:color w:val="auto"/>
                <w:lang w:val="en-US" w:eastAsia="zh-CN"/>
              </w:rPr>
            </w:pPr>
            <w:r>
              <w:rPr>
                <w:rFonts w:hint="eastAsia"/>
                <w:color w:val="auto"/>
                <w:lang w:val="en-US" w:eastAsia="zh-CN"/>
              </w:rPr>
              <w:t>2、废漆、废漆桶</w:t>
            </w:r>
          </w:p>
          <w:p w14:paraId="34E19897">
            <w:pPr>
              <w:bidi w:val="0"/>
              <w:rPr>
                <w:rFonts w:hint="default"/>
                <w:color w:val="auto"/>
                <w:lang w:val="en-US" w:eastAsia="zh-CN"/>
              </w:rPr>
            </w:pPr>
            <w:r>
              <w:rPr>
                <w:rFonts w:hint="eastAsia"/>
                <w:color w:val="auto"/>
                <w:lang w:val="en-US" w:eastAsia="zh-CN"/>
              </w:rPr>
              <w:t>本次评价要求建设单位在选材时选用水性环氧树脂地坪漆，根据《国家危险废物名录》（2025年版），此类废物不属于危险废物，为一般工业固体废物，集中收集后送往当地政府部门指定地点。</w:t>
            </w:r>
          </w:p>
          <w:p w14:paraId="36396A28">
            <w:pPr>
              <w:bidi w:val="0"/>
              <w:rPr>
                <w:rFonts w:hint="eastAsia"/>
                <w:color w:val="auto"/>
                <w:lang w:val="en-US" w:eastAsia="zh-CN"/>
              </w:rPr>
            </w:pPr>
            <w:r>
              <w:rPr>
                <w:rFonts w:hint="eastAsia"/>
                <w:color w:val="auto"/>
                <w:lang w:val="en-US" w:eastAsia="zh-CN"/>
              </w:rPr>
              <w:t>3、建筑垃圾</w:t>
            </w:r>
          </w:p>
          <w:p w14:paraId="2B49CA5B">
            <w:pPr>
              <w:bidi w:val="0"/>
              <w:rPr>
                <w:rFonts w:hint="eastAsia"/>
                <w:color w:val="auto"/>
                <w:lang w:val="en-US" w:eastAsia="zh-CN"/>
              </w:rPr>
            </w:pPr>
            <w:r>
              <w:rPr>
                <w:rFonts w:hint="eastAsia"/>
                <w:color w:val="auto"/>
                <w:lang w:val="en-US" w:eastAsia="zh-CN"/>
              </w:rPr>
              <w:t>项目施工期工程建设过程产生的施工废料，如废钢板等，产生量较小，建设单位应要求施工单位规范运输，不要随意倾倒建筑垃圾，能重新利用的分类收集后作为再生砖、再生骨料资源使用，其余部分运到当地建设部门指定的地点，减少对周围环境的影响。</w:t>
            </w:r>
          </w:p>
          <w:p w14:paraId="5375B93C">
            <w:pPr>
              <w:bidi w:val="0"/>
              <w:rPr>
                <w:rFonts w:hint="eastAsia"/>
                <w:color w:val="auto"/>
                <w:lang w:val="en-US" w:eastAsia="zh-CN"/>
              </w:rPr>
            </w:pPr>
            <w:r>
              <w:rPr>
                <w:rFonts w:hint="eastAsia"/>
                <w:color w:val="auto"/>
                <w:lang w:val="en-US" w:eastAsia="zh-CN"/>
              </w:rPr>
              <w:t>4、生活垃圾</w:t>
            </w:r>
          </w:p>
          <w:p w14:paraId="25D5E0AB">
            <w:pPr>
              <w:bidi w:val="0"/>
              <w:rPr>
                <w:color w:val="auto"/>
              </w:rPr>
            </w:pPr>
            <w:r>
              <w:rPr>
                <w:rFonts w:hint="eastAsia"/>
                <w:color w:val="auto"/>
                <w:lang w:val="en-US" w:eastAsia="zh-CN"/>
              </w:rPr>
              <w:t>项目施工作业高峰期人数达到5人，施工期为1个月，生活垃圾量以0.5kg/d•人计，则施工期间生活垃圾总量约0.075t。施工单位采取集中收集至垃圾桶内，由当地环卫部门统一处理。</w:t>
            </w:r>
          </w:p>
        </w:tc>
      </w:tr>
      <w:tr w14:paraId="78B0D0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6" w:type="dxa"/>
            <w:noWrap w:val="0"/>
            <w:tcMar>
              <w:left w:w="28" w:type="dxa"/>
              <w:right w:w="28" w:type="dxa"/>
            </w:tcMar>
            <w:vAlign w:val="center"/>
          </w:tcPr>
          <w:p w14:paraId="04D334A2">
            <w:pPr>
              <w:adjustRightInd w:val="0"/>
              <w:snapToGrid w:val="0"/>
              <w:ind w:firstLine="0" w:firstLineChars="0"/>
              <w:jc w:val="center"/>
              <w:rPr>
                <w:bCs/>
                <w:color w:val="auto"/>
                <w:highlight w:val="none"/>
              </w:rPr>
            </w:pPr>
            <w:r>
              <w:rPr>
                <w:bCs/>
                <w:color w:val="auto"/>
                <w:highlight w:val="none"/>
              </w:rPr>
              <w:t>运营</w:t>
            </w:r>
          </w:p>
          <w:p w14:paraId="3BA1751F">
            <w:pPr>
              <w:adjustRightInd w:val="0"/>
              <w:snapToGrid w:val="0"/>
              <w:ind w:firstLine="0" w:firstLineChars="0"/>
              <w:jc w:val="center"/>
              <w:rPr>
                <w:bCs/>
                <w:color w:val="auto"/>
                <w:highlight w:val="none"/>
              </w:rPr>
            </w:pPr>
            <w:r>
              <w:rPr>
                <w:bCs/>
                <w:color w:val="auto"/>
                <w:highlight w:val="none"/>
              </w:rPr>
              <w:t>期环</w:t>
            </w:r>
          </w:p>
          <w:p w14:paraId="027805F3">
            <w:pPr>
              <w:adjustRightInd w:val="0"/>
              <w:snapToGrid w:val="0"/>
              <w:ind w:firstLine="0" w:firstLineChars="0"/>
              <w:jc w:val="center"/>
              <w:rPr>
                <w:bCs/>
                <w:color w:val="auto"/>
                <w:highlight w:val="none"/>
              </w:rPr>
            </w:pPr>
            <w:r>
              <w:rPr>
                <w:bCs/>
                <w:color w:val="auto"/>
                <w:highlight w:val="none"/>
              </w:rPr>
              <w:t>境影</w:t>
            </w:r>
          </w:p>
          <w:p w14:paraId="329DCE10">
            <w:pPr>
              <w:adjustRightInd w:val="0"/>
              <w:snapToGrid w:val="0"/>
              <w:ind w:firstLine="0" w:firstLineChars="0"/>
              <w:jc w:val="center"/>
              <w:rPr>
                <w:bCs/>
                <w:color w:val="auto"/>
                <w:highlight w:val="none"/>
              </w:rPr>
            </w:pPr>
            <w:r>
              <w:rPr>
                <w:bCs/>
                <w:color w:val="auto"/>
                <w:highlight w:val="none"/>
              </w:rPr>
              <w:t>响和</w:t>
            </w:r>
          </w:p>
          <w:p w14:paraId="3B7D11D8">
            <w:pPr>
              <w:adjustRightInd w:val="0"/>
              <w:snapToGrid w:val="0"/>
              <w:ind w:firstLine="0" w:firstLineChars="0"/>
              <w:jc w:val="center"/>
              <w:rPr>
                <w:bCs/>
                <w:color w:val="auto"/>
                <w:highlight w:val="none"/>
              </w:rPr>
            </w:pPr>
            <w:r>
              <w:rPr>
                <w:bCs/>
                <w:color w:val="auto"/>
                <w:highlight w:val="none"/>
              </w:rPr>
              <w:t>保护</w:t>
            </w:r>
          </w:p>
          <w:p w14:paraId="25EE2401">
            <w:pPr>
              <w:adjustRightInd w:val="0"/>
              <w:snapToGrid w:val="0"/>
              <w:ind w:firstLine="0" w:firstLineChars="0"/>
              <w:jc w:val="center"/>
              <w:rPr>
                <w:bCs/>
                <w:color w:val="auto"/>
                <w:highlight w:val="none"/>
              </w:rPr>
            </w:pPr>
            <w:r>
              <w:rPr>
                <w:bCs/>
                <w:color w:val="auto"/>
                <w:highlight w:val="none"/>
              </w:rPr>
              <w:t>措施</w:t>
            </w:r>
          </w:p>
        </w:tc>
        <w:tc>
          <w:tcPr>
            <w:tcW w:w="8162" w:type="dxa"/>
            <w:noWrap w:val="0"/>
            <w:vAlign w:val="center"/>
          </w:tcPr>
          <w:p w14:paraId="3BE4D614">
            <w:pPr>
              <w:ind w:firstLine="482"/>
              <w:rPr>
                <w:rFonts w:hint="eastAsia"/>
                <w:b/>
                <w:bCs/>
                <w:color w:val="auto"/>
                <w:kern w:val="0"/>
                <w:highlight w:val="none"/>
              </w:rPr>
            </w:pPr>
            <w:r>
              <w:rPr>
                <w:b/>
                <w:bCs/>
                <w:color w:val="auto"/>
                <w:highlight w:val="none"/>
              </w:rPr>
              <w:t>1、废气</w:t>
            </w:r>
          </w:p>
          <w:p w14:paraId="30F9D58D">
            <w:pPr>
              <w:ind w:firstLine="482"/>
              <w:rPr>
                <w:rFonts w:hint="eastAsia"/>
                <w:b/>
                <w:bCs/>
                <w:color w:val="auto"/>
                <w:highlight w:val="none"/>
              </w:rPr>
            </w:pPr>
            <w:r>
              <w:rPr>
                <w:rFonts w:hint="eastAsia"/>
                <w:b/>
                <w:bCs/>
                <w:color w:val="auto"/>
                <w:highlight w:val="none"/>
              </w:rPr>
              <w:t>（1）大气环境影响分析</w:t>
            </w:r>
          </w:p>
          <w:p w14:paraId="5BB5BA3A">
            <w:pPr>
              <w:ind w:firstLine="480"/>
              <w:rPr>
                <w:rFonts w:hint="eastAsia"/>
                <w:color w:val="auto"/>
                <w:highlight w:val="none"/>
              </w:rPr>
            </w:pPr>
            <w:r>
              <w:rPr>
                <w:rFonts w:hint="eastAsia"/>
                <w:color w:val="auto"/>
                <w:highlight w:val="none"/>
              </w:rPr>
              <w:t>危险废物贮存库对</w:t>
            </w:r>
            <w:r>
              <w:rPr>
                <w:rFonts w:hint="eastAsia"/>
                <w:color w:val="auto"/>
                <w:highlight w:val="none"/>
                <w:lang w:eastAsia="zh-CN"/>
              </w:rPr>
              <w:t>废润滑油、</w:t>
            </w:r>
            <w:r>
              <w:rPr>
                <w:rFonts w:hint="eastAsia"/>
                <w:color w:val="auto"/>
                <w:highlight w:val="none"/>
              </w:rPr>
              <w:t>废油桶</w:t>
            </w:r>
            <w:r>
              <w:rPr>
                <w:rFonts w:hint="eastAsia"/>
                <w:bCs/>
                <w:color w:val="auto"/>
                <w:highlight w:val="none"/>
              </w:rPr>
              <w:t>进行暂存</w:t>
            </w:r>
            <w:r>
              <w:rPr>
                <w:rFonts w:hint="eastAsia"/>
                <w:color w:val="auto"/>
                <w:highlight w:val="none"/>
              </w:rPr>
              <w:t>，不对油品进行加工，暂存的</w:t>
            </w:r>
            <w:r>
              <w:rPr>
                <w:rFonts w:hint="eastAsia"/>
                <w:color w:val="auto"/>
                <w:highlight w:val="none"/>
                <w:lang w:eastAsia="zh-CN"/>
              </w:rPr>
              <w:t>废润滑油</w:t>
            </w:r>
            <w:r>
              <w:rPr>
                <w:rFonts w:hint="eastAsia"/>
                <w:color w:val="auto"/>
                <w:highlight w:val="none"/>
              </w:rPr>
              <w:t>不属于轻质油等高挥发性油品，但仍有少量的挥发性。</w:t>
            </w:r>
          </w:p>
          <w:p w14:paraId="41704299">
            <w:pPr>
              <w:ind w:firstLine="480"/>
              <w:rPr>
                <w:color w:val="auto"/>
                <w:highlight w:val="none"/>
              </w:rPr>
            </w:pPr>
            <w:r>
              <w:rPr>
                <w:rFonts w:hint="eastAsia"/>
                <w:color w:val="auto"/>
                <w:highlight w:val="none"/>
              </w:rPr>
              <w:t>目前暂无专门针对危险废物</w:t>
            </w:r>
            <w:r>
              <w:rPr>
                <w:rFonts w:hint="eastAsia"/>
                <w:color w:val="auto"/>
                <w:highlight w:val="none"/>
                <w:lang w:eastAsia="zh-CN"/>
              </w:rPr>
              <w:t>贮存库</w:t>
            </w:r>
            <w:r>
              <w:rPr>
                <w:rFonts w:hint="eastAsia"/>
                <w:color w:val="auto"/>
                <w:highlight w:val="none"/>
              </w:rPr>
              <w:t>发布的污染源源强核算技术指南或污染物普查核算规范，根据《散装液态石油产品损耗》（GB11085-1989），本项目内蒙古自治区属于C类，除汽油外其他油品在贮存转运过程中的损耗率为0.01%，建设地点海拔为1300m左右，按照1001～2000m增加损耗21%，最终损耗率为0.0121%。</w:t>
            </w:r>
          </w:p>
          <w:p w14:paraId="768E66B9">
            <w:pPr>
              <w:ind w:firstLine="480"/>
              <w:rPr>
                <w:rFonts w:hint="eastAsia" w:ascii="宋体" w:hAnsi="宋体" w:cs="宋体"/>
                <w:color w:val="auto"/>
                <w:highlight w:val="none"/>
              </w:rPr>
            </w:pPr>
            <w:bookmarkStart w:id="4" w:name="_Hlk85295743"/>
            <w:r>
              <w:rPr>
                <w:rFonts w:hint="eastAsia" w:ascii="宋体" w:hAnsi="宋体" w:cs="宋体"/>
                <w:color w:val="auto"/>
                <w:highlight w:val="none"/>
              </w:rPr>
              <w:t>本项目贮存的</w:t>
            </w:r>
            <w:r>
              <w:rPr>
                <w:rFonts w:hint="eastAsia"/>
                <w:bCs/>
                <w:color w:val="auto"/>
                <w:highlight w:val="none"/>
                <w:lang w:val="en-US" w:eastAsia="zh-CN"/>
              </w:rPr>
              <w:t>危险废物</w:t>
            </w:r>
            <w:r>
              <w:rPr>
                <w:rFonts w:hint="eastAsia" w:ascii="宋体" w:hAnsi="宋体" w:cs="宋体"/>
                <w:color w:val="auto"/>
                <w:highlight w:val="none"/>
              </w:rPr>
              <w:t>年</w:t>
            </w:r>
            <w:r>
              <w:rPr>
                <w:rFonts w:hint="eastAsia" w:ascii="宋体" w:hAnsi="宋体" w:cs="宋体"/>
                <w:color w:val="auto"/>
                <w:highlight w:val="none"/>
                <w:lang w:val="en-US" w:eastAsia="zh-CN"/>
              </w:rPr>
              <w:t>产生量为6.05</w:t>
            </w:r>
            <w:r>
              <w:rPr>
                <w:rFonts w:hint="eastAsia" w:ascii="宋体" w:hAnsi="宋体" w:cs="宋体"/>
                <w:color w:val="auto"/>
                <w:highlight w:val="none"/>
              </w:rPr>
              <w:t>t，由损耗率可计算出，非甲烷总烃排放量为</w:t>
            </w:r>
            <w:r>
              <w:rPr>
                <w:rFonts w:hint="eastAsia" w:ascii="宋体" w:hAnsi="宋体" w:cs="宋体"/>
                <w:color w:val="auto"/>
                <w:highlight w:val="none"/>
                <w:lang w:eastAsia="zh-CN"/>
              </w:rPr>
              <w:t>0.0007</w:t>
            </w:r>
            <w:r>
              <w:rPr>
                <w:rFonts w:hint="eastAsia" w:ascii="宋体" w:hAnsi="宋体" w:cs="宋体"/>
                <w:color w:val="auto"/>
                <w:highlight w:val="none"/>
                <w:lang w:val="en-US" w:eastAsia="zh-CN"/>
              </w:rPr>
              <w:t>t</w:t>
            </w:r>
            <w:r>
              <w:rPr>
                <w:rFonts w:hint="eastAsia" w:ascii="宋体" w:hAnsi="宋体" w:cs="宋体"/>
                <w:color w:val="auto"/>
                <w:highlight w:val="none"/>
              </w:rPr>
              <w:t>/a，产生量很小，通过加强危险废物</w:t>
            </w:r>
            <w:r>
              <w:rPr>
                <w:rFonts w:hint="eastAsia" w:ascii="宋体" w:hAnsi="宋体" w:cs="宋体"/>
                <w:color w:val="auto"/>
                <w:highlight w:val="none"/>
                <w:lang w:eastAsia="zh-CN"/>
              </w:rPr>
              <w:t>贮存库</w:t>
            </w:r>
            <w:r>
              <w:rPr>
                <w:rFonts w:hint="eastAsia" w:ascii="宋体" w:hAnsi="宋体" w:cs="宋体"/>
                <w:color w:val="auto"/>
                <w:highlight w:val="none"/>
              </w:rPr>
              <w:t>通风，设置一</w:t>
            </w:r>
            <w:r>
              <w:rPr>
                <w:rFonts w:hint="eastAsia" w:ascii="宋体" w:hAnsi="宋体" w:cs="宋体"/>
                <w:color w:val="auto"/>
                <w:highlight w:val="none"/>
                <w:lang w:val="en-US" w:eastAsia="zh-CN"/>
              </w:rPr>
              <w:t>台</w:t>
            </w:r>
            <w:r>
              <w:rPr>
                <w:rFonts w:hint="eastAsia" w:ascii="宋体" w:hAnsi="宋体" w:cs="宋体"/>
                <w:color w:val="auto"/>
                <w:highlight w:val="none"/>
              </w:rPr>
              <w:t>轴流风机，同时密闭存储</w:t>
            </w:r>
            <w:r>
              <w:rPr>
                <w:rFonts w:hint="eastAsia" w:ascii="宋体" w:hAnsi="宋体" w:cs="宋体"/>
                <w:color w:val="auto"/>
                <w:highlight w:val="none"/>
                <w:lang w:eastAsia="zh-CN"/>
              </w:rPr>
              <w:t>废润滑油</w:t>
            </w:r>
            <w:r>
              <w:rPr>
                <w:rFonts w:hint="eastAsia" w:ascii="宋体" w:hAnsi="宋体" w:cs="宋体"/>
                <w:color w:val="auto"/>
                <w:highlight w:val="none"/>
              </w:rPr>
              <w:t>，</w:t>
            </w:r>
            <w:r>
              <w:rPr>
                <w:rFonts w:hint="eastAsia"/>
                <w:bCs/>
                <w:color w:val="auto"/>
                <w:highlight w:val="none"/>
                <w:lang w:eastAsia="zh-CN"/>
              </w:rPr>
              <w:t>废润滑油</w:t>
            </w:r>
            <w:r>
              <w:rPr>
                <w:rFonts w:hint="eastAsia" w:ascii="宋体" w:hAnsi="宋体" w:cs="宋体"/>
                <w:color w:val="auto"/>
                <w:highlight w:val="none"/>
              </w:rPr>
              <w:t>定期清运，本项目的污染物可实现达标排放，对周围环境影响较小。</w:t>
            </w:r>
          </w:p>
          <w:bookmarkEnd w:id="4"/>
          <w:p w14:paraId="3091CCDD">
            <w:pPr>
              <w:ind w:firstLine="482"/>
              <w:rPr>
                <w:rFonts w:hint="eastAsia"/>
                <w:b/>
                <w:bCs/>
                <w:color w:val="auto"/>
                <w:highlight w:val="none"/>
              </w:rPr>
            </w:pPr>
            <w:r>
              <w:rPr>
                <w:rFonts w:hint="eastAsia"/>
                <w:b/>
                <w:bCs/>
                <w:color w:val="auto"/>
                <w:highlight w:val="none"/>
              </w:rPr>
              <w:t>（2）监测计划</w:t>
            </w:r>
          </w:p>
          <w:p w14:paraId="1B865947">
            <w:pPr>
              <w:ind w:firstLine="480"/>
              <w:jc w:val="left"/>
              <w:rPr>
                <w:rFonts w:hint="eastAsia"/>
                <w:color w:val="auto"/>
                <w:highlight w:val="none"/>
              </w:rPr>
            </w:pPr>
            <w:r>
              <w:rPr>
                <w:color w:val="auto"/>
                <w:highlight w:val="none"/>
              </w:rPr>
              <w:t>根据《排污单位自行监测技术指南总则》</w:t>
            </w:r>
            <w:r>
              <w:rPr>
                <w:rFonts w:hint="eastAsia"/>
                <w:color w:val="auto"/>
                <w:highlight w:val="none"/>
                <w:lang w:eastAsia="zh-CN"/>
              </w:rPr>
              <w:t>（</w:t>
            </w:r>
            <w:r>
              <w:rPr>
                <w:color w:val="auto"/>
                <w:highlight w:val="none"/>
              </w:rPr>
              <w:t>HJ819-2017</w:t>
            </w:r>
            <w:r>
              <w:rPr>
                <w:rFonts w:hint="eastAsia"/>
                <w:color w:val="auto"/>
                <w:highlight w:val="none"/>
                <w:lang w:eastAsia="zh-CN"/>
              </w:rPr>
              <w:t>）</w:t>
            </w:r>
            <w:r>
              <w:rPr>
                <w:color w:val="auto"/>
                <w:highlight w:val="none"/>
              </w:rPr>
              <w:t>，本项目大气监测点位、监测因子和频次</w:t>
            </w:r>
            <w:r>
              <w:rPr>
                <w:rFonts w:hint="eastAsia"/>
                <w:color w:val="auto"/>
                <w:highlight w:val="none"/>
              </w:rPr>
              <w:t>见表</w:t>
            </w:r>
            <w:r>
              <w:rPr>
                <w:color w:val="auto"/>
                <w:highlight w:val="none"/>
              </w:rPr>
              <w:t>4-</w:t>
            </w:r>
            <w:r>
              <w:rPr>
                <w:rFonts w:hint="eastAsia"/>
                <w:color w:val="auto"/>
                <w:highlight w:val="none"/>
              </w:rPr>
              <w:t>1</w:t>
            </w:r>
            <w:r>
              <w:rPr>
                <w:color w:val="auto"/>
                <w:highlight w:val="none"/>
              </w:rPr>
              <w:t>。</w:t>
            </w:r>
          </w:p>
          <w:p w14:paraId="28DDF7A0">
            <w:pPr>
              <w:ind w:firstLine="482"/>
              <w:jc w:val="center"/>
              <w:rPr>
                <w:rFonts w:hint="eastAsia"/>
                <w:b/>
                <w:bCs/>
                <w:color w:val="auto"/>
                <w:highlight w:val="none"/>
              </w:rPr>
            </w:pPr>
            <w:r>
              <w:rPr>
                <w:rFonts w:hint="eastAsia"/>
                <w:b/>
                <w:bCs/>
                <w:color w:val="auto"/>
                <w:highlight w:val="none"/>
              </w:rPr>
              <w:t>表4-1大气环境监测内容一览表</w:t>
            </w:r>
          </w:p>
          <w:tbl>
            <w:tblPr>
              <w:tblStyle w:val="14"/>
              <w:tblW w:w="7958"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56"/>
              <w:gridCol w:w="2212"/>
              <w:gridCol w:w="1038"/>
              <w:gridCol w:w="697"/>
              <w:gridCol w:w="3355"/>
            </w:tblGrid>
            <w:tr w14:paraId="689BC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6" w:hRule="atLeast"/>
              </w:trPr>
              <w:tc>
                <w:tcPr>
                  <w:tcW w:w="412" w:type="pct"/>
                  <w:noWrap w:val="0"/>
                  <w:vAlign w:val="center"/>
                </w:tcPr>
                <w:p w14:paraId="4AE140F4">
                  <w:pPr>
                    <w:spacing w:line="240" w:lineRule="auto"/>
                    <w:ind w:firstLine="0" w:firstLineChars="0"/>
                    <w:jc w:val="center"/>
                    <w:rPr>
                      <w:rFonts w:hint="eastAsia" w:ascii="宋体" w:hAnsi="宋体" w:cs="宋体"/>
                      <w:color w:val="auto"/>
                      <w:highlight w:val="none"/>
                      <w:lang w:val="zh-CN" w:bidi="zh-CN"/>
                    </w:rPr>
                  </w:pPr>
                  <w:r>
                    <w:rPr>
                      <w:rFonts w:hint="eastAsia" w:ascii="宋体" w:hAnsi="宋体" w:cs="宋体"/>
                      <w:color w:val="auto"/>
                      <w:highlight w:val="none"/>
                      <w:lang w:val="zh-CN" w:bidi="zh-CN"/>
                    </w:rPr>
                    <w:t>监测项目</w:t>
                  </w:r>
                </w:p>
              </w:tc>
              <w:tc>
                <w:tcPr>
                  <w:tcW w:w="1389" w:type="pct"/>
                  <w:noWrap w:val="0"/>
                  <w:vAlign w:val="center"/>
                </w:tcPr>
                <w:p w14:paraId="67B71FFB">
                  <w:pPr>
                    <w:spacing w:line="240" w:lineRule="auto"/>
                    <w:ind w:firstLine="0" w:firstLineChars="0"/>
                    <w:jc w:val="center"/>
                    <w:rPr>
                      <w:rFonts w:hint="eastAsia" w:ascii="宋体" w:hAnsi="宋体" w:cs="宋体"/>
                      <w:color w:val="auto"/>
                      <w:highlight w:val="none"/>
                      <w:lang w:val="zh-CN" w:bidi="zh-CN"/>
                    </w:rPr>
                  </w:pPr>
                  <w:r>
                    <w:rPr>
                      <w:rFonts w:hint="eastAsia" w:ascii="宋体" w:hAnsi="宋体" w:cs="宋体"/>
                      <w:color w:val="auto"/>
                      <w:highlight w:val="none"/>
                      <w:lang w:val="zh-CN" w:bidi="zh-CN"/>
                    </w:rPr>
                    <w:t>监测点位</w:t>
                  </w:r>
                </w:p>
              </w:tc>
              <w:tc>
                <w:tcPr>
                  <w:tcW w:w="652" w:type="pct"/>
                  <w:noWrap w:val="0"/>
                  <w:vAlign w:val="center"/>
                </w:tcPr>
                <w:p w14:paraId="417202AE">
                  <w:pPr>
                    <w:spacing w:line="240" w:lineRule="auto"/>
                    <w:ind w:firstLine="0" w:firstLineChars="0"/>
                    <w:jc w:val="center"/>
                    <w:rPr>
                      <w:rFonts w:hint="eastAsia" w:ascii="宋体" w:hAnsi="宋体" w:cs="宋体"/>
                      <w:color w:val="auto"/>
                      <w:highlight w:val="none"/>
                      <w:lang w:val="zh-CN" w:bidi="zh-CN"/>
                    </w:rPr>
                  </w:pPr>
                  <w:r>
                    <w:rPr>
                      <w:rFonts w:hint="eastAsia" w:ascii="宋体" w:hAnsi="宋体" w:cs="宋体"/>
                      <w:color w:val="auto"/>
                      <w:highlight w:val="none"/>
                      <w:lang w:val="zh-CN" w:bidi="zh-CN"/>
                    </w:rPr>
                    <w:t>监测因子</w:t>
                  </w:r>
                </w:p>
              </w:tc>
              <w:tc>
                <w:tcPr>
                  <w:tcW w:w="437" w:type="pct"/>
                  <w:noWrap w:val="0"/>
                  <w:vAlign w:val="center"/>
                </w:tcPr>
                <w:p w14:paraId="3523BBB6">
                  <w:pPr>
                    <w:spacing w:line="240" w:lineRule="auto"/>
                    <w:ind w:firstLine="0" w:firstLineChars="0"/>
                    <w:jc w:val="center"/>
                    <w:rPr>
                      <w:rFonts w:hint="eastAsia" w:ascii="宋体" w:hAnsi="宋体" w:cs="宋体"/>
                      <w:color w:val="auto"/>
                      <w:highlight w:val="none"/>
                      <w:lang w:val="zh-CN" w:bidi="zh-CN"/>
                    </w:rPr>
                  </w:pPr>
                  <w:r>
                    <w:rPr>
                      <w:rFonts w:hint="eastAsia" w:ascii="宋体" w:hAnsi="宋体" w:cs="宋体"/>
                      <w:color w:val="auto"/>
                      <w:highlight w:val="none"/>
                      <w:lang w:val="zh-CN" w:bidi="zh-CN"/>
                    </w:rPr>
                    <w:t>监测频次</w:t>
                  </w:r>
                </w:p>
              </w:tc>
              <w:tc>
                <w:tcPr>
                  <w:tcW w:w="2107" w:type="pct"/>
                  <w:noWrap w:val="0"/>
                  <w:vAlign w:val="center"/>
                </w:tcPr>
                <w:p w14:paraId="18516D00">
                  <w:pPr>
                    <w:spacing w:line="240" w:lineRule="auto"/>
                    <w:ind w:firstLine="0" w:firstLineChars="0"/>
                    <w:jc w:val="center"/>
                    <w:rPr>
                      <w:rFonts w:hint="eastAsia" w:ascii="宋体" w:hAnsi="宋体" w:cs="宋体"/>
                      <w:color w:val="auto"/>
                      <w:highlight w:val="none"/>
                      <w:lang w:val="zh-CN" w:bidi="zh-CN"/>
                    </w:rPr>
                  </w:pPr>
                  <w:r>
                    <w:rPr>
                      <w:rFonts w:hint="eastAsia" w:ascii="宋体" w:hAnsi="宋体" w:cs="宋体"/>
                      <w:color w:val="auto"/>
                      <w:highlight w:val="none"/>
                      <w:lang w:val="zh-CN" w:bidi="zh-CN"/>
                    </w:rPr>
                    <w:t>控制指标</w:t>
                  </w:r>
                </w:p>
              </w:tc>
            </w:tr>
            <w:tr w14:paraId="22651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5" w:hRule="atLeast"/>
              </w:trPr>
              <w:tc>
                <w:tcPr>
                  <w:tcW w:w="412" w:type="pct"/>
                  <w:vMerge w:val="restart"/>
                  <w:noWrap w:val="0"/>
                  <w:vAlign w:val="center"/>
                </w:tcPr>
                <w:p w14:paraId="11701D33">
                  <w:pPr>
                    <w:spacing w:line="240" w:lineRule="auto"/>
                    <w:ind w:firstLine="0" w:firstLineChars="0"/>
                    <w:jc w:val="center"/>
                    <w:rPr>
                      <w:rFonts w:hint="eastAsia" w:ascii="宋体" w:hAnsi="宋体" w:cs="宋体"/>
                      <w:color w:val="auto"/>
                      <w:highlight w:val="none"/>
                      <w:lang w:val="zh-CN" w:bidi="zh-CN"/>
                    </w:rPr>
                  </w:pPr>
                  <w:r>
                    <w:rPr>
                      <w:rFonts w:hint="eastAsia" w:ascii="宋体" w:hAnsi="宋体" w:cs="宋体"/>
                      <w:color w:val="auto"/>
                      <w:highlight w:val="none"/>
                      <w:lang w:val="zh-CN" w:bidi="zh-CN"/>
                    </w:rPr>
                    <w:t>废气</w:t>
                  </w:r>
                </w:p>
              </w:tc>
              <w:tc>
                <w:tcPr>
                  <w:tcW w:w="1389" w:type="pct"/>
                  <w:noWrap w:val="0"/>
                  <w:vAlign w:val="center"/>
                </w:tcPr>
                <w:p w14:paraId="654DB7F8">
                  <w:pPr>
                    <w:spacing w:line="240" w:lineRule="auto"/>
                    <w:ind w:firstLine="0" w:firstLineChars="0"/>
                    <w:jc w:val="center"/>
                    <w:rPr>
                      <w:rFonts w:hint="eastAsia" w:ascii="宋体" w:hAnsi="宋体" w:cs="宋体"/>
                      <w:color w:val="auto"/>
                      <w:highlight w:val="none"/>
                      <w:lang w:bidi="zh-CN"/>
                    </w:rPr>
                  </w:pPr>
                  <w:r>
                    <w:rPr>
                      <w:rFonts w:hint="eastAsia" w:ascii="宋体" w:hAnsi="宋体" w:cs="宋体"/>
                      <w:color w:val="auto"/>
                      <w:highlight w:val="none"/>
                      <w:lang w:bidi="zh-CN"/>
                    </w:rPr>
                    <w:t>厂址</w:t>
                  </w:r>
                  <w:r>
                    <w:rPr>
                      <w:rFonts w:hint="eastAsia" w:ascii="宋体" w:hAnsi="宋体" w:cs="宋体"/>
                      <w:color w:val="auto"/>
                      <w:highlight w:val="none"/>
                      <w:lang w:val="zh-CN" w:bidi="zh-CN"/>
                    </w:rPr>
                    <w:t>上风向一个点，下风向三个点</w:t>
                  </w:r>
                </w:p>
              </w:tc>
              <w:tc>
                <w:tcPr>
                  <w:tcW w:w="652" w:type="pct"/>
                  <w:noWrap w:val="0"/>
                  <w:vAlign w:val="center"/>
                </w:tcPr>
                <w:p w14:paraId="302B7D77">
                  <w:pPr>
                    <w:spacing w:line="240" w:lineRule="auto"/>
                    <w:ind w:firstLine="0" w:firstLineChars="0"/>
                    <w:jc w:val="center"/>
                    <w:rPr>
                      <w:rFonts w:hint="eastAsia" w:ascii="宋体" w:hAnsi="宋体" w:cs="宋体"/>
                      <w:color w:val="auto"/>
                      <w:highlight w:val="none"/>
                      <w:lang w:val="zh-CN" w:bidi="zh-CN"/>
                    </w:rPr>
                  </w:pPr>
                  <w:r>
                    <w:rPr>
                      <w:rFonts w:hint="eastAsia" w:ascii="宋体" w:hAnsi="宋体" w:cs="宋体"/>
                      <w:color w:val="auto"/>
                      <w:highlight w:val="none"/>
                      <w:lang w:val="zh-CN" w:bidi="zh-CN"/>
                    </w:rPr>
                    <w:t>非甲烷总烃</w:t>
                  </w:r>
                </w:p>
              </w:tc>
              <w:tc>
                <w:tcPr>
                  <w:tcW w:w="437" w:type="pct"/>
                  <w:vMerge w:val="restart"/>
                  <w:noWrap w:val="0"/>
                  <w:vAlign w:val="center"/>
                </w:tcPr>
                <w:p w14:paraId="15A9C223">
                  <w:pPr>
                    <w:spacing w:line="240" w:lineRule="auto"/>
                    <w:ind w:firstLine="0" w:firstLineChars="0"/>
                    <w:jc w:val="center"/>
                    <w:rPr>
                      <w:rFonts w:hint="eastAsia" w:ascii="宋体" w:hAnsi="宋体" w:cs="宋体"/>
                      <w:color w:val="auto"/>
                      <w:highlight w:val="none"/>
                      <w:lang w:val="zh-CN" w:bidi="zh-CN"/>
                    </w:rPr>
                  </w:pPr>
                  <w:r>
                    <w:rPr>
                      <w:rFonts w:hint="eastAsia" w:ascii="宋体" w:hAnsi="宋体" w:cs="宋体"/>
                      <w:color w:val="auto"/>
                      <w:highlight w:val="none"/>
                      <w:lang w:bidi="zh-CN"/>
                    </w:rPr>
                    <w:t>1</w:t>
                  </w:r>
                  <w:r>
                    <w:rPr>
                      <w:rFonts w:hint="eastAsia" w:ascii="宋体" w:hAnsi="宋体" w:cs="宋体"/>
                      <w:color w:val="auto"/>
                      <w:highlight w:val="none"/>
                      <w:lang w:val="zh-CN" w:bidi="zh-CN"/>
                    </w:rPr>
                    <w:t>次/年</w:t>
                  </w:r>
                </w:p>
              </w:tc>
              <w:tc>
                <w:tcPr>
                  <w:tcW w:w="2107" w:type="pct"/>
                  <w:noWrap w:val="0"/>
                  <w:vAlign w:val="center"/>
                </w:tcPr>
                <w:p w14:paraId="1562E709">
                  <w:pPr>
                    <w:spacing w:line="240" w:lineRule="auto"/>
                    <w:ind w:firstLine="0" w:firstLineChars="0"/>
                    <w:rPr>
                      <w:rFonts w:hint="eastAsia" w:ascii="宋体" w:hAnsi="宋体" w:cs="宋体"/>
                      <w:color w:val="auto"/>
                      <w:highlight w:val="none"/>
                      <w:lang w:val="zh-CN" w:bidi="zh-CN"/>
                    </w:rPr>
                  </w:pPr>
                  <w:r>
                    <w:rPr>
                      <w:rFonts w:hint="eastAsia" w:ascii="宋体" w:hAnsi="宋体" w:cs="宋体"/>
                      <w:color w:val="auto"/>
                      <w:highlight w:val="none"/>
                      <w:lang w:val="zh-CN" w:bidi="zh-CN"/>
                    </w:rPr>
                    <w:t>《大气污染物综合排放标准》（GB16297-1996）</w:t>
                  </w:r>
                  <w:r>
                    <w:rPr>
                      <w:rFonts w:hint="eastAsia" w:ascii="宋体" w:hAnsi="宋体" w:cs="宋体"/>
                      <w:color w:val="auto"/>
                      <w:highlight w:val="none"/>
                      <w:lang w:bidi="zh-CN"/>
                    </w:rPr>
                    <w:t>表2</w:t>
                  </w:r>
                  <w:r>
                    <w:rPr>
                      <w:rFonts w:hint="eastAsia" w:ascii="宋体" w:hAnsi="宋体" w:cs="宋体"/>
                      <w:color w:val="auto"/>
                      <w:highlight w:val="none"/>
                      <w:lang w:val="zh-CN" w:bidi="zh-CN"/>
                    </w:rPr>
                    <w:t>无组织排放监控浓度</w:t>
                  </w:r>
                </w:p>
              </w:tc>
            </w:tr>
            <w:tr w14:paraId="082C4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5" w:hRule="atLeast"/>
              </w:trPr>
              <w:tc>
                <w:tcPr>
                  <w:tcW w:w="412" w:type="pct"/>
                  <w:vMerge w:val="continue"/>
                  <w:noWrap w:val="0"/>
                  <w:vAlign w:val="center"/>
                </w:tcPr>
                <w:p w14:paraId="5A859EC7">
                  <w:pPr>
                    <w:spacing w:line="240" w:lineRule="auto"/>
                    <w:ind w:firstLine="0" w:firstLineChars="0"/>
                    <w:jc w:val="center"/>
                    <w:rPr>
                      <w:rFonts w:hint="eastAsia" w:ascii="宋体" w:hAnsi="宋体" w:cs="宋体"/>
                      <w:color w:val="auto"/>
                      <w:highlight w:val="none"/>
                      <w:lang w:val="zh-CN" w:bidi="zh-CN"/>
                    </w:rPr>
                  </w:pPr>
                </w:p>
              </w:tc>
              <w:tc>
                <w:tcPr>
                  <w:tcW w:w="1389" w:type="pct"/>
                  <w:noWrap w:val="0"/>
                  <w:vAlign w:val="center"/>
                </w:tcPr>
                <w:p w14:paraId="684A4E8D">
                  <w:pPr>
                    <w:spacing w:line="240" w:lineRule="auto"/>
                    <w:ind w:firstLine="0" w:firstLineChars="0"/>
                    <w:jc w:val="center"/>
                    <w:rPr>
                      <w:rFonts w:hint="eastAsia" w:ascii="宋体" w:hAnsi="宋体" w:cs="宋体"/>
                      <w:color w:val="auto"/>
                      <w:highlight w:val="none"/>
                      <w:lang w:bidi="zh-CN"/>
                    </w:rPr>
                  </w:pPr>
                  <w:r>
                    <w:rPr>
                      <w:rFonts w:hint="eastAsia" w:ascii="宋体" w:hAnsi="宋体" w:cs="宋体"/>
                      <w:color w:val="auto"/>
                      <w:highlight w:val="none"/>
                      <w:lang w:val="en-US" w:eastAsia="zh-CN" w:bidi="zh-CN"/>
                    </w:rPr>
                    <w:t>在拟建项目厂房门窗或通风口、其他开口（孔）等排放口外1m，距离地面1.5m以上位置处进行监测</w:t>
                  </w:r>
                </w:p>
              </w:tc>
              <w:tc>
                <w:tcPr>
                  <w:tcW w:w="652" w:type="pct"/>
                  <w:noWrap w:val="0"/>
                  <w:vAlign w:val="center"/>
                </w:tcPr>
                <w:p w14:paraId="30325079">
                  <w:pPr>
                    <w:spacing w:line="240" w:lineRule="auto"/>
                    <w:ind w:firstLine="0" w:firstLineChars="0"/>
                    <w:jc w:val="center"/>
                    <w:rPr>
                      <w:rFonts w:hint="eastAsia" w:ascii="宋体" w:hAnsi="宋体" w:cs="宋体"/>
                      <w:color w:val="auto"/>
                      <w:highlight w:val="none"/>
                      <w:lang w:val="zh-CN" w:bidi="zh-CN"/>
                    </w:rPr>
                  </w:pPr>
                  <w:r>
                    <w:rPr>
                      <w:rFonts w:hint="eastAsia" w:ascii="宋体" w:hAnsi="宋体" w:cs="宋体"/>
                      <w:color w:val="auto"/>
                      <w:highlight w:val="none"/>
                      <w:lang w:val="zh-CN" w:bidi="zh-CN"/>
                    </w:rPr>
                    <w:t>非甲烷总烃</w:t>
                  </w:r>
                </w:p>
              </w:tc>
              <w:tc>
                <w:tcPr>
                  <w:tcW w:w="437" w:type="pct"/>
                  <w:vMerge w:val="continue"/>
                  <w:noWrap w:val="0"/>
                  <w:vAlign w:val="center"/>
                </w:tcPr>
                <w:p w14:paraId="10208F04">
                  <w:pPr>
                    <w:spacing w:line="240" w:lineRule="auto"/>
                    <w:ind w:firstLine="0" w:firstLineChars="0"/>
                    <w:jc w:val="center"/>
                    <w:rPr>
                      <w:rFonts w:hint="eastAsia" w:ascii="宋体" w:hAnsi="宋体" w:cs="宋体"/>
                      <w:color w:val="auto"/>
                      <w:highlight w:val="none"/>
                      <w:lang w:bidi="zh-CN"/>
                    </w:rPr>
                  </w:pPr>
                </w:p>
              </w:tc>
              <w:tc>
                <w:tcPr>
                  <w:tcW w:w="2107" w:type="pct"/>
                  <w:noWrap w:val="0"/>
                  <w:vAlign w:val="center"/>
                </w:tcPr>
                <w:p w14:paraId="2ECF4F4A">
                  <w:pPr>
                    <w:spacing w:line="240" w:lineRule="auto"/>
                    <w:ind w:firstLine="0" w:firstLineChars="0"/>
                    <w:rPr>
                      <w:rFonts w:hint="eastAsia" w:ascii="宋体" w:hAnsi="宋体" w:cs="宋体"/>
                      <w:color w:val="auto"/>
                      <w:highlight w:val="none"/>
                      <w:lang w:val="zh-CN" w:bidi="zh-CN"/>
                    </w:rPr>
                  </w:pPr>
                  <w:r>
                    <w:rPr>
                      <w:rFonts w:hint="eastAsia" w:ascii="宋体" w:hAnsi="宋体" w:cs="宋体"/>
                      <w:color w:val="auto"/>
                      <w:highlight w:val="none"/>
                      <w:lang w:val="zh-CN" w:eastAsia="zh-CN" w:bidi="zh-CN"/>
                    </w:rPr>
                    <w:t>《挥发性有机物无组织排放控制标准》（GB37822-2019）表A.1厂区内VOCs无组织排放限值要求。</w:t>
                  </w:r>
                </w:p>
              </w:tc>
            </w:tr>
          </w:tbl>
          <w:p w14:paraId="14FE56A2">
            <w:pPr>
              <w:adjustRightInd w:val="0"/>
              <w:snapToGrid w:val="0"/>
              <w:spacing w:before="120"/>
              <w:ind w:firstLine="482"/>
              <w:rPr>
                <w:b/>
                <w:bCs/>
                <w:color w:val="auto"/>
                <w:kern w:val="0"/>
                <w:highlight w:val="none"/>
              </w:rPr>
            </w:pPr>
            <w:r>
              <w:rPr>
                <w:b/>
                <w:bCs/>
                <w:color w:val="auto"/>
                <w:highlight w:val="none"/>
              </w:rPr>
              <w:t>2、废水</w:t>
            </w:r>
          </w:p>
          <w:p w14:paraId="19DBDFDF">
            <w:pPr>
              <w:ind w:firstLine="480"/>
              <w:rPr>
                <w:bCs/>
                <w:color w:val="auto"/>
                <w:highlight w:val="none"/>
              </w:rPr>
            </w:pPr>
            <w:r>
              <w:rPr>
                <w:rFonts w:hint="eastAsia"/>
                <w:color w:val="auto"/>
                <w:highlight w:val="none"/>
              </w:rPr>
              <w:t>本项目不涉及危险废物再加工，运行期不产生生产废水，不新增劳动定员，</w:t>
            </w:r>
            <w:r>
              <w:rPr>
                <w:rFonts w:hint="eastAsia"/>
                <w:color w:val="auto"/>
                <w:highlight w:val="none"/>
                <w:lang w:val="en-US" w:eastAsia="zh-CN"/>
              </w:rPr>
              <w:t>无新增</w:t>
            </w:r>
            <w:r>
              <w:rPr>
                <w:rFonts w:hint="eastAsia"/>
                <w:color w:val="auto"/>
                <w:highlight w:val="none"/>
              </w:rPr>
              <w:t>生活污水</w:t>
            </w:r>
            <w:r>
              <w:rPr>
                <w:bCs/>
                <w:color w:val="auto"/>
                <w:highlight w:val="none"/>
              </w:rPr>
              <w:t>。</w:t>
            </w:r>
          </w:p>
          <w:p w14:paraId="257179CE">
            <w:pPr>
              <w:ind w:firstLine="482"/>
              <w:rPr>
                <w:b/>
                <w:bCs/>
                <w:color w:val="auto"/>
                <w:highlight w:val="none"/>
              </w:rPr>
            </w:pPr>
            <w:r>
              <w:rPr>
                <w:b/>
                <w:bCs/>
                <w:color w:val="auto"/>
                <w:highlight w:val="none"/>
              </w:rPr>
              <w:t>3、噪声</w:t>
            </w:r>
          </w:p>
          <w:p w14:paraId="5AAEB028">
            <w:pPr>
              <w:bidi w:val="0"/>
              <w:rPr>
                <w:rFonts w:hint="eastAsia"/>
                <w:color w:val="auto"/>
                <w:lang w:val="en-US" w:eastAsia="zh-CN"/>
              </w:rPr>
            </w:pPr>
            <w:bookmarkStart w:id="5" w:name="OLE_LINK5"/>
            <w:r>
              <w:rPr>
                <w:rFonts w:hint="eastAsia"/>
                <w:color w:val="auto"/>
                <w:lang w:val="en-US" w:eastAsia="zh-CN"/>
              </w:rPr>
              <w:t>本项目噪声源主要为运营期噪声包括转运车、风机等设备运行噪声，噪声源强约为60～80dB（A）。</w:t>
            </w:r>
          </w:p>
          <w:p w14:paraId="091ADD8D">
            <w:pPr>
              <w:bidi w:val="0"/>
              <w:rPr>
                <w:rFonts w:hint="eastAsia"/>
                <w:color w:val="auto"/>
                <w:lang w:val="en-US" w:eastAsia="zh-CN"/>
              </w:rPr>
            </w:pPr>
            <w:r>
              <w:rPr>
                <w:rFonts w:hint="eastAsia"/>
                <w:color w:val="auto"/>
                <w:lang w:val="en-US" w:eastAsia="zh-CN"/>
              </w:rPr>
              <w:t>为降低噪声对周围环境的影响，采取的措施包括：</w:t>
            </w:r>
          </w:p>
          <w:p w14:paraId="4FDC5668">
            <w:pPr>
              <w:bidi w:val="0"/>
              <w:rPr>
                <w:rFonts w:hint="eastAsia"/>
                <w:color w:val="auto"/>
                <w:lang w:val="en-US" w:eastAsia="zh-CN"/>
              </w:rPr>
            </w:pPr>
            <w:r>
              <w:rPr>
                <w:rFonts w:hint="eastAsia"/>
                <w:color w:val="auto"/>
                <w:lang w:val="en-US" w:eastAsia="zh-CN"/>
              </w:rPr>
              <w:t>①选用低噪声设备，封闭厂房内安装；</w:t>
            </w:r>
          </w:p>
          <w:p w14:paraId="3B0AE27C">
            <w:pPr>
              <w:bidi w:val="0"/>
              <w:rPr>
                <w:rFonts w:hint="eastAsia"/>
                <w:color w:val="auto"/>
                <w:lang w:val="en-US" w:eastAsia="zh-CN"/>
              </w:rPr>
            </w:pPr>
            <w:r>
              <w:rPr>
                <w:rFonts w:hint="eastAsia"/>
                <w:color w:val="auto"/>
                <w:lang w:val="en-US" w:eastAsia="zh-CN"/>
              </w:rPr>
              <w:t>②加强设备管理，使生产设备保持良好运转。</w:t>
            </w:r>
          </w:p>
          <w:p w14:paraId="09357961">
            <w:pPr>
              <w:bidi w:val="0"/>
              <w:rPr>
                <w:rFonts w:hint="eastAsia"/>
                <w:color w:val="auto"/>
                <w:lang w:val="en-US" w:eastAsia="zh-CN"/>
              </w:rPr>
            </w:pPr>
            <w:r>
              <w:rPr>
                <w:rFonts w:hint="eastAsia"/>
                <w:color w:val="auto"/>
                <w:lang w:val="en-US" w:eastAsia="zh-CN"/>
              </w:rPr>
              <w:t>采取上述措施后，本项目主要噪声源强可有效降低，具体见表4-2。</w:t>
            </w:r>
          </w:p>
          <w:p w14:paraId="523B7C98">
            <w:pPr>
              <w:bidi w:val="0"/>
              <w:jc w:val="center"/>
              <w:rPr>
                <w:rFonts w:hint="eastAsia"/>
                <w:b/>
                <w:bCs/>
                <w:color w:val="auto"/>
                <w:lang w:val="en-US" w:eastAsia="zh-CN"/>
              </w:rPr>
            </w:pPr>
            <w:bookmarkStart w:id="6" w:name="_Hlk127128665"/>
            <w:r>
              <w:rPr>
                <w:rFonts w:hint="eastAsia"/>
                <w:b/>
                <w:bCs/>
                <w:color w:val="auto"/>
                <w:lang w:val="en-US" w:eastAsia="zh-CN"/>
              </w:rPr>
              <w:t>表4-2主要高噪声机械设备源强一览表</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13"/>
              <w:gridCol w:w="1601"/>
              <w:gridCol w:w="3293"/>
              <w:gridCol w:w="1829"/>
            </w:tblGrid>
            <w:tr w14:paraId="18094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64" w:type="pct"/>
                  <w:tcBorders>
                    <w:tl2br w:val="nil"/>
                    <w:tr2bl w:val="nil"/>
                  </w:tcBorders>
                  <w:noWrap w:val="0"/>
                  <w:vAlign w:val="center"/>
                </w:tcPr>
                <w:p w14:paraId="7E3028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rPr>
                  </w:pPr>
                  <w:r>
                    <w:rPr>
                      <w:rFonts w:hint="eastAsia"/>
                      <w:color w:val="auto"/>
                    </w:rPr>
                    <w:t>名称</w:t>
                  </w:r>
                </w:p>
              </w:tc>
              <w:tc>
                <w:tcPr>
                  <w:tcW w:w="1008" w:type="pct"/>
                  <w:tcBorders>
                    <w:tl2br w:val="nil"/>
                    <w:tr2bl w:val="nil"/>
                  </w:tcBorders>
                  <w:noWrap w:val="0"/>
                  <w:vAlign w:val="center"/>
                </w:tcPr>
                <w:p w14:paraId="50663F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rPr>
                  </w:pPr>
                  <w:r>
                    <w:rPr>
                      <w:rFonts w:hint="eastAsia"/>
                      <w:color w:val="auto"/>
                    </w:rPr>
                    <w:t>声压级dB（A）</w:t>
                  </w:r>
                </w:p>
              </w:tc>
              <w:tc>
                <w:tcPr>
                  <w:tcW w:w="2074" w:type="pct"/>
                  <w:tcBorders>
                    <w:tl2br w:val="nil"/>
                    <w:tr2bl w:val="nil"/>
                  </w:tcBorders>
                  <w:noWrap w:val="0"/>
                  <w:vAlign w:val="center"/>
                </w:tcPr>
                <w:p w14:paraId="11EDDB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rPr>
                  </w:pPr>
                  <w:r>
                    <w:rPr>
                      <w:rFonts w:hint="eastAsia"/>
                      <w:color w:val="auto"/>
                    </w:rPr>
                    <w:t>采取的降噪措施</w:t>
                  </w:r>
                </w:p>
              </w:tc>
              <w:tc>
                <w:tcPr>
                  <w:tcW w:w="1152" w:type="pct"/>
                  <w:tcBorders>
                    <w:tl2br w:val="nil"/>
                    <w:tr2bl w:val="nil"/>
                  </w:tcBorders>
                  <w:noWrap w:val="0"/>
                  <w:vAlign w:val="center"/>
                </w:tcPr>
                <w:p w14:paraId="7C4DCF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rPr>
                  </w:pPr>
                  <w:r>
                    <w:rPr>
                      <w:rFonts w:hint="eastAsia"/>
                      <w:color w:val="auto"/>
                    </w:rPr>
                    <w:t>降噪后源强dB（A）</w:t>
                  </w:r>
                </w:p>
              </w:tc>
            </w:tr>
            <w:tr w14:paraId="2CD29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64" w:type="pct"/>
                  <w:tcBorders>
                    <w:tl2br w:val="nil"/>
                    <w:tr2bl w:val="nil"/>
                  </w:tcBorders>
                  <w:noWrap w:val="0"/>
                  <w:vAlign w:val="center"/>
                </w:tcPr>
                <w:p w14:paraId="013700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rPr>
                  </w:pPr>
                  <w:r>
                    <w:rPr>
                      <w:rFonts w:hint="eastAsia"/>
                      <w:color w:val="auto"/>
                      <w:lang w:val="en-US" w:eastAsia="zh-CN"/>
                    </w:rPr>
                    <w:t>外运车辆</w:t>
                  </w:r>
                </w:p>
              </w:tc>
              <w:tc>
                <w:tcPr>
                  <w:tcW w:w="1008" w:type="pct"/>
                  <w:tcBorders>
                    <w:tl2br w:val="nil"/>
                    <w:tr2bl w:val="nil"/>
                  </w:tcBorders>
                  <w:noWrap w:val="0"/>
                  <w:vAlign w:val="center"/>
                </w:tcPr>
                <w:p w14:paraId="226FCE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lang w:val="en-US"/>
                    </w:rPr>
                  </w:pPr>
                  <w:r>
                    <w:rPr>
                      <w:rFonts w:hint="eastAsia"/>
                      <w:color w:val="auto"/>
                      <w:lang w:val="en-US" w:eastAsia="zh-CN"/>
                    </w:rPr>
                    <w:t>70</w:t>
                  </w:r>
                  <w:r>
                    <w:rPr>
                      <w:rFonts w:hint="eastAsia"/>
                      <w:color w:val="auto"/>
                    </w:rPr>
                    <w:t>~</w:t>
                  </w:r>
                  <w:r>
                    <w:rPr>
                      <w:rFonts w:hint="eastAsia"/>
                      <w:color w:val="auto"/>
                      <w:lang w:val="en-US" w:eastAsia="zh-CN"/>
                    </w:rPr>
                    <w:t>80</w:t>
                  </w:r>
                </w:p>
              </w:tc>
              <w:tc>
                <w:tcPr>
                  <w:tcW w:w="2074" w:type="pct"/>
                  <w:vMerge w:val="restart"/>
                  <w:tcBorders>
                    <w:tl2br w:val="nil"/>
                    <w:tr2bl w:val="nil"/>
                  </w:tcBorders>
                  <w:noWrap w:val="0"/>
                  <w:vAlign w:val="center"/>
                </w:tcPr>
                <w:p w14:paraId="302ABA69">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color w:val="auto"/>
                    </w:rPr>
                  </w:pPr>
                  <w:r>
                    <w:rPr>
                      <w:rFonts w:hint="eastAsia"/>
                      <w:color w:val="auto"/>
                    </w:rPr>
                    <w:t>采用低噪声设备，车辆定期维护保养</w:t>
                  </w:r>
                </w:p>
              </w:tc>
              <w:tc>
                <w:tcPr>
                  <w:tcW w:w="1152" w:type="pct"/>
                  <w:tcBorders>
                    <w:tl2br w:val="nil"/>
                    <w:tr2bl w:val="nil"/>
                  </w:tcBorders>
                  <w:noWrap w:val="0"/>
                  <w:vAlign w:val="center"/>
                </w:tcPr>
                <w:p w14:paraId="2460AE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rPr>
                  </w:pPr>
                  <w:r>
                    <w:rPr>
                      <w:rFonts w:hint="eastAsia"/>
                      <w:color w:val="auto"/>
                      <w:lang w:val="en-US" w:eastAsia="zh-CN"/>
                    </w:rPr>
                    <w:t>60</w:t>
                  </w:r>
                  <w:r>
                    <w:rPr>
                      <w:rFonts w:hint="eastAsia"/>
                      <w:color w:val="auto"/>
                    </w:rPr>
                    <w:t>~</w:t>
                  </w:r>
                  <w:r>
                    <w:rPr>
                      <w:rFonts w:hint="eastAsia"/>
                      <w:color w:val="auto"/>
                      <w:lang w:val="en-US" w:eastAsia="zh-CN"/>
                    </w:rPr>
                    <w:t>70</w:t>
                  </w:r>
                </w:p>
              </w:tc>
            </w:tr>
            <w:tr w14:paraId="5E65C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64" w:type="pct"/>
                  <w:tcBorders>
                    <w:tl2br w:val="nil"/>
                    <w:tr2bl w:val="nil"/>
                  </w:tcBorders>
                  <w:noWrap w:val="0"/>
                  <w:vAlign w:val="center"/>
                </w:tcPr>
                <w:p w14:paraId="3D9410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lang w:val="en-US" w:eastAsia="zh-CN"/>
                    </w:rPr>
                  </w:pPr>
                  <w:r>
                    <w:rPr>
                      <w:rFonts w:hint="eastAsia"/>
                      <w:color w:val="auto"/>
                      <w:lang w:val="en-US" w:eastAsia="zh-CN"/>
                    </w:rPr>
                    <w:t>叉车</w:t>
                  </w:r>
                </w:p>
              </w:tc>
              <w:tc>
                <w:tcPr>
                  <w:tcW w:w="1008" w:type="pct"/>
                  <w:tcBorders>
                    <w:tl2br w:val="nil"/>
                    <w:tr2bl w:val="nil"/>
                  </w:tcBorders>
                  <w:noWrap w:val="0"/>
                  <w:vAlign w:val="center"/>
                </w:tcPr>
                <w:p w14:paraId="1748D9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lang w:val="en-US" w:eastAsia="zh-CN"/>
                    </w:rPr>
                  </w:pPr>
                  <w:r>
                    <w:rPr>
                      <w:rFonts w:hint="eastAsia"/>
                      <w:color w:val="auto"/>
                      <w:lang w:val="en-US" w:eastAsia="zh-CN"/>
                    </w:rPr>
                    <w:t>70-80</w:t>
                  </w:r>
                </w:p>
              </w:tc>
              <w:tc>
                <w:tcPr>
                  <w:tcW w:w="2074" w:type="pct"/>
                  <w:vMerge w:val="continue"/>
                  <w:tcBorders>
                    <w:tl2br w:val="nil"/>
                    <w:tr2bl w:val="nil"/>
                  </w:tcBorders>
                  <w:noWrap w:val="0"/>
                  <w:vAlign w:val="center"/>
                </w:tcPr>
                <w:p w14:paraId="5DE740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rPr>
                  </w:pPr>
                </w:p>
              </w:tc>
              <w:tc>
                <w:tcPr>
                  <w:tcW w:w="1152" w:type="pct"/>
                  <w:tcBorders>
                    <w:tl2br w:val="nil"/>
                    <w:tr2bl w:val="nil"/>
                  </w:tcBorders>
                  <w:noWrap w:val="0"/>
                  <w:vAlign w:val="center"/>
                </w:tcPr>
                <w:p w14:paraId="4437D1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lang w:val="en-US" w:eastAsia="zh-CN"/>
                    </w:rPr>
                  </w:pPr>
                  <w:r>
                    <w:rPr>
                      <w:rFonts w:hint="eastAsia"/>
                      <w:color w:val="auto"/>
                      <w:lang w:val="en-US" w:eastAsia="zh-CN"/>
                    </w:rPr>
                    <w:t>60-70</w:t>
                  </w:r>
                </w:p>
              </w:tc>
            </w:tr>
            <w:tr w14:paraId="13CAA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64" w:type="pct"/>
                  <w:tcBorders>
                    <w:tl2br w:val="nil"/>
                    <w:tr2bl w:val="nil"/>
                  </w:tcBorders>
                  <w:noWrap w:val="0"/>
                  <w:vAlign w:val="center"/>
                </w:tcPr>
                <w:p w14:paraId="04382A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rPr>
                  </w:pPr>
                  <w:r>
                    <w:rPr>
                      <w:rFonts w:hint="eastAsia"/>
                      <w:color w:val="auto"/>
                      <w:lang w:val="en-US" w:eastAsia="zh-CN"/>
                    </w:rPr>
                    <w:t>风机</w:t>
                  </w:r>
                </w:p>
              </w:tc>
              <w:tc>
                <w:tcPr>
                  <w:tcW w:w="1008" w:type="pct"/>
                  <w:tcBorders>
                    <w:tl2br w:val="nil"/>
                    <w:tr2bl w:val="nil"/>
                  </w:tcBorders>
                  <w:noWrap w:val="0"/>
                  <w:vAlign w:val="center"/>
                </w:tcPr>
                <w:p w14:paraId="58F403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lang w:val="en-US"/>
                    </w:rPr>
                  </w:pPr>
                  <w:r>
                    <w:rPr>
                      <w:rFonts w:hint="eastAsia"/>
                      <w:color w:val="auto"/>
                      <w:lang w:val="en-US" w:eastAsia="zh-CN"/>
                    </w:rPr>
                    <w:t>60-70</w:t>
                  </w:r>
                </w:p>
              </w:tc>
              <w:tc>
                <w:tcPr>
                  <w:tcW w:w="2074" w:type="pct"/>
                  <w:tcBorders>
                    <w:tl2br w:val="nil"/>
                    <w:tr2bl w:val="nil"/>
                  </w:tcBorders>
                  <w:noWrap w:val="0"/>
                  <w:vAlign w:val="center"/>
                </w:tcPr>
                <w:p w14:paraId="2F0571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lang w:val="en-US"/>
                    </w:rPr>
                  </w:pPr>
                  <w:r>
                    <w:rPr>
                      <w:rFonts w:hint="eastAsia"/>
                      <w:color w:val="auto"/>
                      <w:lang w:val="en-US" w:eastAsia="zh-CN"/>
                    </w:rPr>
                    <w:t>采用隔声、消声器、减振等措施</w:t>
                  </w:r>
                </w:p>
              </w:tc>
              <w:tc>
                <w:tcPr>
                  <w:tcW w:w="1152" w:type="pct"/>
                  <w:tcBorders>
                    <w:tl2br w:val="nil"/>
                    <w:tr2bl w:val="nil"/>
                  </w:tcBorders>
                  <w:noWrap w:val="0"/>
                  <w:vAlign w:val="center"/>
                </w:tcPr>
                <w:p w14:paraId="683AAB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rPr>
                  </w:pPr>
                  <w:r>
                    <w:rPr>
                      <w:rFonts w:hint="eastAsia"/>
                      <w:color w:val="auto"/>
                      <w:lang w:val="en-US" w:eastAsia="zh-CN"/>
                    </w:rPr>
                    <w:t>55-65</w:t>
                  </w:r>
                </w:p>
              </w:tc>
            </w:tr>
            <w:bookmarkEnd w:id="6"/>
          </w:tbl>
          <w:p w14:paraId="1006B4FE">
            <w:pPr>
              <w:bidi w:val="0"/>
              <w:rPr>
                <w:rFonts w:hint="eastAsia"/>
                <w:color w:val="auto"/>
                <w:lang w:val="en-US" w:eastAsia="zh-CN"/>
              </w:rPr>
            </w:pPr>
            <w:r>
              <w:rPr>
                <w:rFonts w:hint="eastAsia"/>
                <w:color w:val="auto"/>
                <w:lang w:val="en-US" w:eastAsia="zh-CN"/>
              </w:rPr>
              <w:t>采取以上降噪措施并经距离的衰减后，本项目厂界昼间和夜间噪声贡献值低于《工业企业厂界环境噪声排放标准》（GBl2348-2008）</w:t>
            </w:r>
            <w:r>
              <w:rPr>
                <w:rFonts w:hint="eastAsia"/>
                <w:color w:val="auto"/>
                <w:highlight w:val="none"/>
                <w:lang w:val="en-US" w:eastAsia="zh-CN"/>
              </w:rPr>
              <w:t>中2类标准的要求，且厂界50m范围</w:t>
            </w:r>
            <w:r>
              <w:rPr>
                <w:rFonts w:hint="eastAsia"/>
                <w:color w:val="auto"/>
                <w:lang w:val="en-US" w:eastAsia="zh-CN"/>
              </w:rPr>
              <w:t>内无保护目标。因此，本项目对区域声环境影响较小。</w:t>
            </w:r>
          </w:p>
          <w:p w14:paraId="6E76D495">
            <w:pPr>
              <w:ind w:firstLine="482"/>
              <w:rPr>
                <w:b/>
                <w:bCs/>
                <w:color w:val="auto"/>
                <w:highlight w:val="none"/>
              </w:rPr>
            </w:pPr>
            <w:r>
              <w:rPr>
                <w:rFonts w:hint="eastAsia"/>
                <w:b/>
                <w:bCs/>
                <w:color w:val="auto"/>
                <w:highlight w:val="none"/>
              </w:rPr>
              <w:t>（2）监测计划</w:t>
            </w:r>
          </w:p>
          <w:bookmarkEnd w:id="5"/>
          <w:p w14:paraId="35E9705B">
            <w:pPr>
              <w:spacing w:line="240" w:lineRule="atLeast"/>
              <w:jc w:val="center"/>
              <w:rPr>
                <w:rFonts w:hint="default" w:ascii="Times New Roman" w:hAnsi="Times New Roman" w:eastAsia="宋体" w:cs="Times New Roman"/>
                <w:b/>
                <w:bCs/>
                <w:color w:val="auto"/>
                <w:sz w:val="24"/>
                <w:szCs w:val="24"/>
                <w:highlight w:val="none"/>
                <w:lang w:val="en-US" w:eastAsia="zh-CN"/>
              </w:rPr>
            </w:pPr>
            <w:bookmarkStart w:id="7" w:name="_Hlk127128669"/>
            <w:r>
              <w:rPr>
                <w:rFonts w:hint="default" w:ascii="Times New Roman" w:hAnsi="Times New Roman" w:eastAsia="宋体" w:cs="Times New Roman"/>
                <w:b/>
                <w:bCs/>
                <w:color w:val="auto"/>
                <w:sz w:val="24"/>
                <w:szCs w:val="24"/>
                <w:highlight w:val="none"/>
                <w:lang w:val="en-US" w:eastAsia="zh-CN"/>
              </w:rPr>
              <w:t>表4-</w:t>
            </w:r>
            <w:r>
              <w:rPr>
                <w:rFonts w:hint="eastAsia" w:ascii="Times New Roman" w:hAnsi="Times New Roman" w:eastAsia="宋体" w:cs="Times New Roman"/>
                <w:b/>
                <w:bCs/>
                <w:color w:val="auto"/>
                <w:sz w:val="24"/>
                <w:szCs w:val="24"/>
                <w:highlight w:val="none"/>
                <w:lang w:val="en-US" w:eastAsia="zh-CN"/>
              </w:rPr>
              <w:t>3运营期监测要求</w:t>
            </w:r>
            <w:r>
              <w:rPr>
                <w:rFonts w:hint="default" w:ascii="Times New Roman" w:hAnsi="Times New Roman" w:eastAsia="宋体" w:cs="Times New Roman"/>
                <w:b/>
                <w:bCs/>
                <w:color w:val="auto"/>
                <w:sz w:val="24"/>
                <w:szCs w:val="24"/>
                <w:highlight w:val="none"/>
                <w:lang w:val="en-US" w:eastAsia="zh-CN"/>
              </w:rPr>
              <w:t>表</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8"/>
              <w:gridCol w:w="1738"/>
              <w:gridCol w:w="1293"/>
              <w:gridCol w:w="3617"/>
            </w:tblGrid>
            <w:tr w14:paraId="54D75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811" w:type="pct"/>
                  <w:tcBorders>
                    <w:tl2br w:val="nil"/>
                    <w:tr2bl w:val="nil"/>
                  </w:tcBorders>
                  <w:noWrap w:val="0"/>
                  <w:vAlign w:val="center"/>
                </w:tcPr>
                <w:p w14:paraId="45AB85EE">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auto"/>
                      <w:lang w:val="en-US" w:eastAsia="zh-CN"/>
                    </w:rPr>
                  </w:pPr>
                  <w:r>
                    <w:rPr>
                      <w:rFonts w:hint="default"/>
                      <w:color w:val="auto"/>
                      <w:lang w:val="en-US" w:eastAsia="zh-CN"/>
                    </w:rPr>
                    <w:t>监测</w:t>
                  </w:r>
                  <w:r>
                    <w:rPr>
                      <w:rFonts w:hint="eastAsia"/>
                      <w:color w:val="auto"/>
                      <w:lang w:val="en-US" w:eastAsia="zh-CN"/>
                    </w:rPr>
                    <w:t>点位</w:t>
                  </w:r>
                </w:p>
              </w:tc>
              <w:tc>
                <w:tcPr>
                  <w:tcW w:w="1095" w:type="pct"/>
                  <w:tcBorders>
                    <w:tl2br w:val="nil"/>
                    <w:tr2bl w:val="nil"/>
                  </w:tcBorders>
                  <w:noWrap w:val="0"/>
                  <w:vAlign w:val="center"/>
                </w:tcPr>
                <w:p w14:paraId="2ABD36CF">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auto"/>
                      <w:lang w:val="en-US" w:eastAsia="zh-CN"/>
                    </w:rPr>
                  </w:pPr>
                  <w:r>
                    <w:rPr>
                      <w:rFonts w:hint="default"/>
                      <w:color w:val="auto"/>
                      <w:lang w:val="en-US" w:eastAsia="zh-CN"/>
                    </w:rPr>
                    <w:t>监测频率</w:t>
                  </w:r>
                </w:p>
              </w:tc>
              <w:tc>
                <w:tcPr>
                  <w:tcW w:w="814" w:type="pct"/>
                  <w:tcBorders>
                    <w:tl2br w:val="nil"/>
                    <w:tr2bl w:val="nil"/>
                  </w:tcBorders>
                  <w:noWrap w:val="0"/>
                  <w:vAlign w:val="center"/>
                </w:tcPr>
                <w:p w14:paraId="3DE93372">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auto"/>
                      <w:lang w:val="en-US" w:eastAsia="zh-CN"/>
                    </w:rPr>
                  </w:pPr>
                  <w:r>
                    <w:rPr>
                      <w:rFonts w:hint="default"/>
                      <w:color w:val="auto"/>
                      <w:lang w:val="en-US" w:eastAsia="zh-CN"/>
                    </w:rPr>
                    <w:t>监测</w:t>
                  </w:r>
                  <w:r>
                    <w:rPr>
                      <w:rFonts w:hint="eastAsia"/>
                      <w:color w:val="auto"/>
                      <w:lang w:val="en-US" w:eastAsia="zh-CN"/>
                    </w:rPr>
                    <w:t>因子</w:t>
                  </w:r>
                </w:p>
              </w:tc>
              <w:tc>
                <w:tcPr>
                  <w:tcW w:w="2278" w:type="pct"/>
                  <w:tcBorders>
                    <w:tl2br w:val="nil"/>
                    <w:tr2bl w:val="nil"/>
                  </w:tcBorders>
                  <w:noWrap w:val="0"/>
                  <w:vAlign w:val="center"/>
                </w:tcPr>
                <w:p w14:paraId="5D745A1D">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auto"/>
                      <w:lang w:val="en-US" w:eastAsia="zh-CN"/>
                    </w:rPr>
                  </w:pPr>
                  <w:r>
                    <w:rPr>
                      <w:rFonts w:hint="eastAsia"/>
                      <w:color w:val="auto"/>
                      <w:lang w:val="en-US" w:eastAsia="zh-CN"/>
                    </w:rPr>
                    <w:t>执行标准</w:t>
                  </w:r>
                </w:p>
              </w:tc>
            </w:tr>
            <w:tr w14:paraId="10194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811" w:type="pct"/>
                  <w:tcBorders>
                    <w:tl2br w:val="nil"/>
                    <w:tr2bl w:val="nil"/>
                  </w:tcBorders>
                  <w:noWrap w:val="0"/>
                  <w:vAlign w:val="center"/>
                </w:tcPr>
                <w:p w14:paraId="0204D8BB">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auto"/>
                      <w:lang w:val="en-US" w:eastAsia="zh-CN"/>
                    </w:rPr>
                  </w:pPr>
                  <w:r>
                    <w:rPr>
                      <w:rFonts w:hint="eastAsia"/>
                      <w:color w:val="auto"/>
                      <w:lang w:val="en-US" w:eastAsia="zh-CN"/>
                    </w:rPr>
                    <w:t>厂界四周</w:t>
                  </w:r>
                </w:p>
              </w:tc>
              <w:tc>
                <w:tcPr>
                  <w:tcW w:w="1095" w:type="pct"/>
                  <w:tcBorders>
                    <w:tl2br w:val="nil"/>
                    <w:tr2bl w:val="nil"/>
                  </w:tcBorders>
                  <w:noWrap w:val="0"/>
                  <w:vAlign w:val="center"/>
                </w:tcPr>
                <w:p w14:paraId="7FF89B07">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auto"/>
                      <w:lang w:val="en-US" w:eastAsia="zh-CN"/>
                    </w:rPr>
                  </w:pPr>
                  <w:r>
                    <w:rPr>
                      <w:rFonts w:hint="eastAsia"/>
                      <w:color w:val="auto"/>
                      <w:lang w:val="en-US" w:eastAsia="zh-CN"/>
                    </w:rPr>
                    <w:t>1</w:t>
                  </w:r>
                  <w:r>
                    <w:rPr>
                      <w:rFonts w:hint="default"/>
                      <w:color w:val="auto"/>
                      <w:lang w:val="en-US" w:eastAsia="zh-CN"/>
                    </w:rPr>
                    <w:t>次/</w:t>
                  </w:r>
                  <w:r>
                    <w:rPr>
                      <w:rFonts w:hint="eastAsia"/>
                      <w:color w:val="auto"/>
                      <w:lang w:val="en-US" w:eastAsia="zh-CN"/>
                    </w:rPr>
                    <w:t>季度，必要时增加频次</w:t>
                  </w:r>
                </w:p>
              </w:tc>
              <w:tc>
                <w:tcPr>
                  <w:tcW w:w="814" w:type="pct"/>
                  <w:tcBorders>
                    <w:tl2br w:val="nil"/>
                    <w:tr2bl w:val="nil"/>
                  </w:tcBorders>
                  <w:noWrap w:val="0"/>
                  <w:vAlign w:val="center"/>
                </w:tcPr>
                <w:p w14:paraId="44DF8BD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auto"/>
                      <w:lang w:val="en-US" w:eastAsia="zh-CN"/>
                    </w:rPr>
                  </w:pPr>
                  <w:r>
                    <w:rPr>
                      <w:rFonts w:hint="default"/>
                      <w:color w:val="auto"/>
                      <w:lang w:val="en-US" w:eastAsia="zh-CN"/>
                    </w:rPr>
                    <w:t>等效A声级</w:t>
                  </w:r>
                </w:p>
              </w:tc>
              <w:tc>
                <w:tcPr>
                  <w:tcW w:w="2278" w:type="pct"/>
                  <w:tcBorders>
                    <w:tl2br w:val="nil"/>
                    <w:tr2bl w:val="nil"/>
                  </w:tcBorders>
                  <w:noWrap w:val="0"/>
                  <w:vAlign w:val="center"/>
                </w:tcPr>
                <w:p w14:paraId="6B355A1A">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auto"/>
                      <w:lang w:val="en-US" w:eastAsia="zh-CN"/>
                    </w:rPr>
                  </w:pPr>
                  <w:r>
                    <w:rPr>
                      <w:rFonts w:hint="default"/>
                      <w:color w:val="auto"/>
                      <w:lang w:val="en-US" w:eastAsia="zh-CN"/>
                    </w:rPr>
                    <w:t>《工业企业厂界环境噪声排放标准</w:t>
                  </w:r>
                  <w:r>
                    <w:rPr>
                      <w:rFonts w:hint="default"/>
                      <w:color w:val="auto"/>
                      <w:highlight w:val="none"/>
                      <w:lang w:val="en-US" w:eastAsia="zh-CN"/>
                    </w:rPr>
                    <w:t>》</w:t>
                  </w:r>
                  <w:r>
                    <w:rPr>
                      <w:rFonts w:hint="eastAsia"/>
                      <w:color w:val="auto"/>
                      <w:highlight w:val="none"/>
                      <w:lang w:val="en-US" w:eastAsia="zh-CN"/>
                    </w:rPr>
                    <w:t>2类</w:t>
                  </w:r>
                  <w:r>
                    <w:rPr>
                      <w:rFonts w:hint="default"/>
                      <w:color w:val="auto"/>
                      <w:highlight w:val="none"/>
                      <w:lang w:val="en-US" w:eastAsia="zh-CN"/>
                    </w:rPr>
                    <w:t>区标准</w:t>
                  </w:r>
                </w:p>
              </w:tc>
            </w:tr>
            <w:bookmarkEnd w:id="7"/>
          </w:tbl>
          <w:p w14:paraId="3BB69401">
            <w:pPr>
              <w:ind w:firstLine="482"/>
              <w:rPr>
                <w:b/>
                <w:bCs/>
                <w:color w:val="auto"/>
                <w:highlight w:val="none"/>
              </w:rPr>
            </w:pPr>
            <w:r>
              <w:rPr>
                <w:b/>
                <w:bCs/>
                <w:color w:val="auto"/>
                <w:highlight w:val="none"/>
              </w:rPr>
              <w:t>4、固体废物</w:t>
            </w:r>
          </w:p>
          <w:p w14:paraId="033BB48A">
            <w:pPr>
              <w:bidi w:val="0"/>
              <w:rPr>
                <w:rFonts w:hint="default"/>
                <w:color w:val="auto"/>
                <w:lang w:val="en-US" w:eastAsia="zh-CN"/>
              </w:rPr>
            </w:pPr>
            <w:r>
              <w:rPr>
                <w:rFonts w:hint="eastAsia"/>
                <w:color w:val="auto"/>
              </w:rPr>
              <w:t>本项目不新增劳动定员，无新增生活垃圾产生。</w:t>
            </w:r>
            <w:r>
              <w:rPr>
                <w:rFonts w:hint="eastAsia"/>
                <w:color w:val="auto"/>
                <w:lang w:val="en-US" w:eastAsia="zh-CN"/>
              </w:rPr>
              <w:t>本项目在装卸车过程中如有明显滴漏废液，装卸人员可据实际情况使用抹布进行擦拭，该过程中会产生少量的含油抹布、废手套，暂存于危险废物暂存库内，定期交由有资质单位进行处置。</w:t>
            </w:r>
          </w:p>
          <w:p w14:paraId="123FA965">
            <w:pPr>
              <w:ind w:left="480" w:leftChars="200" w:firstLine="0" w:firstLineChars="0"/>
              <w:rPr>
                <w:rFonts w:hint="default" w:eastAsia="宋体"/>
                <w:b/>
                <w:color w:val="auto"/>
                <w:highlight w:val="none"/>
                <w:lang w:val="en-US" w:eastAsia="zh-CN"/>
              </w:rPr>
            </w:pPr>
            <w:r>
              <w:rPr>
                <w:rFonts w:hint="eastAsia"/>
                <w:b/>
                <w:color w:val="auto"/>
                <w:highlight w:val="none"/>
              </w:rPr>
              <w:t>5、</w:t>
            </w:r>
            <w:r>
              <w:rPr>
                <w:b/>
                <w:color w:val="auto"/>
                <w:highlight w:val="none"/>
              </w:rPr>
              <w:t>地下水、土壤</w:t>
            </w:r>
            <w:r>
              <w:rPr>
                <w:rFonts w:hint="eastAsia"/>
                <w:b/>
                <w:color w:val="auto"/>
                <w:highlight w:val="none"/>
                <w:lang w:val="en-US" w:eastAsia="zh-CN"/>
              </w:rPr>
              <w:t>污染环境影响分析</w:t>
            </w:r>
          </w:p>
          <w:p w14:paraId="001FCD8C">
            <w:pPr>
              <w:ind w:firstLine="480"/>
              <w:rPr>
                <w:color w:val="auto"/>
                <w:kern w:val="0"/>
                <w:highlight w:val="none"/>
              </w:rPr>
            </w:pPr>
            <w:r>
              <w:rPr>
                <w:color w:val="auto"/>
                <w:kern w:val="0"/>
                <w:highlight w:val="none"/>
              </w:rPr>
              <w:t>（1）污染途径</w:t>
            </w:r>
          </w:p>
          <w:p w14:paraId="0B5ED0C5">
            <w:pPr>
              <w:ind w:firstLine="480"/>
              <w:rPr>
                <w:rFonts w:hint="eastAsia" w:eastAsia="宋体"/>
                <w:color w:val="auto"/>
                <w:kern w:val="0"/>
                <w:highlight w:val="none"/>
                <w:lang w:eastAsia="zh-CN"/>
              </w:rPr>
            </w:pPr>
            <w:r>
              <w:rPr>
                <w:color w:val="auto"/>
                <w:kern w:val="0"/>
                <w:highlight w:val="none"/>
              </w:rPr>
              <w:t>本项目正常状况下无废水产生，不会对地下水环境和土壤环境产生影响。非正常工况下，</w:t>
            </w:r>
            <w:r>
              <w:rPr>
                <w:rFonts w:hint="eastAsia"/>
                <w:color w:val="auto"/>
                <w:kern w:val="0"/>
                <w:highlight w:val="none"/>
              </w:rPr>
              <w:t>本项目暂存的危险废物包括</w:t>
            </w:r>
            <w:r>
              <w:rPr>
                <w:rFonts w:hint="eastAsia"/>
                <w:color w:val="auto"/>
                <w:kern w:val="0"/>
                <w:highlight w:val="none"/>
                <w:lang w:eastAsia="zh-CN"/>
              </w:rPr>
              <w:t>废润滑油、</w:t>
            </w:r>
            <w:r>
              <w:rPr>
                <w:rFonts w:hint="eastAsia"/>
                <w:color w:val="auto"/>
                <w:kern w:val="0"/>
                <w:highlight w:val="none"/>
              </w:rPr>
              <w:t>废油桶</w:t>
            </w:r>
            <w:r>
              <w:rPr>
                <w:rFonts w:hint="eastAsia"/>
                <w:color w:val="auto"/>
                <w:highlight w:val="none"/>
              </w:rPr>
              <w:t>，</w:t>
            </w:r>
            <w:r>
              <w:rPr>
                <w:rFonts w:hint="eastAsia"/>
                <w:color w:val="auto"/>
                <w:kern w:val="0"/>
                <w:highlight w:val="none"/>
                <w:lang w:eastAsia="zh-CN"/>
              </w:rPr>
              <w:t>废润滑油</w:t>
            </w:r>
            <w:r>
              <w:rPr>
                <w:rFonts w:hint="eastAsia"/>
                <w:color w:val="auto"/>
                <w:kern w:val="0"/>
                <w:highlight w:val="none"/>
              </w:rPr>
              <w:t>可能会</w:t>
            </w:r>
            <w:r>
              <w:rPr>
                <w:color w:val="auto"/>
                <w:kern w:val="0"/>
                <w:highlight w:val="none"/>
              </w:rPr>
              <w:t>发生泄漏，通过</w:t>
            </w:r>
            <w:r>
              <w:rPr>
                <w:rFonts w:hint="eastAsia"/>
                <w:color w:val="auto"/>
                <w:kern w:val="0"/>
                <w:highlight w:val="none"/>
              </w:rPr>
              <w:t>导流渠</w:t>
            </w:r>
            <w:r>
              <w:rPr>
                <w:color w:val="auto"/>
                <w:kern w:val="0"/>
                <w:highlight w:val="none"/>
              </w:rPr>
              <w:t>收集到</w:t>
            </w:r>
            <w:r>
              <w:rPr>
                <w:rFonts w:hint="eastAsia"/>
                <w:color w:val="auto"/>
                <w:kern w:val="0"/>
                <w:highlight w:val="none"/>
              </w:rPr>
              <w:t>集液池</w:t>
            </w:r>
            <w:r>
              <w:rPr>
                <w:color w:val="auto"/>
                <w:kern w:val="0"/>
                <w:highlight w:val="none"/>
              </w:rPr>
              <w:t>中，</w:t>
            </w:r>
            <w:r>
              <w:rPr>
                <w:rFonts w:hint="eastAsia"/>
                <w:color w:val="auto"/>
                <w:kern w:val="0"/>
                <w:highlight w:val="none"/>
              </w:rPr>
              <w:t>本项目</w:t>
            </w:r>
            <w:r>
              <w:rPr>
                <w:color w:val="auto"/>
                <w:kern w:val="0"/>
                <w:highlight w:val="none"/>
              </w:rPr>
              <w:t>地面、</w:t>
            </w:r>
            <w:r>
              <w:rPr>
                <w:rFonts w:hint="eastAsia"/>
                <w:color w:val="auto"/>
                <w:kern w:val="0"/>
                <w:highlight w:val="none"/>
              </w:rPr>
              <w:t>导流渠</w:t>
            </w:r>
            <w:r>
              <w:rPr>
                <w:color w:val="auto"/>
                <w:kern w:val="0"/>
                <w:highlight w:val="none"/>
              </w:rPr>
              <w:t>、</w:t>
            </w:r>
            <w:r>
              <w:rPr>
                <w:rFonts w:hint="eastAsia"/>
                <w:color w:val="auto"/>
                <w:kern w:val="0"/>
                <w:highlight w:val="none"/>
              </w:rPr>
              <w:t>集液池</w:t>
            </w:r>
            <w:r>
              <w:rPr>
                <w:color w:val="auto"/>
                <w:kern w:val="0"/>
                <w:highlight w:val="none"/>
              </w:rPr>
              <w:t>及裙角采取</w:t>
            </w:r>
            <w:r>
              <w:rPr>
                <w:rFonts w:hint="eastAsia"/>
                <w:color w:val="auto"/>
                <w:kern w:val="0"/>
                <w:highlight w:val="none"/>
              </w:rPr>
              <w:t>相同</w:t>
            </w:r>
            <w:r>
              <w:rPr>
                <w:color w:val="auto"/>
                <w:kern w:val="0"/>
                <w:highlight w:val="none"/>
              </w:rPr>
              <w:t>防渗措施，属于重点防渗区，</w:t>
            </w:r>
            <w:r>
              <w:rPr>
                <w:color w:val="auto"/>
                <w:highlight w:val="none"/>
              </w:rPr>
              <w:t>具体防渗措施为：</w:t>
            </w:r>
            <w:r>
              <w:rPr>
                <w:rFonts w:hint="eastAsia"/>
                <w:color w:val="auto"/>
                <w:highlight w:val="none"/>
                <w:lang w:eastAsia="zh-CN"/>
              </w:rPr>
              <w:t>防渗层为至少1m厚黏土层（渗透系数≤10</w:t>
            </w:r>
            <w:r>
              <w:rPr>
                <w:rFonts w:hint="eastAsia"/>
                <w:color w:val="auto"/>
                <w:highlight w:val="none"/>
                <w:vertAlign w:val="superscript"/>
                <w:lang w:eastAsia="zh-CN"/>
              </w:rPr>
              <w:t>-7</w:t>
            </w:r>
            <w:r>
              <w:rPr>
                <w:rFonts w:hint="eastAsia"/>
                <w:color w:val="auto"/>
                <w:highlight w:val="none"/>
                <w:lang w:eastAsia="zh-CN"/>
              </w:rPr>
              <w:t>cm/s），或至少2mm厚高密度聚乙烯膜等人工防渗材料（渗透系数≤10</w:t>
            </w:r>
            <w:r>
              <w:rPr>
                <w:rFonts w:hint="eastAsia"/>
                <w:color w:val="auto"/>
                <w:highlight w:val="none"/>
                <w:vertAlign w:val="superscript"/>
                <w:lang w:eastAsia="zh-CN"/>
              </w:rPr>
              <w:t>-10</w:t>
            </w:r>
            <w:r>
              <w:rPr>
                <w:rFonts w:hint="eastAsia"/>
                <w:color w:val="auto"/>
                <w:highlight w:val="none"/>
                <w:lang w:eastAsia="zh-CN"/>
              </w:rPr>
              <w:t>cm/s），或其他防渗性能等效的材料，并涂刷环氧树脂地坪漆。</w:t>
            </w:r>
          </w:p>
          <w:p w14:paraId="6CB8DB8F">
            <w:pPr>
              <w:ind w:firstLine="480"/>
              <w:rPr>
                <w:color w:val="auto"/>
                <w:kern w:val="0"/>
                <w:highlight w:val="none"/>
              </w:rPr>
            </w:pPr>
            <w:r>
              <w:rPr>
                <w:color w:val="auto"/>
                <w:kern w:val="0"/>
                <w:highlight w:val="none"/>
              </w:rPr>
              <w:t>（2）分区防治措施</w:t>
            </w:r>
          </w:p>
          <w:p w14:paraId="1B7B620F">
            <w:pPr>
              <w:ind w:firstLine="480"/>
              <w:rPr>
                <w:color w:val="auto"/>
                <w:kern w:val="0"/>
                <w:highlight w:val="none"/>
              </w:rPr>
            </w:pPr>
            <w:r>
              <w:rPr>
                <w:color w:val="auto"/>
                <w:kern w:val="0"/>
                <w:highlight w:val="none"/>
              </w:rPr>
              <w:t>结合本项目特点，本项目危险废物</w:t>
            </w:r>
            <w:r>
              <w:rPr>
                <w:rFonts w:hint="eastAsia"/>
                <w:color w:val="auto"/>
                <w:kern w:val="0"/>
                <w:highlight w:val="none"/>
                <w:lang w:eastAsia="zh-CN"/>
              </w:rPr>
              <w:t>贮存库</w:t>
            </w:r>
            <w:r>
              <w:rPr>
                <w:color w:val="auto"/>
                <w:kern w:val="0"/>
                <w:highlight w:val="none"/>
              </w:rPr>
              <w:t>地面全部采取重点防渗区要求防渗。根据《环境影响评价技术导则地下水环境》（HJ610-2016）中地下水环境保护措施及对策的要求，危险废物</w:t>
            </w:r>
            <w:r>
              <w:rPr>
                <w:rFonts w:hint="eastAsia"/>
                <w:color w:val="auto"/>
                <w:kern w:val="0"/>
                <w:highlight w:val="none"/>
                <w:lang w:eastAsia="zh-CN"/>
              </w:rPr>
              <w:t>贮存库</w:t>
            </w:r>
            <w:r>
              <w:rPr>
                <w:color w:val="auto"/>
                <w:kern w:val="0"/>
                <w:highlight w:val="none"/>
              </w:rPr>
              <w:t>及</w:t>
            </w:r>
            <w:r>
              <w:rPr>
                <w:rFonts w:hint="eastAsia"/>
                <w:color w:val="auto"/>
                <w:kern w:val="0"/>
                <w:highlight w:val="none"/>
              </w:rPr>
              <w:t>集液池</w:t>
            </w:r>
            <w:r>
              <w:rPr>
                <w:color w:val="auto"/>
                <w:kern w:val="0"/>
                <w:highlight w:val="none"/>
              </w:rPr>
              <w:t>防渗性能应满足《危险废物贮存污染控制标准》（GB18597-2023）中防渗要求。采取的防渗措施如下：</w:t>
            </w:r>
          </w:p>
          <w:p w14:paraId="3C185FA2">
            <w:pPr>
              <w:ind w:firstLine="480"/>
              <w:rPr>
                <w:color w:val="auto"/>
                <w:kern w:val="0"/>
                <w:highlight w:val="none"/>
              </w:rPr>
            </w:pPr>
          </w:p>
          <w:p w14:paraId="2A2605EE">
            <w:pPr>
              <w:ind w:firstLine="482"/>
              <w:jc w:val="center"/>
              <w:rPr>
                <w:b/>
                <w:bCs/>
                <w:color w:val="auto"/>
                <w:highlight w:val="none"/>
              </w:rPr>
            </w:pPr>
            <w:r>
              <w:rPr>
                <w:b/>
                <w:bCs/>
                <w:color w:val="auto"/>
                <w:highlight w:val="none"/>
              </w:rPr>
              <w:t>表4-</w:t>
            </w:r>
            <w:r>
              <w:rPr>
                <w:rFonts w:hint="eastAsia"/>
                <w:b/>
                <w:bCs/>
                <w:color w:val="auto"/>
                <w:highlight w:val="none"/>
                <w:lang w:val="en-US" w:eastAsia="zh-CN"/>
              </w:rPr>
              <w:t>4</w:t>
            </w:r>
            <w:r>
              <w:rPr>
                <w:b/>
                <w:bCs/>
                <w:color w:val="auto"/>
                <w:highlight w:val="none"/>
              </w:rPr>
              <w:t>项目分区防渗要求表</w:t>
            </w:r>
          </w:p>
          <w:tbl>
            <w:tblPr>
              <w:tblStyle w:val="14"/>
              <w:tblW w:w="7898"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5"/>
              <w:gridCol w:w="773"/>
              <w:gridCol w:w="6210"/>
            </w:tblGrid>
            <w:tr w14:paraId="21144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trPr>
              <w:tc>
                <w:tcPr>
                  <w:tcW w:w="915" w:type="dxa"/>
                  <w:noWrap w:val="0"/>
                  <w:vAlign w:val="center"/>
                </w:tcPr>
                <w:p w14:paraId="57A20150">
                  <w:pPr>
                    <w:spacing w:line="240" w:lineRule="auto"/>
                    <w:ind w:firstLine="0" w:firstLineChars="0"/>
                    <w:rPr>
                      <w:color w:val="auto"/>
                      <w:highlight w:val="none"/>
                    </w:rPr>
                  </w:pPr>
                  <w:r>
                    <w:rPr>
                      <w:color w:val="auto"/>
                      <w:highlight w:val="none"/>
                    </w:rPr>
                    <w:t>防渗区域</w:t>
                  </w:r>
                </w:p>
              </w:tc>
              <w:tc>
                <w:tcPr>
                  <w:tcW w:w="773" w:type="dxa"/>
                  <w:noWrap w:val="0"/>
                  <w:vAlign w:val="center"/>
                </w:tcPr>
                <w:p w14:paraId="6B9734C8">
                  <w:pPr>
                    <w:spacing w:line="240" w:lineRule="auto"/>
                    <w:ind w:firstLine="0" w:firstLineChars="0"/>
                    <w:rPr>
                      <w:color w:val="auto"/>
                      <w:highlight w:val="none"/>
                    </w:rPr>
                  </w:pPr>
                  <w:r>
                    <w:rPr>
                      <w:color w:val="auto"/>
                      <w:highlight w:val="none"/>
                    </w:rPr>
                    <w:t>防渗等级</w:t>
                  </w:r>
                </w:p>
              </w:tc>
              <w:tc>
                <w:tcPr>
                  <w:tcW w:w="6210" w:type="dxa"/>
                  <w:noWrap w:val="0"/>
                  <w:vAlign w:val="center"/>
                </w:tcPr>
                <w:p w14:paraId="428901A4">
                  <w:pPr>
                    <w:spacing w:line="240" w:lineRule="auto"/>
                    <w:ind w:firstLine="0" w:firstLineChars="0"/>
                    <w:rPr>
                      <w:color w:val="auto"/>
                      <w:highlight w:val="none"/>
                    </w:rPr>
                  </w:pPr>
                  <w:r>
                    <w:rPr>
                      <w:color w:val="auto"/>
                      <w:highlight w:val="none"/>
                    </w:rPr>
                    <w:t>防渗技术要求</w:t>
                  </w:r>
                </w:p>
              </w:tc>
            </w:tr>
            <w:tr w14:paraId="291B4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915" w:type="dxa"/>
                  <w:noWrap w:val="0"/>
                  <w:vAlign w:val="center"/>
                </w:tcPr>
                <w:p w14:paraId="256CF3A0">
                  <w:pPr>
                    <w:spacing w:line="240" w:lineRule="auto"/>
                    <w:ind w:firstLine="0" w:firstLineChars="0"/>
                    <w:rPr>
                      <w:rFonts w:hint="eastAsia" w:eastAsia="宋体"/>
                      <w:color w:val="auto"/>
                      <w:highlight w:val="none"/>
                      <w:lang w:eastAsia="zh-CN"/>
                    </w:rPr>
                  </w:pPr>
                  <w:r>
                    <w:rPr>
                      <w:rFonts w:hint="eastAsia"/>
                      <w:color w:val="auto"/>
                      <w:highlight w:val="none"/>
                      <w:lang w:eastAsia="zh-CN"/>
                    </w:rPr>
                    <w:t>危险废物贮存库</w:t>
                  </w:r>
                </w:p>
              </w:tc>
              <w:tc>
                <w:tcPr>
                  <w:tcW w:w="773" w:type="dxa"/>
                  <w:noWrap w:val="0"/>
                  <w:vAlign w:val="center"/>
                </w:tcPr>
                <w:p w14:paraId="524662CE">
                  <w:pPr>
                    <w:spacing w:line="240" w:lineRule="auto"/>
                    <w:ind w:firstLine="0" w:firstLineChars="0"/>
                    <w:rPr>
                      <w:color w:val="auto"/>
                      <w:highlight w:val="none"/>
                    </w:rPr>
                  </w:pPr>
                  <w:r>
                    <w:rPr>
                      <w:color w:val="auto"/>
                      <w:highlight w:val="none"/>
                    </w:rPr>
                    <w:t>重点防渗区</w:t>
                  </w:r>
                </w:p>
              </w:tc>
              <w:tc>
                <w:tcPr>
                  <w:tcW w:w="6210" w:type="dxa"/>
                  <w:noWrap w:val="0"/>
                  <w:vAlign w:val="center"/>
                </w:tcPr>
                <w:p w14:paraId="58F4C9BC">
                  <w:pPr>
                    <w:spacing w:line="240" w:lineRule="auto"/>
                    <w:ind w:firstLine="0" w:firstLineChars="0"/>
                    <w:rPr>
                      <w:rFonts w:hint="eastAsia" w:eastAsia="宋体"/>
                      <w:color w:val="auto"/>
                      <w:highlight w:val="none"/>
                      <w:lang w:eastAsia="zh-CN"/>
                    </w:rPr>
                  </w:pPr>
                  <w:r>
                    <w:rPr>
                      <w:rFonts w:hint="eastAsia"/>
                      <w:color w:val="auto"/>
                      <w:highlight w:val="none"/>
                    </w:rPr>
                    <w:t>具体防渗措施采用</w:t>
                  </w:r>
                  <w:r>
                    <w:rPr>
                      <w:rFonts w:hint="eastAsia"/>
                      <w:color w:val="auto"/>
                      <w:highlight w:val="none"/>
                      <w:lang w:eastAsia="zh-CN"/>
                    </w:rPr>
                    <w:t>防渗层为至少1m厚黏土层（渗透系数≤10</w:t>
                  </w:r>
                  <w:r>
                    <w:rPr>
                      <w:rFonts w:hint="eastAsia"/>
                      <w:color w:val="auto"/>
                      <w:highlight w:val="none"/>
                      <w:vertAlign w:val="superscript"/>
                      <w:lang w:eastAsia="zh-CN"/>
                    </w:rPr>
                    <w:t>-7</w:t>
                  </w:r>
                  <w:r>
                    <w:rPr>
                      <w:rFonts w:hint="eastAsia"/>
                      <w:color w:val="auto"/>
                      <w:highlight w:val="none"/>
                      <w:lang w:eastAsia="zh-CN"/>
                    </w:rPr>
                    <w:t>cm/s），或至少2mm厚高密度聚乙烯膜等人工防渗材料（渗透系数≤10</w:t>
                  </w:r>
                  <w:r>
                    <w:rPr>
                      <w:rFonts w:hint="eastAsia"/>
                      <w:color w:val="auto"/>
                      <w:highlight w:val="none"/>
                      <w:vertAlign w:val="superscript"/>
                      <w:lang w:eastAsia="zh-CN"/>
                    </w:rPr>
                    <w:t>-10</w:t>
                  </w:r>
                  <w:r>
                    <w:rPr>
                      <w:rFonts w:hint="eastAsia"/>
                      <w:color w:val="auto"/>
                      <w:highlight w:val="none"/>
                      <w:lang w:eastAsia="zh-CN"/>
                    </w:rPr>
                    <w:t>cm/s），或其他防渗性能等效的材料，并涂刷环氧树脂地坪漆。</w:t>
                  </w:r>
                </w:p>
              </w:tc>
            </w:tr>
          </w:tbl>
          <w:p w14:paraId="4F507E8E">
            <w:pPr>
              <w:ind w:firstLine="480"/>
              <w:rPr>
                <w:color w:val="auto"/>
                <w:highlight w:val="none"/>
              </w:rPr>
            </w:pPr>
            <w:r>
              <w:rPr>
                <w:color w:val="auto"/>
                <w:highlight w:val="none"/>
              </w:rPr>
              <w:t>综上所述，在采取</w:t>
            </w:r>
            <w:r>
              <w:rPr>
                <w:rFonts w:hint="eastAsia"/>
                <w:color w:val="auto"/>
                <w:highlight w:val="none"/>
                <w:lang w:val="en-US" w:eastAsia="zh-CN"/>
              </w:rPr>
              <w:t>上述严格的防渗措施后</w:t>
            </w:r>
            <w:r>
              <w:rPr>
                <w:color w:val="auto"/>
                <w:highlight w:val="none"/>
              </w:rPr>
              <w:t>，</w:t>
            </w:r>
            <w:r>
              <w:rPr>
                <w:rFonts w:hint="eastAsia"/>
                <w:color w:val="auto"/>
                <w:highlight w:val="none"/>
                <w:lang w:val="en-US" w:eastAsia="zh-CN"/>
              </w:rPr>
              <w:t>项目运营期对周边地下水、土壤环境影响较小。</w:t>
            </w:r>
          </w:p>
          <w:p w14:paraId="4DC047ED">
            <w:pPr>
              <w:adjustRightInd w:val="0"/>
              <w:snapToGrid w:val="0"/>
              <w:ind w:firstLine="482"/>
              <w:rPr>
                <w:b/>
                <w:color w:val="auto"/>
                <w:highlight w:val="none"/>
              </w:rPr>
            </w:pPr>
            <w:r>
              <w:rPr>
                <w:b/>
                <w:color w:val="auto"/>
                <w:highlight w:val="none"/>
              </w:rPr>
              <w:t>6、生态环境影响分析</w:t>
            </w:r>
          </w:p>
          <w:p w14:paraId="3EE515B9">
            <w:pPr>
              <w:widowControl/>
              <w:adjustRightInd w:val="0"/>
              <w:snapToGrid w:val="0"/>
              <w:ind w:firstLine="480"/>
              <w:rPr>
                <w:color w:val="auto"/>
                <w:kern w:val="1"/>
                <w:highlight w:val="none"/>
              </w:rPr>
            </w:pPr>
            <w:r>
              <w:rPr>
                <w:color w:val="auto"/>
                <w:kern w:val="1"/>
                <w:highlight w:val="none"/>
              </w:rPr>
              <w:t>本项目位于</w:t>
            </w:r>
            <w:r>
              <w:rPr>
                <w:rFonts w:hint="eastAsia"/>
                <w:color w:val="auto"/>
                <w:kern w:val="1"/>
                <w:highlight w:val="none"/>
                <w:lang w:eastAsia="zh-CN"/>
              </w:rPr>
              <w:t>现有</w:t>
            </w:r>
            <w:r>
              <w:rPr>
                <w:rFonts w:hint="eastAsia"/>
                <w:color w:val="auto"/>
                <w:kern w:val="1"/>
                <w:highlight w:val="none"/>
              </w:rPr>
              <w:t>厂区内</w:t>
            </w:r>
            <w:r>
              <w:rPr>
                <w:rFonts w:hint="eastAsia"/>
                <w:bCs/>
                <w:color w:val="auto"/>
                <w:kern w:val="1"/>
                <w:highlight w:val="none"/>
                <w:lang w:val="en-US" w:eastAsia="zh-CN"/>
              </w:rPr>
              <w:t>建设</w:t>
            </w:r>
            <w:r>
              <w:rPr>
                <w:rFonts w:hint="eastAsia"/>
                <w:color w:val="auto"/>
                <w:kern w:val="1"/>
                <w:highlight w:val="none"/>
              </w:rPr>
              <w:t>，</w:t>
            </w:r>
            <w:r>
              <w:rPr>
                <w:color w:val="auto"/>
                <w:kern w:val="1"/>
                <w:highlight w:val="none"/>
              </w:rPr>
              <w:t>不新增占地，故不对生态环境影响进行分析。</w:t>
            </w:r>
          </w:p>
          <w:p w14:paraId="78EFA757">
            <w:pPr>
              <w:pStyle w:val="22"/>
              <w:ind w:firstLine="482"/>
              <w:rPr>
                <w:b/>
                <w:bCs/>
                <w:color w:val="auto"/>
                <w:highlight w:val="none"/>
              </w:rPr>
            </w:pPr>
            <w:r>
              <w:rPr>
                <w:b/>
                <w:bCs/>
                <w:color w:val="auto"/>
                <w:highlight w:val="none"/>
              </w:rPr>
              <w:t>7、环境风险分析</w:t>
            </w:r>
          </w:p>
          <w:p w14:paraId="6981F36C">
            <w:pPr>
              <w:pStyle w:val="22"/>
              <w:ind w:firstLine="480"/>
              <w:rPr>
                <w:rFonts w:hint="eastAsia" w:cs="Times New Roman"/>
                <w:bCs/>
                <w:color w:val="auto"/>
                <w:kern w:val="1"/>
                <w:sz w:val="24"/>
                <w:szCs w:val="24"/>
                <w:highlight w:val="none"/>
                <w:lang w:val="en-US" w:eastAsia="zh-CN" w:bidi="ar-SA"/>
              </w:rPr>
            </w:pPr>
            <w:r>
              <w:rPr>
                <w:rFonts w:hint="eastAsia" w:cs="Times New Roman"/>
                <w:bCs/>
                <w:color w:val="auto"/>
                <w:kern w:val="1"/>
                <w:sz w:val="24"/>
                <w:szCs w:val="24"/>
                <w:highlight w:val="none"/>
                <w:lang w:val="en-US" w:eastAsia="zh-CN" w:bidi="ar-SA"/>
              </w:rPr>
              <w:t>（1）评价依据</w:t>
            </w:r>
          </w:p>
          <w:p w14:paraId="74EE6DFC">
            <w:pPr>
              <w:pStyle w:val="22"/>
              <w:ind w:firstLine="480"/>
              <w:rPr>
                <w:rFonts w:hint="eastAsia" w:ascii="Times New Roman" w:hAnsi="Times New Roman" w:eastAsia="宋体" w:cs="Times New Roman"/>
                <w:bCs/>
                <w:color w:val="auto"/>
                <w:kern w:val="1"/>
                <w:sz w:val="24"/>
                <w:szCs w:val="24"/>
                <w:highlight w:val="none"/>
                <w:lang w:val="en-US" w:eastAsia="zh-CN" w:bidi="ar-SA"/>
              </w:rPr>
            </w:pPr>
            <w:r>
              <w:rPr>
                <w:rFonts w:hint="eastAsia" w:ascii="Times New Roman" w:hAnsi="Times New Roman" w:eastAsia="宋体" w:cs="Times New Roman"/>
                <w:bCs/>
                <w:color w:val="auto"/>
                <w:kern w:val="1"/>
                <w:sz w:val="24"/>
                <w:szCs w:val="24"/>
                <w:highlight w:val="none"/>
                <w:lang w:val="en-US" w:eastAsia="zh-CN" w:bidi="ar-SA"/>
              </w:rPr>
              <w:t>①风险调查</w:t>
            </w:r>
          </w:p>
          <w:p w14:paraId="5AF40983">
            <w:pPr>
              <w:pStyle w:val="22"/>
              <w:ind w:firstLine="480"/>
              <w:rPr>
                <w:rFonts w:hint="eastAsia" w:ascii="Times New Roman" w:hAnsi="Times New Roman" w:eastAsia="宋体" w:cs="Times New Roman"/>
                <w:bCs/>
                <w:color w:val="auto"/>
                <w:kern w:val="1"/>
                <w:sz w:val="24"/>
                <w:szCs w:val="24"/>
                <w:highlight w:val="none"/>
                <w:lang w:val="en-US" w:eastAsia="zh-CN" w:bidi="ar-SA"/>
              </w:rPr>
            </w:pPr>
            <w:r>
              <w:rPr>
                <w:rFonts w:hint="eastAsia" w:ascii="Times New Roman" w:hAnsi="Times New Roman" w:eastAsia="宋体" w:cs="Times New Roman"/>
                <w:bCs/>
                <w:color w:val="auto"/>
                <w:kern w:val="1"/>
                <w:sz w:val="24"/>
                <w:szCs w:val="24"/>
                <w:highlight w:val="none"/>
                <w:lang w:val="en-US" w:eastAsia="zh-CN" w:bidi="ar-SA"/>
              </w:rPr>
              <w:t>用于暂存</w:t>
            </w:r>
            <w:r>
              <w:rPr>
                <w:rFonts w:hint="eastAsia" w:cs="Times New Roman"/>
                <w:bCs/>
                <w:color w:val="auto"/>
                <w:kern w:val="1"/>
                <w:sz w:val="24"/>
                <w:szCs w:val="24"/>
                <w:highlight w:val="none"/>
                <w:lang w:val="en-US" w:eastAsia="zh-CN" w:bidi="ar-SA"/>
              </w:rPr>
              <w:t>鄂尔多斯市宇驰顺捷汽车销售服务有限公司</w:t>
            </w:r>
            <w:r>
              <w:rPr>
                <w:rFonts w:hint="eastAsia" w:ascii="Times New Roman" w:hAnsi="Times New Roman" w:eastAsia="宋体" w:cs="Times New Roman"/>
                <w:bCs/>
                <w:color w:val="auto"/>
                <w:kern w:val="1"/>
                <w:sz w:val="24"/>
                <w:szCs w:val="24"/>
                <w:highlight w:val="none"/>
                <w:lang w:val="en-US" w:eastAsia="zh-CN" w:bidi="ar-SA"/>
              </w:rPr>
              <w:t>车辆维修过程中产生的</w:t>
            </w:r>
            <w:r>
              <w:rPr>
                <w:rFonts w:hint="eastAsia" w:cs="Times New Roman"/>
                <w:bCs/>
                <w:color w:val="auto"/>
                <w:kern w:val="1"/>
                <w:sz w:val="24"/>
                <w:szCs w:val="24"/>
                <w:highlight w:val="none"/>
                <w:lang w:val="en-US" w:eastAsia="zh-CN" w:bidi="ar-SA"/>
              </w:rPr>
              <w:t>废润滑油</w:t>
            </w:r>
            <w:r>
              <w:rPr>
                <w:rFonts w:hint="eastAsia" w:ascii="Times New Roman" w:hAnsi="Times New Roman" w:eastAsia="宋体" w:cs="Times New Roman"/>
                <w:bCs/>
                <w:color w:val="auto"/>
                <w:kern w:val="1"/>
                <w:sz w:val="24"/>
                <w:szCs w:val="24"/>
                <w:highlight w:val="none"/>
                <w:lang w:val="en-US" w:eastAsia="zh-CN" w:bidi="ar-SA"/>
              </w:rPr>
              <w:t>（HW08</w:t>
            </w:r>
            <w:r>
              <w:rPr>
                <w:rFonts w:hint="eastAsia" w:cs="Times New Roman"/>
                <w:bCs/>
                <w:color w:val="auto"/>
                <w:kern w:val="1"/>
                <w:sz w:val="24"/>
                <w:szCs w:val="24"/>
                <w:highlight w:val="none"/>
                <w:lang w:val="en-US" w:eastAsia="zh-CN" w:bidi="ar-SA"/>
              </w:rPr>
              <w:t>废润滑油</w:t>
            </w:r>
            <w:r>
              <w:rPr>
                <w:rFonts w:hint="eastAsia" w:ascii="Times New Roman" w:hAnsi="Times New Roman" w:eastAsia="宋体" w:cs="Times New Roman"/>
                <w:bCs/>
                <w:color w:val="auto"/>
                <w:kern w:val="1"/>
                <w:sz w:val="24"/>
                <w:szCs w:val="24"/>
                <w:highlight w:val="none"/>
                <w:lang w:val="en-US" w:eastAsia="zh-CN" w:bidi="ar-SA"/>
              </w:rPr>
              <w:t>与含矿物油废物900-21</w:t>
            </w:r>
            <w:r>
              <w:rPr>
                <w:rFonts w:hint="eastAsia" w:cs="Times New Roman"/>
                <w:bCs/>
                <w:color w:val="auto"/>
                <w:kern w:val="1"/>
                <w:sz w:val="24"/>
                <w:szCs w:val="24"/>
                <w:highlight w:val="none"/>
                <w:lang w:val="en-US" w:eastAsia="zh-CN" w:bidi="ar-SA"/>
              </w:rPr>
              <w:t>4</w:t>
            </w:r>
            <w:r>
              <w:rPr>
                <w:rFonts w:hint="eastAsia" w:ascii="Times New Roman" w:hAnsi="Times New Roman" w:eastAsia="宋体" w:cs="Times New Roman"/>
                <w:bCs/>
                <w:color w:val="auto"/>
                <w:kern w:val="1"/>
                <w:sz w:val="24"/>
                <w:szCs w:val="24"/>
                <w:highlight w:val="none"/>
                <w:lang w:val="en-US" w:eastAsia="zh-CN" w:bidi="ar-SA"/>
              </w:rPr>
              <w:t>-08）、废油桶（HW49其他废物-900-041-49），正常生产活动过程中产生的危险废物。结合《建设项目环境风险评价技术导则》（HJ169-2018）附录B、GB3000.18、GB30000.28，项目涉及的危险物质主要为</w:t>
            </w:r>
            <w:r>
              <w:rPr>
                <w:rFonts w:hint="eastAsia" w:cs="Times New Roman"/>
                <w:bCs/>
                <w:color w:val="auto"/>
                <w:kern w:val="1"/>
                <w:sz w:val="24"/>
                <w:szCs w:val="24"/>
                <w:highlight w:val="none"/>
                <w:lang w:val="en-US" w:eastAsia="zh-CN" w:bidi="ar-SA"/>
              </w:rPr>
              <w:t>废润滑油</w:t>
            </w:r>
            <w:r>
              <w:rPr>
                <w:rFonts w:hint="eastAsia" w:ascii="Times New Roman" w:hAnsi="Times New Roman" w:eastAsia="宋体" w:cs="Times New Roman"/>
                <w:bCs/>
                <w:color w:val="auto"/>
                <w:kern w:val="1"/>
                <w:sz w:val="24"/>
                <w:szCs w:val="24"/>
                <w:highlight w:val="none"/>
                <w:lang w:val="en-US" w:eastAsia="zh-CN" w:bidi="ar-SA"/>
              </w:rPr>
              <w:t>，对应的危险性生产系统为</w:t>
            </w:r>
            <w:r>
              <w:rPr>
                <w:rFonts w:hint="eastAsia" w:cs="Times New Roman"/>
                <w:bCs/>
                <w:color w:val="auto"/>
                <w:kern w:val="1"/>
                <w:sz w:val="24"/>
                <w:szCs w:val="24"/>
                <w:highlight w:val="none"/>
                <w:lang w:val="en-US" w:eastAsia="zh-CN" w:bidi="ar-SA"/>
              </w:rPr>
              <w:t>危险废物贮存库</w:t>
            </w:r>
            <w:r>
              <w:rPr>
                <w:rFonts w:hint="eastAsia" w:ascii="Times New Roman" w:hAnsi="Times New Roman" w:eastAsia="宋体" w:cs="Times New Roman"/>
                <w:bCs/>
                <w:color w:val="auto"/>
                <w:kern w:val="1"/>
                <w:sz w:val="24"/>
                <w:szCs w:val="24"/>
                <w:highlight w:val="none"/>
                <w:lang w:val="en-US" w:eastAsia="zh-CN" w:bidi="ar-SA"/>
              </w:rPr>
              <w:t>。</w:t>
            </w:r>
          </w:p>
          <w:p w14:paraId="750C3975">
            <w:pPr>
              <w:pStyle w:val="22"/>
              <w:ind w:firstLine="480"/>
              <w:rPr>
                <w:rFonts w:hint="eastAsia" w:ascii="Times New Roman" w:hAnsi="Times New Roman" w:eastAsia="宋体" w:cs="Times New Roman"/>
                <w:bCs/>
                <w:color w:val="auto"/>
                <w:kern w:val="1"/>
                <w:sz w:val="24"/>
                <w:szCs w:val="24"/>
                <w:highlight w:val="none"/>
                <w:lang w:val="en-US" w:eastAsia="zh-CN" w:bidi="ar-SA"/>
              </w:rPr>
            </w:pPr>
            <w:r>
              <w:rPr>
                <w:rFonts w:hint="eastAsia" w:ascii="Times New Roman" w:hAnsi="Times New Roman" w:eastAsia="宋体" w:cs="Times New Roman"/>
                <w:bCs/>
                <w:color w:val="auto"/>
                <w:kern w:val="1"/>
                <w:sz w:val="24"/>
                <w:szCs w:val="24"/>
                <w:highlight w:val="none"/>
                <w:lang w:val="en-US" w:eastAsia="zh-CN" w:bidi="ar-SA"/>
              </w:rPr>
              <w:t>②风险潜势初判</w:t>
            </w:r>
          </w:p>
          <w:p w14:paraId="3A6DC465">
            <w:pPr>
              <w:pStyle w:val="22"/>
              <w:ind w:firstLine="480"/>
              <w:rPr>
                <w:rFonts w:hint="eastAsia" w:ascii="Times New Roman" w:hAnsi="Times New Roman" w:eastAsia="宋体" w:cs="Times New Roman"/>
                <w:bCs/>
                <w:color w:val="auto"/>
                <w:kern w:val="1"/>
                <w:sz w:val="24"/>
                <w:szCs w:val="24"/>
                <w:highlight w:val="none"/>
                <w:lang w:val="en-US" w:eastAsia="zh-CN" w:bidi="ar-SA"/>
              </w:rPr>
            </w:pPr>
            <w:r>
              <w:rPr>
                <w:rFonts w:hint="eastAsia" w:ascii="Times New Roman" w:hAnsi="Times New Roman" w:eastAsia="宋体" w:cs="Times New Roman"/>
                <w:bCs/>
                <w:color w:val="auto"/>
                <w:kern w:val="1"/>
                <w:sz w:val="24"/>
                <w:szCs w:val="24"/>
                <w:highlight w:val="none"/>
                <w:lang w:val="en-US" w:eastAsia="zh-CN" w:bidi="ar-SA"/>
              </w:rPr>
              <w:t>危险物质数量与临界量比值（Q）</w:t>
            </w:r>
          </w:p>
          <w:p w14:paraId="44D56968">
            <w:pPr>
              <w:pStyle w:val="22"/>
              <w:ind w:firstLine="480"/>
              <w:rPr>
                <w:rFonts w:hint="eastAsia" w:ascii="Times New Roman" w:hAnsi="Times New Roman" w:eastAsia="宋体" w:cs="Times New Roman"/>
                <w:bCs/>
                <w:color w:val="auto"/>
                <w:kern w:val="1"/>
                <w:sz w:val="24"/>
                <w:szCs w:val="24"/>
                <w:highlight w:val="none"/>
                <w:lang w:val="en-US" w:eastAsia="zh-CN" w:bidi="ar-SA"/>
              </w:rPr>
            </w:pPr>
            <w:r>
              <w:rPr>
                <w:rFonts w:hint="eastAsia" w:ascii="Times New Roman" w:hAnsi="Times New Roman" w:eastAsia="宋体" w:cs="Times New Roman"/>
                <w:bCs/>
                <w:color w:val="auto"/>
                <w:kern w:val="1"/>
                <w:sz w:val="24"/>
                <w:szCs w:val="24"/>
                <w:highlight w:val="none"/>
                <w:lang w:val="en-US" w:eastAsia="zh-CN" w:bidi="ar-SA"/>
              </w:rPr>
              <w:t>计算所涉及的每种危险物质在厂界内的最大存在总量与其在附录B中对应临界量的比值Q。在不同站区的同一种物质，按其在厂界内的最大存在总量计算。</w:t>
            </w:r>
          </w:p>
          <w:p w14:paraId="1394628B">
            <w:pPr>
              <w:pStyle w:val="22"/>
              <w:ind w:firstLine="480"/>
              <w:rPr>
                <w:rFonts w:hint="eastAsia" w:ascii="Times New Roman" w:hAnsi="Times New Roman" w:eastAsia="宋体" w:cs="Times New Roman"/>
                <w:bCs/>
                <w:color w:val="auto"/>
                <w:kern w:val="1"/>
                <w:sz w:val="24"/>
                <w:szCs w:val="24"/>
                <w:highlight w:val="none"/>
                <w:lang w:val="en-US" w:eastAsia="zh-CN" w:bidi="ar-SA"/>
              </w:rPr>
            </w:pPr>
            <w:r>
              <w:rPr>
                <w:rFonts w:hint="eastAsia" w:ascii="Times New Roman" w:hAnsi="Times New Roman" w:eastAsia="宋体" w:cs="Times New Roman"/>
                <w:bCs/>
                <w:color w:val="auto"/>
                <w:kern w:val="1"/>
                <w:sz w:val="24"/>
                <w:szCs w:val="24"/>
                <w:highlight w:val="none"/>
                <w:lang w:val="en-US" w:eastAsia="zh-CN" w:bidi="ar-SA"/>
              </w:rPr>
              <w:t>当只涉及一种危险物质时，计算该物质的总量与其临界量比值，即为Q；</w:t>
            </w:r>
          </w:p>
          <w:p w14:paraId="27C4B379">
            <w:pPr>
              <w:pStyle w:val="22"/>
              <w:ind w:firstLine="0" w:firstLineChars="0"/>
              <w:rPr>
                <w:rFonts w:hint="eastAsia" w:ascii="Times New Roman" w:hAnsi="Times New Roman" w:eastAsia="宋体" w:cs="Times New Roman"/>
                <w:bCs/>
                <w:color w:val="auto"/>
                <w:kern w:val="1"/>
                <w:sz w:val="24"/>
                <w:szCs w:val="24"/>
                <w:highlight w:val="none"/>
                <w:lang w:val="en-US" w:eastAsia="zh-CN" w:bidi="ar-SA"/>
              </w:rPr>
            </w:pPr>
            <w:r>
              <w:rPr>
                <w:rFonts w:hint="eastAsia" w:ascii="Times New Roman" w:hAnsi="Times New Roman" w:eastAsia="宋体" w:cs="Times New Roman"/>
                <w:bCs/>
                <w:color w:val="auto"/>
                <w:kern w:val="1"/>
                <w:sz w:val="24"/>
                <w:szCs w:val="24"/>
                <w:highlight w:val="none"/>
                <w:lang w:val="en-US" w:eastAsia="zh-CN" w:bidi="ar-SA"/>
              </w:rPr>
              <w:t>当存在多种危险物质时，则按下式计算物质总量与其临界量比值（Q）；</w:t>
            </w:r>
          </w:p>
          <w:p w14:paraId="17CCC996">
            <w:pPr>
              <w:pStyle w:val="22"/>
              <w:ind w:firstLine="480"/>
              <w:jc w:val="center"/>
              <w:rPr>
                <w:rFonts w:hint="eastAsia" w:ascii="Times New Roman" w:hAnsi="Times New Roman" w:eastAsia="宋体" w:cs="Times New Roman"/>
                <w:bCs/>
                <w:color w:val="auto"/>
                <w:kern w:val="1"/>
                <w:sz w:val="24"/>
                <w:szCs w:val="24"/>
                <w:highlight w:val="none"/>
                <w:lang w:val="en-US" w:eastAsia="zh-CN" w:bidi="ar-SA"/>
              </w:rPr>
            </w:pPr>
            <w:r>
              <w:rPr>
                <w:rFonts w:hint="eastAsia" w:ascii="Times New Roman" w:hAnsi="Times New Roman" w:eastAsia="宋体" w:cs="Times New Roman"/>
                <w:bCs/>
                <w:color w:val="auto"/>
                <w:kern w:val="1"/>
                <w:sz w:val="24"/>
                <w:szCs w:val="24"/>
                <w:highlight w:val="none"/>
                <w:lang w:val="en-US" w:eastAsia="zh-CN" w:bidi="ar-SA"/>
              </w:rPr>
              <w:t>Q=q1/Q1+q2/Q2+…+qn/Qn</w:t>
            </w:r>
          </w:p>
          <w:p w14:paraId="31F42DA0">
            <w:pPr>
              <w:pStyle w:val="22"/>
              <w:ind w:firstLine="480"/>
              <w:rPr>
                <w:rFonts w:hint="eastAsia" w:ascii="Times New Roman" w:hAnsi="Times New Roman" w:eastAsia="宋体" w:cs="Times New Roman"/>
                <w:bCs/>
                <w:color w:val="auto"/>
                <w:kern w:val="1"/>
                <w:sz w:val="24"/>
                <w:szCs w:val="24"/>
                <w:highlight w:val="none"/>
                <w:lang w:val="en-US" w:eastAsia="zh-CN" w:bidi="ar-SA"/>
              </w:rPr>
            </w:pPr>
            <w:r>
              <w:rPr>
                <w:rFonts w:hint="eastAsia" w:ascii="Times New Roman" w:hAnsi="Times New Roman" w:eastAsia="宋体" w:cs="Times New Roman"/>
                <w:bCs/>
                <w:color w:val="auto"/>
                <w:kern w:val="1"/>
                <w:sz w:val="24"/>
                <w:szCs w:val="24"/>
                <w:highlight w:val="none"/>
                <w:lang w:val="en-US" w:eastAsia="zh-CN" w:bidi="ar-SA"/>
              </w:rPr>
              <w:t>式中：</w:t>
            </w:r>
          </w:p>
          <w:p w14:paraId="5BA1A640">
            <w:pPr>
              <w:pStyle w:val="22"/>
              <w:ind w:firstLine="480"/>
              <w:rPr>
                <w:rFonts w:hint="eastAsia" w:ascii="Times New Roman" w:hAnsi="Times New Roman" w:eastAsia="宋体" w:cs="Times New Roman"/>
                <w:bCs/>
                <w:color w:val="auto"/>
                <w:kern w:val="1"/>
                <w:sz w:val="24"/>
                <w:szCs w:val="24"/>
                <w:highlight w:val="none"/>
                <w:lang w:val="en-US" w:eastAsia="zh-CN" w:bidi="ar-SA"/>
              </w:rPr>
            </w:pPr>
            <w:r>
              <w:rPr>
                <w:rFonts w:hint="eastAsia" w:ascii="Times New Roman" w:hAnsi="Times New Roman" w:eastAsia="宋体" w:cs="Times New Roman"/>
                <w:bCs/>
                <w:color w:val="auto"/>
                <w:kern w:val="1"/>
                <w:sz w:val="24"/>
                <w:szCs w:val="24"/>
                <w:highlight w:val="none"/>
                <w:lang w:val="en-US" w:eastAsia="zh-CN" w:bidi="ar-SA"/>
              </w:rPr>
              <w:t>q1，q2，…，qn———每种危险物质的最大存在量，ｔ；</w:t>
            </w:r>
          </w:p>
          <w:p w14:paraId="120B0DD4">
            <w:pPr>
              <w:pStyle w:val="22"/>
              <w:ind w:firstLine="480"/>
              <w:rPr>
                <w:rFonts w:hint="eastAsia" w:ascii="Times New Roman" w:hAnsi="Times New Roman" w:eastAsia="宋体" w:cs="Times New Roman"/>
                <w:bCs/>
                <w:color w:val="auto"/>
                <w:kern w:val="1"/>
                <w:sz w:val="24"/>
                <w:szCs w:val="24"/>
                <w:highlight w:val="none"/>
                <w:lang w:val="en-US" w:eastAsia="zh-CN" w:bidi="ar-SA"/>
              </w:rPr>
            </w:pPr>
            <w:r>
              <w:rPr>
                <w:rFonts w:hint="eastAsia" w:ascii="Times New Roman" w:hAnsi="Times New Roman" w:eastAsia="宋体" w:cs="Times New Roman"/>
                <w:bCs/>
                <w:color w:val="auto"/>
                <w:kern w:val="1"/>
                <w:sz w:val="24"/>
                <w:szCs w:val="24"/>
                <w:highlight w:val="none"/>
                <w:lang w:val="en-US" w:eastAsia="zh-CN" w:bidi="ar-SA"/>
              </w:rPr>
              <w:t>Q1，Q2，…，Qn———每种危险物质的临界量，ｔ。</w:t>
            </w:r>
          </w:p>
          <w:p w14:paraId="015C3B16">
            <w:pPr>
              <w:pStyle w:val="22"/>
              <w:ind w:firstLine="480"/>
              <w:rPr>
                <w:rFonts w:hint="eastAsia" w:ascii="Times New Roman" w:hAnsi="Times New Roman" w:eastAsia="宋体" w:cs="Times New Roman"/>
                <w:bCs/>
                <w:color w:val="auto"/>
                <w:kern w:val="1"/>
                <w:sz w:val="24"/>
                <w:szCs w:val="24"/>
                <w:highlight w:val="none"/>
                <w:lang w:val="en-US" w:eastAsia="zh-CN" w:bidi="ar-SA"/>
              </w:rPr>
            </w:pPr>
            <w:r>
              <w:rPr>
                <w:rFonts w:hint="eastAsia" w:ascii="Times New Roman" w:hAnsi="Times New Roman" w:eastAsia="宋体" w:cs="Times New Roman"/>
                <w:bCs/>
                <w:color w:val="auto"/>
                <w:kern w:val="1"/>
                <w:sz w:val="24"/>
                <w:szCs w:val="24"/>
                <w:highlight w:val="none"/>
                <w:lang w:val="en-US" w:eastAsia="zh-CN" w:bidi="ar-SA"/>
              </w:rPr>
              <w:t>当Q＜1时，该项目环境风险潜势为Ⅰ。</w:t>
            </w:r>
          </w:p>
          <w:p w14:paraId="532A0933">
            <w:pPr>
              <w:pStyle w:val="22"/>
              <w:ind w:firstLine="480"/>
              <w:rPr>
                <w:rFonts w:hint="eastAsia" w:ascii="Times New Roman" w:hAnsi="Times New Roman" w:eastAsia="宋体" w:cs="Times New Roman"/>
                <w:bCs/>
                <w:color w:val="auto"/>
                <w:kern w:val="1"/>
                <w:sz w:val="24"/>
                <w:szCs w:val="24"/>
                <w:highlight w:val="none"/>
                <w:lang w:val="en-US" w:eastAsia="zh-CN" w:bidi="ar-SA"/>
              </w:rPr>
            </w:pPr>
            <w:r>
              <w:rPr>
                <w:rFonts w:hint="eastAsia" w:ascii="Times New Roman" w:hAnsi="Times New Roman" w:eastAsia="宋体" w:cs="Times New Roman"/>
                <w:bCs/>
                <w:color w:val="auto"/>
                <w:kern w:val="1"/>
                <w:sz w:val="24"/>
                <w:szCs w:val="24"/>
                <w:highlight w:val="none"/>
                <w:lang w:val="en-US" w:eastAsia="zh-CN" w:bidi="ar-SA"/>
              </w:rPr>
              <w:t>当Q≥1时，将Q值划分为：（1）1≤Q＜10；（2）10≤Q＜100；（3）Q≥100。</w:t>
            </w:r>
          </w:p>
          <w:p w14:paraId="1ED024D3">
            <w:pPr>
              <w:pStyle w:val="22"/>
              <w:ind w:left="0" w:leftChars="0" w:firstLine="0" w:firstLineChars="0"/>
              <w:jc w:val="center"/>
              <w:rPr>
                <w:rFonts w:hint="eastAsia" w:ascii="Times New Roman" w:hAnsi="Times New Roman" w:eastAsia="宋体" w:cs="Times New Roman"/>
                <w:b/>
                <w:bCs w:val="0"/>
                <w:color w:val="auto"/>
                <w:kern w:val="1"/>
                <w:sz w:val="24"/>
                <w:szCs w:val="24"/>
                <w:highlight w:val="none"/>
                <w:lang w:val="en-US" w:eastAsia="zh-CN" w:bidi="ar-SA"/>
              </w:rPr>
            </w:pPr>
            <w:r>
              <w:rPr>
                <w:rFonts w:hint="eastAsia" w:ascii="Times New Roman" w:hAnsi="Times New Roman" w:eastAsia="宋体" w:cs="Times New Roman"/>
                <w:b/>
                <w:bCs w:val="0"/>
                <w:color w:val="auto"/>
                <w:kern w:val="1"/>
                <w:sz w:val="24"/>
                <w:szCs w:val="24"/>
                <w:highlight w:val="none"/>
                <w:lang w:val="en-US" w:eastAsia="zh-CN" w:bidi="ar-SA"/>
              </w:rPr>
              <w:t>表4-5危险物质数量与临界量比值判定结果</w:t>
            </w:r>
          </w:p>
          <w:tbl>
            <w:tblPr>
              <w:tblStyle w:val="14"/>
              <w:tblW w:w="80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0"/>
              <w:gridCol w:w="1280"/>
              <w:gridCol w:w="1667"/>
              <w:gridCol w:w="2020"/>
              <w:gridCol w:w="1069"/>
            </w:tblGrid>
            <w:tr w14:paraId="0EB50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99" w:hRule="atLeast"/>
                <w:jc w:val="center"/>
              </w:trPr>
              <w:tc>
                <w:tcPr>
                  <w:tcW w:w="1244" w:type="pct"/>
                  <w:noWrap w:val="0"/>
                  <w:vAlign w:val="center"/>
                </w:tcPr>
                <w:p w14:paraId="594B79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名称</w:t>
                  </w:r>
                </w:p>
              </w:tc>
              <w:tc>
                <w:tcPr>
                  <w:tcW w:w="796" w:type="pct"/>
                  <w:noWrap w:val="0"/>
                  <w:vAlign w:val="center"/>
                </w:tcPr>
                <w:p w14:paraId="143033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临界量t</w:t>
                  </w:r>
                </w:p>
              </w:tc>
              <w:tc>
                <w:tcPr>
                  <w:tcW w:w="1036" w:type="pct"/>
                  <w:noWrap w:val="0"/>
                  <w:vAlign w:val="center"/>
                </w:tcPr>
                <w:p w14:paraId="0023CE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最大暂存量t</w:t>
                  </w:r>
                </w:p>
              </w:tc>
              <w:tc>
                <w:tcPr>
                  <w:tcW w:w="1257" w:type="pct"/>
                  <w:noWrap w:val="0"/>
                  <w:vAlign w:val="center"/>
                </w:tcPr>
                <w:p w14:paraId="020E42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危险物质数量与临界量比值Q</w:t>
                  </w:r>
                </w:p>
              </w:tc>
              <w:tc>
                <w:tcPr>
                  <w:tcW w:w="665" w:type="pct"/>
                  <w:noWrap w:val="0"/>
                  <w:vAlign w:val="center"/>
                </w:tcPr>
                <w:p w14:paraId="132015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判定结果</w:t>
                  </w:r>
                </w:p>
              </w:tc>
            </w:tr>
            <w:tr w14:paraId="208B0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1244" w:type="pct"/>
                  <w:noWrap w:val="0"/>
                  <w:vAlign w:val="center"/>
                </w:tcPr>
                <w:p w14:paraId="2BF69A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HW08</w:t>
                  </w:r>
                  <w:r>
                    <w:rPr>
                      <w:rFonts w:hint="eastAsia" w:cs="Times New Roman"/>
                      <w:color w:val="auto"/>
                      <w:highlight w:val="none"/>
                      <w:lang w:eastAsia="zh-CN"/>
                    </w:rPr>
                    <w:t>废润滑油</w:t>
                  </w:r>
                  <w:r>
                    <w:rPr>
                      <w:rFonts w:hint="eastAsia" w:ascii="Times New Roman" w:hAnsi="Times New Roman" w:eastAsia="宋体" w:cs="Times New Roman"/>
                      <w:color w:val="auto"/>
                      <w:highlight w:val="none"/>
                    </w:rPr>
                    <w:t>与含矿物油废物</w:t>
                  </w:r>
                </w:p>
              </w:tc>
              <w:tc>
                <w:tcPr>
                  <w:tcW w:w="796" w:type="pct"/>
                  <w:noWrap w:val="0"/>
                  <w:vAlign w:val="center"/>
                </w:tcPr>
                <w:p w14:paraId="7DD66A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2500</w:t>
                  </w:r>
                </w:p>
              </w:tc>
              <w:tc>
                <w:tcPr>
                  <w:tcW w:w="1036" w:type="pct"/>
                  <w:noWrap w:val="0"/>
                  <w:vAlign w:val="center"/>
                </w:tcPr>
                <w:p w14:paraId="3F4A51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2.025</w:t>
                  </w:r>
                </w:p>
              </w:tc>
              <w:tc>
                <w:tcPr>
                  <w:tcW w:w="1257" w:type="pct"/>
                  <w:noWrap w:val="0"/>
                  <w:vAlign w:val="center"/>
                </w:tcPr>
                <w:p w14:paraId="3594DF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rPr>
                    <w:t>0.000</w:t>
                  </w:r>
                  <w:r>
                    <w:rPr>
                      <w:rFonts w:hint="eastAsia" w:cs="Times New Roman"/>
                      <w:color w:val="auto"/>
                      <w:highlight w:val="none"/>
                      <w:lang w:val="en-US" w:eastAsia="zh-CN"/>
                    </w:rPr>
                    <w:t>81</w:t>
                  </w:r>
                </w:p>
              </w:tc>
              <w:tc>
                <w:tcPr>
                  <w:tcW w:w="665" w:type="pct"/>
                  <w:noWrap w:val="0"/>
                  <w:vAlign w:val="center"/>
                </w:tcPr>
                <w:p w14:paraId="2F4196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Q＜1</w:t>
                  </w:r>
                </w:p>
              </w:tc>
            </w:tr>
            <w:tr w14:paraId="2886B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3077" w:type="pct"/>
                  <w:gridSpan w:val="3"/>
                  <w:noWrap w:val="0"/>
                  <w:vAlign w:val="center"/>
                </w:tcPr>
                <w:p w14:paraId="6DF49BA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合计</w:t>
                  </w:r>
                </w:p>
              </w:tc>
              <w:tc>
                <w:tcPr>
                  <w:tcW w:w="1257" w:type="pct"/>
                  <w:noWrap w:val="0"/>
                  <w:vAlign w:val="center"/>
                </w:tcPr>
                <w:p w14:paraId="4CA287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rPr>
                    <w:t>0.000</w:t>
                  </w:r>
                  <w:r>
                    <w:rPr>
                      <w:rFonts w:hint="eastAsia" w:cs="Times New Roman"/>
                      <w:color w:val="auto"/>
                      <w:highlight w:val="none"/>
                      <w:lang w:val="en-US" w:eastAsia="zh-CN"/>
                    </w:rPr>
                    <w:t>81</w:t>
                  </w:r>
                </w:p>
              </w:tc>
              <w:tc>
                <w:tcPr>
                  <w:tcW w:w="665" w:type="pct"/>
                  <w:noWrap w:val="0"/>
                  <w:vAlign w:val="center"/>
                </w:tcPr>
                <w:p w14:paraId="78DB21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Q＜1</w:t>
                  </w:r>
                </w:p>
              </w:tc>
            </w:tr>
          </w:tbl>
          <w:p w14:paraId="437EDCC3">
            <w:pPr>
              <w:bidi w:val="0"/>
              <w:rPr>
                <w:color w:val="auto"/>
                <w:highlight w:val="none"/>
              </w:rPr>
            </w:pPr>
            <w:r>
              <w:rPr>
                <w:color w:val="auto"/>
                <w:highlight w:val="none"/>
              </w:rPr>
              <w:t>根据《建设项目环境风险评价技术导则》（HJ169-2018）附录B中C.1.1，项目风险物质总计Q=</w:t>
            </w:r>
            <w:r>
              <w:rPr>
                <w:rFonts w:hint="eastAsia"/>
                <w:color w:val="auto"/>
                <w:highlight w:val="none"/>
              </w:rPr>
              <w:t>0.000</w:t>
            </w:r>
            <w:r>
              <w:rPr>
                <w:rFonts w:hint="eastAsia"/>
                <w:color w:val="auto"/>
                <w:highlight w:val="none"/>
                <w:lang w:val="en-US" w:eastAsia="zh-CN"/>
              </w:rPr>
              <w:t>81</w:t>
            </w:r>
            <w:r>
              <w:rPr>
                <w:color w:val="auto"/>
                <w:highlight w:val="none"/>
              </w:rPr>
              <w:t>＜1，可直接判定环境潜势为</w:t>
            </w:r>
            <w:r>
              <w:rPr>
                <w:color w:val="auto"/>
                <w:highlight w:val="none"/>
              </w:rPr>
              <w:fldChar w:fldCharType="begin"/>
            </w:r>
            <w:r>
              <w:rPr>
                <w:color w:val="auto"/>
                <w:highlight w:val="none"/>
              </w:rPr>
              <w:instrText xml:space="preserve"> = 1 \* ROMAN </w:instrText>
            </w:r>
            <w:r>
              <w:rPr>
                <w:color w:val="auto"/>
                <w:highlight w:val="none"/>
              </w:rPr>
              <w:fldChar w:fldCharType="separate"/>
            </w:r>
            <w:r>
              <w:rPr>
                <w:color w:val="auto"/>
                <w:highlight w:val="none"/>
              </w:rPr>
              <w:t>I</w:t>
            </w:r>
            <w:r>
              <w:rPr>
                <w:color w:val="auto"/>
                <w:highlight w:val="none"/>
              </w:rPr>
              <w:fldChar w:fldCharType="end"/>
            </w:r>
            <w:r>
              <w:rPr>
                <w:color w:val="auto"/>
                <w:highlight w:val="none"/>
              </w:rPr>
              <w:t>。</w:t>
            </w:r>
          </w:p>
          <w:p w14:paraId="56945CD0">
            <w:pPr>
              <w:bidi w:val="0"/>
              <w:rPr>
                <w:color w:val="auto"/>
                <w:highlight w:val="none"/>
              </w:rPr>
            </w:pPr>
            <w:r>
              <w:rPr>
                <w:rFonts w:hint="eastAsia"/>
                <w:color w:val="auto"/>
                <w:highlight w:val="none"/>
              </w:rPr>
              <w:t>③</w:t>
            </w:r>
            <w:r>
              <w:rPr>
                <w:color w:val="auto"/>
                <w:highlight w:val="none"/>
              </w:rPr>
              <w:t>评价工作等级划分</w:t>
            </w:r>
          </w:p>
          <w:p w14:paraId="7239FA35">
            <w:pPr>
              <w:adjustRightInd w:val="0"/>
              <w:snapToGrid w:val="0"/>
              <w:ind w:firstLine="482"/>
              <w:jc w:val="center"/>
              <w:rPr>
                <w:rFonts w:hint="eastAsia" w:ascii="Times New Roman" w:hAnsi="Times New Roman" w:eastAsia="宋体" w:cs="Times New Roman"/>
                <w:b/>
                <w:bCs w:val="0"/>
                <w:color w:val="auto"/>
                <w:kern w:val="1"/>
                <w:sz w:val="24"/>
                <w:szCs w:val="24"/>
                <w:highlight w:val="none"/>
                <w:lang w:val="en-US" w:eastAsia="zh-CN" w:bidi="ar-SA"/>
              </w:rPr>
            </w:pPr>
            <w:r>
              <w:rPr>
                <w:rFonts w:hint="eastAsia" w:ascii="Times New Roman" w:hAnsi="Times New Roman" w:eastAsia="宋体" w:cs="Times New Roman"/>
                <w:b/>
                <w:bCs w:val="0"/>
                <w:color w:val="auto"/>
                <w:kern w:val="1"/>
                <w:sz w:val="24"/>
                <w:szCs w:val="24"/>
                <w:highlight w:val="none"/>
                <w:lang w:val="en-US" w:eastAsia="zh-CN" w:bidi="ar-SA"/>
              </w:rPr>
              <w:t>表4-6评价工作等级划分</w:t>
            </w:r>
          </w:p>
          <w:tbl>
            <w:tblPr>
              <w:tblStyle w:val="14"/>
              <w:tblW w:w="79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7"/>
              <w:gridCol w:w="1559"/>
              <w:gridCol w:w="1554"/>
              <w:gridCol w:w="1554"/>
              <w:gridCol w:w="1483"/>
            </w:tblGrid>
            <w:tr w14:paraId="14E79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35" w:type="pct"/>
                  <w:shd w:val="clear" w:color="auto" w:fill="auto"/>
                  <w:noWrap w:val="0"/>
                  <w:vAlign w:val="center"/>
                </w:tcPr>
                <w:p w14:paraId="57AA51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环境风险潜势</w:t>
                  </w:r>
                </w:p>
              </w:tc>
              <w:tc>
                <w:tcPr>
                  <w:tcW w:w="979" w:type="pct"/>
                  <w:shd w:val="clear" w:color="auto" w:fill="auto"/>
                  <w:noWrap w:val="0"/>
                  <w:vAlign w:val="center"/>
                </w:tcPr>
                <w:p w14:paraId="1DDCA5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fldChar w:fldCharType="begin"/>
                  </w:r>
                  <w:r>
                    <w:rPr>
                      <w:rFonts w:hint="eastAsia" w:ascii="Times New Roman" w:hAnsi="Times New Roman" w:eastAsia="宋体" w:cs="Times New Roman"/>
                      <w:color w:val="auto"/>
                      <w:highlight w:val="none"/>
                    </w:rPr>
                    <w:instrText xml:space="preserve"> = 4 \* ROMAN </w:instrText>
                  </w:r>
                  <w:r>
                    <w:rPr>
                      <w:rFonts w:hint="eastAsia" w:ascii="Times New Roman" w:hAnsi="Times New Roman" w:eastAsia="宋体" w:cs="Times New Roman"/>
                      <w:color w:val="auto"/>
                      <w:highlight w:val="none"/>
                    </w:rPr>
                    <w:fldChar w:fldCharType="separate"/>
                  </w:r>
                  <w:r>
                    <w:rPr>
                      <w:rFonts w:hint="eastAsia" w:ascii="Times New Roman" w:hAnsi="Times New Roman" w:eastAsia="宋体" w:cs="Times New Roman"/>
                      <w:color w:val="auto"/>
                      <w:highlight w:val="none"/>
                    </w:rPr>
                    <w:t>IV</w:t>
                  </w:r>
                  <w:r>
                    <w:rPr>
                      <w:rFonts w:hint="eastAsia" w:ascii="Times New Roman" w:hAnsi="Times New Roman" w:eastAsia="宋体" w:cs="Times New Roman"/>
                      <w:color w:val="auto"/>
                      <w:highlight w:val="none"/>
                    </w:rPr>
                    <w:fldChar w:fldCharType="end"/>
                  </w:r>
                  <w:r>
                    <w:rPr>
                      <w:rFonts w:hint="eastAsia" w:ascii="Times New Roman" w:hAnsi="Times New Roman" w:eastAsia="宋体" w:cs="Times New Roman"/>
                      <w:color w:val="auto"/>
                      <w:highlight w:val="none"/>
                    </w:rPr>
                    <w:t>、</w:t>
                  </w:r>
                  <w:r>
                    <w:rPr>
                      <w:rFonts w:hint="eastAsia" w:ascii="Times New Roman" w:hAnsi="Times New Roman" w:eastAsia="宋体" w:cs="Times New Roman"/>
                      <w:color w:val="auto"/>
                      <w:highlight w:val="none"/>
                    </w:rPr>
                    <w:fldChar w:fldCharType="begin"/>
                  </w:r>
                  <w:r>
                    <w:rPr>
                      <w:rFonts w:hint="eastAsia" w:ascii="Times New Roman" w:hAnsi="Times New Roman" w:eastAsia="宋体" w:cs="Times New Roman"/>
                      <w:color w:val="auto"/>
                      <w:highlight w:val="none"/>
                    </w:rPr>
                    <w:instrText xml:space="preserve"> = 4 \* ROMAN </w:instrText>
                  </w:r>
                  <w:r>
                    <w:rPr>
                      <w:rFonts w:hint="eastAsia" w:ascii="Times New Roman" w:hAnsi="Times New Roman" w:eastAsia="宋体" w:cs="Times New Roman"/>
                      <w:color w:val="auto"/>
                      <w:highlight w:val="none"/>
                    </w:rPr>
                    <w:fldChar w:fldCharType="separate"/>
                  </w:r>
                  <w:r>
                    <w:rPr>
                      <w:rFonts w:hint="eastAsia" w:ascii="Times New Roman" w:hAnsi="Times New Roman" w:eastAsia="宋体" w:cs="Times New Roman"/>
                      <w:color w:val="auto"/>
                      <w:highlight w:val="none"/>
                    </w:rPr>
                    <w:t>IV</w:t>
                  </w:r>
                  <w:r>
                    <w:rPr>
                      <w:rFonts w:hint="eastAsia" w:ascii="Times New Roman" w:hAnsi="Times New Roman" w:eastAsia="宋体" w:cs="Times New Roman"/>
                      <w:color w:val="auto"/>
                      <w:highlight w:val="none"/>
                    </w:rPr>
                    <w:fldChar w:fldCharType="end"/>
                  </w:r>
                  <w:r>
                    <w:rPr>
                      <w:rFonts w:hint="eastAsia" w:ascii="Times New Roman" w:hAnsi="Times New Roman" w:eastAsia="宋体" w:cs="Times New Roman"/>
                      <w:color w:val="auto"/>
                      <w:highlight w:val="none"/>
                    </w:rPr>
                    <w:t>+</w:t>
                  </w:r>
                </w:p>
              </w:tc>
              <w:tc>
                <w:tcPr>
                  <w:tcW w:w="976" w:type="pct"/>
                  <w:shd w:val="clear" w:color="auto" w:fill="auto"/>
                  <w:noWrap w:val="0"/>
                  <w:vAlign w:val="center"/>
                </w:tcPr>
                <w:p w14:paraId="138094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fldChar w:fldCharType="begin"/>
                  </w:r>
                  <w:r>
                    <w:rPr>
                      <w:rFonts w:hint="eastAsia" w:ascii="Times New Roman" w:hAnsi="Times New Roman" w:eastAsia="宋体" w:cs="Times New Roman"/>
                      <w:color w:val="auto"/>
                      <w:highlight w:val="none"/>
                    </w:rPr>
                    <w:instrText xml:space="preserve"> = 3 \* ROMAN </w:instrText>
                  </w:r>
                  <w:r>
                    <w:rPr>
                      <w:rFonts w:hint="eastAsia" w:ascii="Times New Roman" w:hAnsi="Times New Roman" w:eastAsia="宋体" w:cs="Times New Roman"/>
                      <w:color w:val="auto"/>
                      <w:highlight w:val="none"/>
                    </w:rPr>
                    <w:fldChar w:fldCharType="separate"/>
                  </w:r>
                  <w:r>
                    <w:rPr>
                      <w:rFonts w:hint="eastAsia" w:ascii="Times New Roman" w:hAnsi="Times New Roman" w:eastAsia="宋体" w:cs="Times New Roman"/>
                      <w:color w:val="auto"/>
                      <w:highlight w:val="none"/>
                    </w:rPr>
                    <w:t>III</w:t>
                  </w:r>
                  <w:r>
                    <w:rPr>
                      <w:rFonts w:hint="eastAsia" w:ascii="Times New Roman" w:hAnsi="Times New Roman" w:eastAsia="宋体" w:cs="Times New Roman"/>
                      <w:color w:val="auto"/>
                      <w:highlight w:val="none"/>
                    </w:rPr>
                    <w:fldChar w:fldCharType="end"/>
                  </w:r>
                </w:p>
              </w:tc>
              <w:tc>
                <w:tcPr>
                  <w:tcW w:w="976" w:type="pct"/>
                  <w:shd w:val="clear" w:color="auto" w:fill="auto"/>
                  <w:noWrap w:val="0"/>
                  <w:vAlign w:val="center"/>
                </w:tcPr>
                <w:p w14:paraId="41E9D7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fldChar w:fldCharType="begin"/>
                  </w:r>
                  <w:r>
                    <w:rPr>
                      <w:rFonts w:hint="eastAsia" w:ascii="Times New Roman" w:hAnsi="Times New Roman" w:eastAsia="宋体" w:cs="Times New Roman"/>
                      <w:color w:val="auto"/>
                      <w:highlight w:val="none"/>
                    </w:rPr>
                    <w:instrText xml:space="preserve"> = 2 \* ROMAN </w:instrText>
                  </w:r>
                  <w:r>
                    <w:rPr>
                      <w:rFonts w:hint="eastAsia" w:ascii="Times New Roman" w:hAnsi="Times New Roman" w:eastAsia="宋体" w:cs="Times New Roman"/>
                      <w:color w:val="auto"/>
                      <w:highlight w:val="none"/>
                    </w:rPr>
                    <w:fldChar w:fldCharType="separate"/>
                  </w:r>
                  <w:r>
                    <w:rPr>
                      <w:rFonts w:hint="eastAsia" w:ascii="Times New Roman" w:hAnsi="Times New Roman" w:eastAsia="宋体" w:cs="Times New Roman"/>
                      <w:color w:val="auto"/>
                      <w:highlight w:val="none"/>
                    </w:rPr>
                    <w:t>II</w:t>
                  </w:r>
                  <w:r>
                    <w:rPr>
                      <w:rFonts w:hint="eastAsia" w:ascii="Times New Roman" w:hAnsi="Times New Roman" w:eastAsia="宋体" w:cs="Times New Roman"/>
                      <w:color w:val="auto"/>
                      <w:highlight w:val="none"/>
                    </w:rPr>
                    <w:fldChar w:fldCharType="end"/>
                  </w:r>
                </w:p>
              </w:tc>
              <w:tc>
                <w:tcPr>
                  <w:tcW w:w="932" w:type="pct"/>
                  <w:shd w:val="clear" w:color="auto" w:fill="BEBEBE"/>
                  <w:noWrap w:val="0"/>
                  <w:vAlign w:val="center"/>
                </w:tcPr>
                <w:p w14:paraId="5DBBB3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fldChar w:fldCharType="begin"/>
                  </w:r>
                  <w:r>
                    <w:rPr>
                      <w:rFonts w:hint="eastAsia" w:ascii="Times New Roman" w:hAnsi="Times New Roman" w:eastAsia="宋体" w:cs="Times New Roman"/>
                      <w:color w:val="auto"/>
                      <w:highlight w:val="none"/>
                    </w:rPr>
                    <w:instrText xml:space="preserve"> = 1 \* ROMAN </w:instrText>
                  </w:r>
                  <w:r>
                    <w:rPr>
                      <w:rFonts w:hint="eastAsia" w:ascii="Times New Roman" w:hAnsi="Times New Roman" w:eastAsia="宋体" w:cs="Times New Roman"/>
                      <w:color w:val="auto"/>
                      <w:highlight w:val="none"/>
                    </w:rPr>
                    <w:fldChar w:fldCharType="separate"/>
                  </w:r>
                  <w:r>
                    <w:rPr>
                      <w:rFonts w:hint="eastAsia" w:ascii="Times New Roman" w:hAnsi="Times New Roman" w:eastAsia="宋体" w:cs="Times New Roman"/>
                      <w:color w:val="auto"/>
                      <w:highlight w:val="none"/>
                    </w:rPr>
                    <w:t>I</w:t>
                  </w:r>
                  <w:r>
                    <w:rPr>
                      <w:rFonts w:hint="eastAsia" w:ascii="Times New Roman" w:hAnsi="Times New Roman" w:eastAsia="宋体" w:cs="Times New Roman"/>
                      <w:color w:val="auto"/>
                      <w:highlight w:val="none"/>
                    </w:rPr>
                    <w:fldChar w:fldCharType="end"/>
                  </w:r>
                </w:p>
              </w:tc>
            </w:tr>
            <w:tr w14:paraId="76F56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35" w:type="pct"/>
                  <w:shd w:val="clear" w:color="auto" w:fill="auto"/>
                  <w:noWrap w:val="0"/>
                  <w:vAlign w:val="center"/>
                </w:tcPr>
                <w:p w14:paraId="742697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评价工作等级</w:t>
                  </w:r>
                </w:p>
              </w:tc>
              <w:tc>
                <w:tcPr>
                  <w:tcW w:w="979" w:type="pct"/>
                  <w:shd w:val="clear" w:color="auto" w:fill="auto"/>
                  <w:noWrap w:val="0"/>
                  <w:vAlign w:val="center"/>
                </w:tcPr>
                <w:p w14:paraId="6B9944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一</w:t>
                  </w:r>
                </w:p>
              </w:tc>
              <w:tc>
                <w:tcPr>
                  <w:tcW w:w="976" w:type="pct"/>
                  <w:shd w:val="clear" w:color="auto" w:fill="auto"/>
                  <w:noWrap w:val="0"/>
                  <w:vAlign w:val="center"/>
                </w:tcPr>
                <w:p w14:paraId="70343E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二</w:t>
                  </w:r>
                </w:p>
              </w:tc>
              <w:tc>
                <w:tcPr>
                  <w:tcW w:w="976" w:type="pct"/>
                  <w:shd w:val="clear" w:color="auto" w:fill="auto"/>
                  <w:noWrap w:val="0"/>
                  <w:vAlign w:val="center"/>
                </w:tcPr>
                <w:p w14:paraId="2AC3E3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三</w:t>
                  </w:r>
                </w:p>
              </w:tc>
              <w:tc>
                <w:tcPr>
                  <w:tcW w:w="932" w:type="pct"/>
                  <w:shd w:val="clear" w:color="auto" w:fill="BEBEBE"/>
                  <w:noWrap w:val="0"/>
                  <w:vAlign w:val="center"/>
                </w:tcPr>
                <w:p w14:paraId="1D5685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简单分析</w:t>
                  </w:r>
                </w:p>
              </w:tc>
            </w:tr>
          </w:tbl>
          <w:p w14:paraId="0F57F6A3">
            <w:pPr>
              <w:bidi w:val="0"/>
              <w:rPr>
                <w:color w:val="auto"/>
              </w:rPr>
            </w:pPr>
            <w:r>
              <w:rPr>
                <w:color w:val="auto"/>
              </w:rPr>
              <w:t>根据上表，本项目环境潜势为</w:t>
            </w:r>
            <w:r>
              <w:rPr>
                <w:color w:val="auto"/>
              </w:rPr>
              <w:fldChar w:fldCharType="begin"/>
            </w:r>
            <w:r>
              <w:rPr>
                <w:color w:val="auto"/>
              </w:rPr>
              <w:instrText xml:space="preserve"> = 1 \* ROMAN </w:instrText>
            </w:r>
            <w:r>
              <w:rPr>
                <w:color w:val="auto"/>
              </w:rPr>
              <w:fldChar w:fldCharType="separate"/>
            </w:r>
            <w:r>
              <w:rPr>
                <w:color w:val="auto"/>
              </w:rPr>
              <w:t>I</w:t>
            </w:r>
            <w:r>
              <w:rPr>
                <w:color w:val="auto"/>
              </w:rPr>
              <w:fldChar w:fldCharType="end"/>
            </w:r>
            <w:r>
              <w:rPr>
                <w:color w:val="auto"/>
              </w:rPr>
              <w:t>，风险评价进行简单分析。</w:t>
            </w:r>
          </w:p>
          <w:p w14:paraId="79AEA1B1">
            <w:pPr>
              <w:bidi w:val="0"/>
              <w:rPr>
                <w:rFonts w:hint="eastAsia"/>
                <w:color w:val="auto"/>
                <w:lang w:val="en-US" w:eastAsia="zh-CN"/>
              </w:rPr>
            </w:pPr>
            <w:r>
              <w:rPr>
                <w:rFonts w:hint="eastAsia"/>
                <w:color w:val="auto"/>
                <w:lang w:val="en-US" w:eastAsia="zh-CN"/>
              </w:rPr>
              <w:t>（2）环境敏感目标概况</w:t>
            </w:r>
          </w:p>
          <w:p w14:paraId="34DBBB53">
            <w:pPr>
              <w:bidi w:val="0"/>
              <w:rPr>
                <w:rFonts w:hint="eastAsia"/>
                <w:color w:val="auto"/>
                <w:lang w:val="en-US" w:eastAsia="zh-CN"/>
              </w:rPr>
            </w:pPr>
            <w:r>
              <w:rPr>
                <w:rFonts w:hint="eastAsia"/>
                <w:color w:val="auto"/>
                <w:lang w:val="en-US" w:eastAsia="zh-CN"/>
              </w:rPr>
              <w:t>本项目周边环境敏感目标与环境保护目标相同。</w:t>
            </w:r>
          </w:p>
          <w:p w14:paraId="100842F9">
            <w:pPr>
              <w:bidi w:val="0"/>
              <w:rPr>
                <w:rFonts w:hint="eastAsia"/>
                <w:color w:val="auto"/>
                <w:lang w:val="en-US" w:eastAsia="zh-CN"/>
              </w:rPr>
            </w:pPr>
            <w:r>
              <w:rPr>
                <w:rFonts w:hint="eastAsia"/>
                <w:color w:val="auto"/>
                <w:lang w:val="en-US" w:eastAsia="zh-CN"/>
              </w:rPr>
              <w:t>项目选址位于内蒙古自治区鄂尔多斯市东胜区天骄南路42号客运中心后院5号商铺，</w:t>
            </w:r>
            <w:r>
              <w:rPr>
                <w:rFonts w:hint="eastAsia"/>
                <w:color w:val="auto"/>
                <w:lang w:eastAsia="zh-CN"/>
              </w:rPr>
              <w:t>鄂尔多斯市宇驰顺捷汽车销售服务有限公司现有</w:t>
            </w:r>
            <w:r>
              <w:rPr>
                <w:color w:val="auto"/>
              </w:rPr>
              <w:t>厂区内</w:t>
            </w:r>
            <w:r>
              <w:rPr>
                <w:rFonts w:hint="eastAsia"/>
                <w:color w:val="auto"/>
                <w:lang w:val="en-US" w:eastAsia="zh-CN"/>
              </w:rPr>
              <w:t>，由现场调查可知，该区域内没有珍稀动植物资源、饮用水源保护区、自然保护区、重点文物等重点保护目标。</w:t>
            </w:r>
          </w:p>
          <w:p w14:paraId="33EA02BA">
            <w:pPr>
              <w:bidi w:val="0"/>
              <w:rPr>
                <w:rFonts w:hint="eastAsia"/>
                <w:color w:val="auto"/>
                <w:lang w:val="en-US" w:eastAsia="zh-CN"/>
              </w:rPr>
            </w:pPr>
            <w:r>
              <w:rPr>
                <w:rFonts w:hint="eastAsia"/>
                <w:color w:val="auto"/>
                <w:lang w:val="en-US" w:eastAsia="zh-CN"/>
              </w:rPr>
              <w:t>（3）环境风险识别</w:t>
            </w:r>
          </w:p>
          <w:p w14:paraId="46734064">
            <w:pPr>
              <w:bidi w:val="0"/>
              <w:rPr>
                <w:rFonts w:hint="eastAsia"/>
                <w:color w:val="auto"/>
                <w:lang w:val="en-US" w:eastAsia="zh-CN"/>
              </w:rPr>
            </w:pPr>
            <w:r>
              <w:rPr>
                <w:rFonts w:hint="eastAsia"/>
                <w:color w:val="auto"/>
                <w:lang w:val="en-US" w:eastAsia="zh-CN"/>
              </w:rPr>
              <w:t>本项目废润滑油属于《国家危险废物名录》（2025版）中HW08类，在暂存过程中按照危险化学品暂存火灾危险性的分类，属于丙类危险化学品。</w:t>
            </w:r>
          </w:p>
          <w:p w14:paraId="1292E559">
            <w:pPr>
              <w:bidi w:val="0"/>
              <w:rPr>
                <w:rFonts w:hint="eastAsia"/>
                <w:color w:val="auto"/>
                <w:lang w:val="en-US" w:eastAsia="zh-CN"/>
              </w:rPr>
            </w:pPr>
            <w:r>
              <w:rPr>
                <w:rFonts w:hint="eastAsia"/>
                <w:color w:val="auto"/>
                <w:lang w:val="en-US" w:eastAsia="zh-CN"/>
              </w:rPr>
              <w:t>废润滑油主要化学物理理化性质如下：</w:t>
            </w:r>
          </w:p>
          <w:p w14:paraId="53F72D1C">
            <w:pPr>
              <w:bidi w:val="0"/>
              <w:rPr>
                <w:rFonts w:hint="eastAsia"/>
                <w:color w:val="auto"/>
                <w:lang w:val="en-US" w:eastAsia="zh-CN"/>
              </w:rPr>
            </w:pPr>
            <w:r>
              <w:rPr>
                <w:rFonts w:hint="eastAsia"/>
                <w:color w:val="auto"/>
                <w:lang w:val="en-US" w:eastAsia="zh-CN"/>
              </w:rPr>
              <w:fldChar w:fldCharType="begin"/>
            </w:r>
            <w:r>
              <w:rPr>
                <w:rFonts w:hint="eastAsia"/>
                <w:color w:val="auto"/>
                <w:lang w:val="en-US" w:eastAsia="zh-CN"/>
              </w:rPr>
              <w:instrText xml:space="preserve"> = 1 \* roman </w:instrText>
            </w:r>
            <w:r>
              <w:rPr>
                <w:rFonts w:hint="eastAsia"/>
                <w:color w:val="auto"/>
                <w:lang w:val="en-US" w:eastAsia="zh-CN"/>
              </w:rPr>
              <w:fldChar w:fldCharType="separate"/>
            </w:r>
            <w:r>
              <w:rPr>
                <w:rFonts w:hint="eastAsia"/>
                <w:color w:val="auto"/>
                <w:lang w:val="en-US" w:eastAsia="zh-CN"/>
              </w:rPr>
              <w:t>i</w:t>
            </w:r>
            <w:r>
              <w:rPr>
                <w:rFonts w:hint="eastAsia"/>
                <w:color w:val="auto"/>
                <w:lang w:val="en-US" w:eastAsia="zh-CN"/>
              </w:rPr>
              <w:fldChar w:fldCharType="end"/>
            </w:r>
            <w:r>
              <w:rPr>
                <w:rFonts w:hint="eastAsia"/>
                <w:color w:val="auto"/>
                <w:lang w:val="en-US" w:eastAsia="zh-CN"/>
              </w:rPr>
              <w:t>属于烃类，是多种饱和烃和不饱和烃的混合物，外观呈油状液体，淡黄色至褐色，废润滑油一般颜色比较深，呈褐色，无气味或略带异味，遇明火、高热可燃，引燃温度248℃。矿物油类属于低毒性，急性吸入可出现乏力、头晕、头痛、恶心，严重者可引起油脂性肺炎。慢接触者，暴露部位可发生油性痤疮和接触性皮炎。</w:t>
            </w:r>
          </w:p>
          <w:p w14:paraId="42129C7D">
            <w:pPr>
              <w:bidi w:val="0"/>
              <w:rPr>
                <w:rFonts w:hint="eastAsia"/>
                <w:color w:val="auto"/>
                <w:lang w:val="en-US" w:eastAsia="zh-CN"/>
              </w:rPr>
            </w:pPr>
            <w:r>
              <w:rPr>
                <w:rFonts w:hint="eastAsia"/>
                <w:color w:val="auto"/>
                <w:lang w:val="en-US" w:eastAsia="zh-CN"/>
              </w:rPr>
              <w:fldChar w:fldCharType="begin"/>
            </w:r>
            <w:r>
              <w:rPr>
                <w:rFonts w:hint="eastAsia"/>
                <w:color w:val="auto"/>
                <w:lang w:val="en-US" w:eastAsia="zh-CN"/>
              </w:rPr>
              <w:instrText xml:space="preserve"> = 2 \* roman </w:instrText>
            </w:r>
            <w:r>
              <w:rPr>
                <w:rFonts w:hint="eastAsia"/>
                <w:color w:val="auto"/>
                <w:lang w:val="en-US" w:eastAsia="zh-CN"/>
              </w:rPr>
              <w:fldChar w:fldCharType="separate"/>
            </w:r>
            <w:r>
              <w:rPr>
                <w:rFonts w:hint="eastAsia"/>
                <w:color w:val="auto"/>
                <w:lang w:val="en-US" w:eastAsia="zh-CN"/>
              </w:rPr>
              <w:t>ii</w:t>
            </w:r>
            <w:r>
              <w:rPr>
                <w:rFonts w:hint="eastAsia"/>
                <w:color w:val="auto"/>
                <w:lang w:val="en-US" w:eastAsia="zh-CN"/>
              </w:rPr>
              <w:fldChar w:fldCharType="end"/>
            </w:r>
            <w:r>
              <w:rPr>
                <w:rFonts w:hint="eastAsia"/>
                <w:color w:val="auto"/>
                <w:lang w:val="en-US" w:eastAsia="zh-CN"/>
              </w:rPr>
              <w:t>火灾爆炸危害</w:t>
            </w:r>
          </w:p>
          <w:p w14:paraId="64DE02CF">
            <w:pPr>
              <w:bidi w:val="0"/>
              <w:rPr>
                <w:rFonts w:hint="eastAsia"/>
                <w:color w:val="auto"/>
                <w:lang w:val="en-US" w:eastAsia="zh-CN"/>
              </w:rPr>
            </w:pPr>
            <w:r>
              <w:rPr>
                <w:rFonts w:hint="eastAsia"/>
                <w:color w:val="auto"/>
                <w:lang w:val="en-US" w:eastAsia="zh-CN"/>
              </w:rPr>
              <w:t>对于本项目涉及的废润滑油火灾危险分类按《石油化工企业设计防火规范》（GB50160—2008）中规定的方法分类，见表4-3，燃烧爆炸危险度按以下公式计算：</w:t>
            </w:r>
          </w:p>
          <w:p w14:paraId="07F10561">
            <w:pPr>
              <w:bidi w:val="0"/>
              <w:rPr>
                <w:rFonts w:hint="eastAsia"/>
                <w:color w:val="auto"/>
                <w:lang w:val="en-US" w:eastAsia="zh-CN"/>
              </w:rPr>
            </w:pPr>
            <w:r>
              <w:rPr>
                <w:rFonts w:hint="eastAsia"/>
                <w:color w:val="auto"/>
                <w:lang w:val="en-US" w:eastAsia="zh-CN"/>
              </w:rPr>
              <w:t>H=（R-L）/L</w:t>
            </w:r>
          </w:p>
          <w:p w14:paraId="30EC229A">
            <w:pPr>
              <w:bidi w:val="0"/>
              <w:rPr>
                <w:rFonts w:hint="eastAsia"/>
                <w:color w:val="auto"/>
                <w:lang w:val="en-US" w:eastAsia="zh-CN"/>
              </w:rPr>
            </w:pPr>
            <w:r>
              <w:rPr>
                <w:rFonts w:hint="eastAsia"/>
                <w:color w:val="auto"/>
                <w:lang w:val="en-US" w:eastAsia="zh-CN"/>
              </w:rPr>
              <w:t>式中：H—危险度</w:t>
            </w:r>
          </w:p>
          <w:p w14:paraId="68FE68B1">
            <w:pPr>
              <w:bidi w:val="0"/>
              <w:rPr>
                <w:rFonts w:hint="eastAsia"/>
                <w:color w:val="auto"/>
                <w:lang w:val="en-US" w:eastAsia="zh-CN"/>
              </w:rPr>
            </w:pPr>
            <w:r>
              <w:rPr>
                <w:rFonts w:hint="eastAsia"/>
                <w:color w:val="auto"/>
                <w:lang w:val="en-US" w:eastAsia="zh-CN"/>
              </w:rPr>
              <w:t>R—燃烧（爆炸）上限</w:t>
            </w:r>
          </w:p>
          <w:p w14:paraId="3014C735">
            <w:pPr>
              <w:bidi w:val="0"/>
              <w:rPr>
                <w:rFonts w:hint="eastAsia"/>
                <w:color w:val="auto"/>
                <w:lang w:val="en-US" w:eastAsia="zh-CN"/>
              </w:rPr>
            </w:pPr>
            <w:r>
              <w:rPr>
                <w:rFonts w:hint="eastAsia"/>
                <w:color w:val="auto"/>
                <w:lang w:val="en-US" w:eastAsia="zh-CN"/>
              </w:rPr>
              <w:t>L—燃烧（爆炸）下限</w:t>
            </w:r>
          </w:p>
          <w:p w14:paraId="71998896">
            <w:pPr>
              <w:bidi w:val="0"/>
              <w:rPr>
                <w:rFonts w:hint="eastAsia"/>
                <w:color w:val="auto"/>
                <w:lang w:val="en-US" w:eastAsia="zh-CN"/>
              </w:rPr>
            </w:pPr>
            <w:r>
              <w:rPr>
                <w:rFonts w:hint="eastAsia"/>
                <w:color w:val="auto"/>
                <w:lang w:val="en-US" w:eastAsia="zh-CN"/>
              </w:rPr>
              <w:t>危险度H值越大，表示其危险性越大。</w:t>
            </w:r>
          </w:p>
          <w:p w14:paraId="3E625404">
            <w:pPr>
              <w:bidi w:val="0"/>
              <w:jc w:val="center"/>
              <w:rPr>
                <w:rFonts w:hint="default"/>
                <w:b/>
                <w:bCs/>
                <w:color w:val="auto"/>
                <w:lang w:val="en-US" w:eastAsia="zh-CN"/>
              </w:rPr>
            </w:pPr>
            <w:r>
              <w:rPr>
                <w:rFonts w:hint="default"/>
                <w:b/>
                <w:bCs/>
                <w:color w:val="auto"/>
                <w:lang w:val="en-US" w:eastAsia="zh-CN"/>
              </w:rPr>
              <w:t>表</w:t>
            </w:r>
            <w:r>
              <w:rPr>
                <w:rFonts w:hint="eastAsia"/>
                <w:b/>
                <w:bCs/>
                <w:color w:val="auto"/>
                <w:lang w:val="en-US" w:eastAsia="zh-CN"/>
              </w:rPr>
              <w:t>4-7</w:t>
            </w:r>
            <w:r>
              <w:rPr>
                <w:rFonts w:hint="default"/>
                <w:b/>
                <w:bCs/>
                <w:color w:val="auto"/>
                <w:lang w:val="en-US" w:eastAsia="zh-CN"/>
              </w:rPr>
              <w:t>石油化工产品的火灾危险性分类</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654"/>
              <w:gridCol w:w="1227"/>
              <w:gridCol w:w="5401"/>
            </w:tblGrid>
            <w:tr w14:paraId="6C67D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24" w:type="pct"/>
                  <w:gridSpan w:val="2"/>
                  <w:tcBorders>
                    <w:tl2br w:val="nil"/>
                    <w:tr2bl w:val="nil"/>
                  </w:tcBorders>
                  <w:noWrap w:val="0"/>
                  <w:vAlign w:val="center"/>
                </w:tcPr>
                <w:p w14:paraId="44774180">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rPr>
                  </w:pPr>
                  <w:r>
                    <w:rPr>
                      <w:rFonts w:hint="eastAsia"/>
                      <w:color w:val="auto"/>
                    </w:rPr>
                    <w:t>火灾危险性</w:t>
                  </w:r>
                </w:p>
              </w:tc>
              <w:tc>
                <w:tcPr>
                  <w:tcW w:w="773" w:type="pct"/>
                  <w:tcBorders>
                    <w:tl2br w:val="nil"/>
                    <w:tr2bl w:val="nil"/>
                  </w:tcBorders>
                  <w:noWrap w:val="0"/>
                  <w:vAlign w:val="center"/>
                </w:tcPr>
                <w:p w14:paraId="5DEFD27F">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rPr>
                  </w:pPr>
                  <w:r>
                    <w:rPr>
                      <w:rFonts w:hint="eastAsia"/>
                      <w:color w:val="auto"/>
                    </w:rPr>
                    <w:t>产品名称</w:t>
                  </w:r>
                </w:p>
              </w:tc>
              <w:tc>
                <w:tcPr>
                  <w:tcW w:w="3403" w:type="pct"/>
                  <w:tcBorders>
                    <w:tl2br w:val="nil"/>
                    <w:tr2bl w:val="nil"/>
                  </w:tcBorders>
                  <w:noWrap w:val="0"/>
                  <w:vAlign w:val="center"/>
                </w:tcPr>
                <w:p w14:paraId="0624CC03">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rPr>
                  </w:pPr>
                  <w:r>
                    <w:rPr>
                      <w:rFonts w:hint="eastAsia"/>
                      <w:color w:val="auto"/>
                    </w:rPr>
                    <w:t>特征</w:t>
                  </w:r>
                </w:p>
              </w:tc>
            </w:tr>
            <w:tr w14:paraId="1F22C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24" w:type="pct"/>
                  <w:gridSpan w:val="2"/>
                  <w:tcBorders>
                    <w:tl2br w:val="nil"/>
                    <w:tr2bl w:val="nil"/>
                  </w:tcBorders>
                  <w:noWrap w:val="0"/>
                  <w:vAlign w:val="center"/>
                </w:tcPr>
                <w:p w14:paraId="6CDBF472">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rPr>
                  </w:pPr>
                  <w:r>
                    <w:rPr>
                      <w:rFonts w:hint="eastAsia"/>
                      <w:color w:val="auto"/>
                    </w:rPr>
                    <w:t>甲</w:t>
                  </w:r>
                </w:p>
              </w:tc>
              <w:tc>
                <w:tcPr>
                  <w:tcW w:w="773" w:type="pct"/>
                  <w:vMerge w:val="restart"/>
                  <w:tcBorders>
                    <w:tl2br w:val="nil"/>
                    <w:tr2bl w:val="nil"/>
                  </w:tcBorders>
                  <w:noWrap w:val="0"/>
                  <w:vAlign w:val="center"/>
                </w:tcPr>
                <w:p w14:paraId="53D2B504">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rPr>
                  </w:pPr>
                  <w:r>
                    <w:rPr>
                      <w:rFonts w:hint="eastAsia"/>
                      <w:color w:val="auto"/>
                    </w:rPr>
                    <w:t>可燃气体</w:t>
                  </w:r>
                </w:p>
              </w:tc>
              <w:tc>
                <w:tcPr>
                  <w:tcW w:w="3403" w:type="pct"/>
                  <w:tcBorders>
                    <w:tl2br w:val="nil"/>
                    <w:tr2bl w:val="nil"/>
                  </w:tcBorders>
                  <w:noWrap w:val="0"/>
                  <w:vAlign w:val="center"/>
                </w:tcPr>
                <w:p w14:paraId="78966749">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rPr>
                  </w:pPr>
                  <w:r>
                    <w:rPr>
                      <w:rFonts w:hint="eastAsia"/>
                      <w:color w:val="auto"/>
                    </w:rPr>
                    <w:t>可燃气体与空气混合物的爆炸下限＜10%（体积）</w:t>
                  </w:r>
                </w:p>
              </w:tc>
            </w:tr>
            <w:tr w14:paraId="7CBBA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24" w:type="pct"/>
                  <w:gridSpan w:val="2"/>
                  <w:tcBorders>
                    <w:tl2br w:val="nil"/>
                    <w:tr2bl w:val="nil"/>
                  </w:tcBorders>
                  <w:noWrap w:val="0"/>
                  <w:vAlign w:val="center"/>
                </w:tcPr>
                <w:p w14:paraId="68691429">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rPr>
                  </w:pPr>
                  <w:r>
                    <w:rPr>
                      <w:rFonts w:hint="eastAsia"/>
                      <w:color w:val="auto"/>
                    </w:rPr>
                    <w:t>乙</w:t>
                  </w:r>
                </w:p>
              </w:tc>
              <w:tc>
                <w:tcPr>
                  <w:tcW w:w="773" w:type="pct"/>
                  <w:vMerge w:val="continue"/>
                  <w:tcBorders>
                    <w:tl2br w:val="nil"/>
                    <w:tr2bl w:val="nil"/>
                  </w:tcBorders>
                  <w:noWrap w:val="0"/>
                  <w:vAlign w:val="center"/>
                </w:tcPr>
                <w:p w14:paraId="3D584D9D">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rPr>
                  </w:pPr>
                </w:p>
              </w:tc>
              <w:tc>
                <w:tcPr>
                  <w:tcW w:w="3403" w:type="pct"/>
                  <w:tcBorders>
                    <w:tl2br w:val="nil"/>
                    <w:tr2bl w:val="nil"/>
                  </w:tcBorders>
                  <w:noWrap w:val="0"/>
                  <w:vAlign w:val="center"/>
                </w:tcPr>
                <w:p w14:paraId="677C2A6C">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lang w:eastAsia="zh-CN"/>
                    </w:rPr>
                  </w:pPr>
                  <w:r>
                    <w:rPr>
                      <w:rFonts w:hint="eastAsia"/>
                      <w:color w:val="auto"/>
                    </w:rPr>
                    <w:t>可燃气体与空气混合物的爆炸下限≥10%（体积）</w:t>
                  </w:r>
                </w:p>
              </w:tc>
            </w:tr>
            <w:tr w14:paraId="2A98F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2" w:type="pct"/>
                  <w:vMerge w:val="restart"/>
                  <w:tcBorders>
                    <w:tl2br w:val="nil"/>
                    <w:tr2bl w:val="nil"/>
                  </w:tcBorders>
                  <w:noWrap w:val="0"/>
                  <w:vAlign w:val="center"/>
                </w:tcPr>
                <w:p w14:paraId="59C170B3">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rPr>
                  </w:pPr>
                  <w:r>
                    <w:rPr>
                      <w:rFonts w:hint="eastAsia"/>
                      <w:color w:val="auto"/>
                    </w:rPr>
                    <w:t>甲</w:t>
                  </w:r>
                </w:p>
              </w:tc>
              <w:tc>
                <w:tcPr>
                  <w:tcW w:w="412" w:type="pct"/>
                  <w:tcBorders>
                    <w:tl2br w:val="nil"/>
                    <w:tr2bl w:val="nil"/>
                  </w:tcBorders>
                  <w:noWrap w:val="0"/>
                  <w:vAlign w:val="center"/>
                </w:tcPr>
                <w:p w14:paraId="526FB00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rPr>
                  </w:pPr>
                  <w:r>
                    <w:rPr>
                      <w:rFonts w:hint="eastAsia"/>
                      <w:color w:val="auto"/>
                    </w:rPr>
                    <w:t>A</w:t>
                  </w:r>
                </w:p>
              </w:tc>
              <w:tc>
                <w:tcPr>
                  <w:tcW w:w="773" w:type="pct"/>
                  <w:tcBorders>
                    <w:tl2br w:val="nil"/>
                    <w:tr2bl w:val="nil"/>
                  </w:tcBorders>
                  <w:noWrap w:val="0"/>
                  <w:vAlign w:val="center"/>
                </w:tcPr>
                <w:p w14:paraId="5A8E1C4B">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rPr>
                  </w:pPr>
                  <w:r>
                    <w:rPr>
                      <w:rFonts w:hint="eastAsia"/>
                      <w:color w:val="auto"/>
                    </w:rPr>
                    <w:t>液化烃</w:t>
                  </w:r>
                </w:p>
              </w:tc>
              <w:tc>
                <w:tcPr>
                  <w:tcW w:w="3403" w:type="pct"/>
                  <w:tcBorders>
                    <w:tl2br w:val="nil"/>
                    <w:tr2bl w:val="nil"/>
                  </w:tcBorders>
                  <w:noWrap w:val="0"/>
                  <w:vAlign w:val="center"/>
                </w:tcPr>
                <w:p w14:paraId="278A8692">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rPr>
                  </w:pPr>
                  <w:r>
                    <w:rPr>
                      <w:rFonts w:hint="eastAsia"/>
                      <w:color w:val="auto"/>
                    </w:rPr>
                    <w:t>15℃时蒸气压力＞0.1MPa的烃类液体及其它类似液体</w:t>
                  </w:r>
                </w:p>
              </w:tc>
            </w:tr>
            <w:tr w14:paraId="4105F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2" w:type="pct"/>
                  <w:vMerge w:val="continue"/>
                  <w:tcBorders>
                    <w:tl2br w:val="nil"/>
                    <w:tr2bl w:val="nil"/>
                  </w:tcBorders>
                  <w:noWrap w:val="0"/>
                  <w:vAlign w:val="center"/>
                </w:tcPr>
                <w:p w14:paraId="4E80C904">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rPr>
                  </w:pPr>
                </w:p>
              </w:tc>
              <w:tc>
                <w:tcPr>
                  <w:tcW w:w="412" w:type="pct"/>
                  <w:tcBorders>
                    <w:tl2br w:val="nil"/>
                    <w:tr2bl w:val="nil"/>
                  </w:tcBorders>
                  <w:noWrap w:val="0"/>
                  <w:vAlign w:val="center"/>
                </w:tcPr>
                <w:p w14:paraId="65E32EB2">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rPr>
                  </w:pPr>
                  <w:r>
                    <w:rPr>
                      <w:rFonts w:hint="eastAsia"/>
                      <w:color w:val="auto"/>
                    </w:rPr>
                    <w:t>B</w:t>
                  </w:r>
                </w:p>
              </w:tc>
              <w:tc>
                <w:tcPr>
                  <w:tcW w:w="773" w:type="pct"/>
                  <w:vMerge w:val="restart"/>
                  <w:tcBorders>
                    <w:tl2br w:val="nil"/>
                    <w:tr2bl w:val="nil"/>
                  </w:tcBorders>
                  <w:noWrap w:val="0"/>
                  <w:vAlign w:val="center"/>
                </w:tcPr>
                <w:p w14:paraId="78B0F39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rPr>
                  </w:pPr>
                  <w:r>
                    <w:rPr>
                      <w:rFonts w:hint="eastAsia"/>
                      <w:color w:val="auto"/>
                    </w:rPr>
                    <w:t>可燃液体</w:t>
                  </w:r>
                </w:p>
              </w:tc>
              <w:tc>
                <w:tcPr>
                  <w:tcW w:w="3403" w:type="pct"/>
                  <w:tcBorders>
                    <w:tl2br w:val="nil"/>
                    <w:tr2bl w:val="nil"/>
                  </w:tcBorders>
                  <w:noWrap w:val="0"/>
                  <w:vAlign w:val="center"/>
                </w:tcPr>
                <w:p w14:paraId="3001C693">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rPr>
                  </w:pPr>
                  <w:r>
                    <w:rPr>
                      <w:rFonts w:hint="eastAsia"/>
                      <w:color w:val="auto"/>
                    </w:rPr>
                    <w:t>甲A类以外，闪点＜28℃</w:t>
                  </w:r>
                </w:p>
              </w:tc>
            </w:tr>
            <w:tr w14:paraId="0E55E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2" w:type="pct"/>
                  <w:vMerge w:val="restart"/>
                  <w:tcBorders>
                    <w:tl2br w:val="nil"/>
                    <w:tr2bl w:val="nil"/>
                  </w:tcBorders>
                  <w:noWrap w:val="0"/>
                  <w:vAlign w:val="center"/>
                </w:tcPr>
                <w:p w14:paraId="728B769D">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rPr>
                  </w:pPr>
                  <w:r>
                    <w:rPr>
                      <w:rFonts w:hint="eastAsia"/>
                      <w:color w:val="auto"/>
                    </w:rPr>
                    <w:t>乙</w:t>
                  </w:r>
                </w:p>
              </w:tc>
              <w:tc>
                <w:tcPr>
                  <w:tcW w:w="412" w:type="pct"/>
                  <w:tcBorders>
                    <w:tl2br w:val="nil"/>
                    <w:tr2bl w:val="nil"/>
                  </w:tcBorders>
                  <w:noWrap w:val="0"/>
                  <w:vAlign w:val="center"/>
                </w:tcPr>
                <w:p w14:paraId="79519059">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rPr>
                  </w:pPr>
                  <w:r>
                    <w:rPr>
                      <w:rFonts w:hint="eastAsia"/>
                      <w:color w:val="auto"/>
                    </w:rPr>
                    <w:t>A</w:t>
                  </w:r>
                </w:p>
              </w:tc>
              <w:tc>
                <w:tcPr>
                  <w:tcW w:w="773" w:type="pct"/>
                  <w:vMerge w:val="continue"/>
                  <w:tcBorders>
                    <w:tl2br w:val="nil"/>
                    <w:tr2bl w:val="nil"/>
                  </w:tcBorders>
                  <w:noWrap w:val="0"/>
                  <w:vAlign w:val="center"/>
                </w:tcPr>
                <w:p w14:paraId="74D81C71">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rPr>
                  </w:pPr>
                </w:p>
              </w:tc>
              <w:tc>
                <w:tcPr>
                  <w:tcW w:w="3403" w:type="pct"/>
                  <w:tcBorders>
                    <w:tl2br w:val="nil"/>
                    <w:tr2bl w:val="nil"/>
                  </w:tcBorders>
                  <w:noWrap w:val="0"/>
                  <w:vAlign w:val="center"/>
                </w:tcPr>
                <w:p w14:paraId="57D17EF4">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lang w:eastAsia="zh-CN"/>
                    </w:rPr>
                  </w:pPr>
                  <w:r>
                    <w:rPr>
                      <w:rFonts w:hint="eastAsia"/>
                      <w:color w:val="auto"/>
                    </w:rPr>
                    <w:t>闪点≥28℃至≤45℃</w:t>
                  </w:r>
                </w:p>
              </w:tc>
            </w:tr>
            <w:tr w14:paraId="6CDE3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2" w:type="pct"/>
                  <w:vMerge w:val="continue"/>
                  <w:tcBorders>
                    <w:tl2br w:val="nil"/>
                    <w:tr2bl w:val="nil"/>
                  </w:tcBorders>
                  <w:noWrap w:val="0"/>
                  <w:vAlign w:val="center"/>
                </w:tcPr>
                <w:p w14:paraId="3443302B">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rPr>
                  </w:pPr>
                </w:p>
              </w:tc>
              <w:tc>
                <w:tcPr>
                  <w:tcW w:w="412" w:type="pct"/>
                  <w:tcBorders>
                    <w:tl2br w:val="nil"/>
                    <w:tr2bl w:val="nil"/>
                  </w:tcBorders>
                  <w:noWrap w:val="0"/>
                  <w:vAlign w:val="center"/>
                </w:tcPr>
                <w:p w14:paraId="7116CD3C">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rPr>
                  </w:pPr>
                  <w:r>
                    <w:rPr>
                      <w:rFonts w:hint="eastAsia"/>
                      <w:color w:val="auto"/>
                    </w:rPr>
                    <w:t>B</w:t>
                  </w:r>
                </w:p>
              </w:tc>
              <w:tc>
                <w:tcPr>
                  <w:tcW w:w="773" w:type="pct"/>
                  <w:vMerge w:val="continue"/>
                  <w:tcBorders>
                    <w:tl2br w:val="nil"/>
                    <w:tr2bl w:val="nil"/>
                  </w:tcBorders>
                  <w:noWrap w:val="0"/>
                  <w:vAlign w:val="center"/>
                </w:tcPr>
                <w:p w14:paraId="610528F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rPr>
                  </w:pPr>
                </w:p>
              </w:tc>
              <w:tc>
                <w:tcPr>
                  <w:tcW w:w="3403" w:type="pct"/>
                  <w:tcBorders>
                    <w:tl2br w:val="nil"/>
                    <w:tr2bl w:val="nil"/>
                  </w:tcBorders>
                  <w:noWrap w:val="0"/>
                  <w:vAlign w:val="center"/>
                </w:tcPr>
                <w:p w14:paraId="3A56E609">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rPr>
                  </w:pPr>
                  <w:r>
                    <w:rPr>
                      <w:rFonts w:hint="eastAsia"/>
                      <w:color w:val="auto"/>
                    </w:rPr>
                    <w:t>闪点＞45℃至＜60℃</w:t>
                  </w:r>
                </w:p>
              </w:tc>
            </w:tr>
            <w:tr w14:paraId="5BF5A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2" w:type="pct"/>
                  <w:vMerge w:val="restart"/>
                  <w:tcBorders>
                    <w:tl2br w:val="nil"/>
                    <w:tr2bl w:val="nil"/>
                  </w:tcBorders>
                  <w:noWrap w:val="0"/>
                  <w:vAlign w:val="center"/>
                </w:tcPr>
                <w:p w14:paraId="12D5DAF2">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rPr>
                  </w:pPr>
                  <w:r>
                    <w:rPr>
                      <w:rFonts w:hint="eastAsia"/>
                      <w:color w:val="auto"/>
                    </w:rPr>
                    <w:t>丙</w:t>
                  </w:r>
                </w:p>
              </w:tc>
              <w:tc>
                <w:tcPr>
                  <w:tcW w:w="412" w:type="pct"/>
                  <w:tcBorders>
                    <w:tl2br w:val="nil"/>
                    <w:tr2bl w:val="nil"/>
                  </w:tcBorders>
                  <w:noWrap w:val="0"/>
                  <w:vAlign w:val="center"/>
                </w:tcPr>
                <w:p w14:paraId="0D718B44">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rPr>
                  </w:pPr>
                  <w:r>
                    <w:rPr>
                      <w:rFonts w:hint="eastAsia"/>
                      <w:color w:val="auto"/>
                    </w:rPr>
                    <w:t>A</w:t>
                  </w:r>
                </w:p>
              </w:tc>
              <w:tc>
                <w:tcPr>
                  <w:tcW w:w="773" w:type="pct"/>
                  <w:vMerge w:val="continue"/>
                  <w:tcBorders>
                    <w:tl2br w:val="nil"/>
                    <w:tr2bl w:val="nil"/>
                  </w:tcBorders>
                  <w:noWrap w:val="0"/>
                  <w:vAlign w:val="center"/>
                </w:tcPr>
                <w:p w14:paraId="5A22E572">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rPr>
                  </w:pPr>
                </w:p>
              </w:tc>
              <w:tc>
                <w:tcPr>
                  <w:tcW w:w="3403" w:type="pct"/>
                  <w:tcBorders>
                    <w:tl2br w:val="nil"/>
                    <w:tr2bl w:val="nil"/>
                  </w:tcBorders>
                  <w:noWrap w:val="0"/>
                  <w:vAlign w:val="center"/>
                </w:tcPr>
                <w:p w14:paraId="4766EE11">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rPr>
                  </w:pPr>
                  <w:r>
                    <w:rPr>
                      <w:rFonts w:hint="eastAsia"/>
                      <w:color w:val="auto"/>
                    </w:rPr>
                    <w:t>闪点≥60℃至≤120℃</w:t>
                  </w:r>
                </w:p>
              </w:tc>
            </w:tr>
            <w:tr w14:paraId="4443A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2" w:type="pct"/>
                  <w:vMerge w:val="continue"/>
                  <w:tcBorders>
                    <w:tl2br w:val="nil"/>
                    <w:tr2bl w:val="nil"/>
                  </w:tcBorders>
                  <w:noWrap w:val="0"/>
                  <w:vAlign w:val="center"/>
                </w:tcPr>
                <w:p w14:paraId="7CABD039">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rPr>
                  </w:pPr>
                </w:p>
              </w:tc>
              <w:tc>
                <w:tcPr>
                  <w:tcW w:w="412" w:type="pct"/>
                  <w:tcBorders>
                    <w:tl2br w:val="nil"/>
                    <w:tr2bl w:val="nil"/>
                  </w:tcBorders>
                  <w:noWrap w:val="0"/>
                  <w:vAlign w:val="center"/>
                </w:tcPr>
                <w:p w14:paraId="04EBE69B">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rPr>
                  </w:pPr>
                  <w:r>
                    <w:rPr>
                      <w:rFonts w:hint="eastAsia"/>
                      <w:color w:val="auto"/>
                    </w:rPr>
                    <w:t>B</w:t>
                  </w:r>
                </w:p>
              </w:tc>
              <w:tc>
                <w:tcPr>
                  <w:tcW w:w="773" w:type="pct"/>
                  <w:vMerge w:val="continue"/>
                  <w:tcBorders>
                    <w:tl2br w:val="nil"/>
                    <w:tr2bl w:val="nil"/>
                  </w:tcBorders>
                  <w:noWrap w:val="0"/>
                  <w:vAlign w:val="center"/>
                </w:tcPr>
                <w:p w14:paraId="4B22FF05">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rPr>
                  </w:pPr>
                </w:p>
              </w:tc>
              <w:tc>
                <w:tcPr>
                  <w:tcW w:w="3403" w:type="pct"/>
                  <w:tcBorders>
                    <w:tl2br w:val="nil"/>
                    <w:tr2bl w:val="nil"/>
                  </w:tcBorders>
                  <w:noWrap w:val="0"/>
                  <w:vAlign w:val="center"/>
                </w:tcPr>
                <w:p w14:paraId="4A09AB50">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lang w:eastAsia="zh-CN"/>
                    </w:rPr>
                  </w:pPr>
                  <w:r>
                    <w:rPr>
                      <w:rFonts w:hint="eastAsia"/>
                      <w:color w:val="auto"/>
                    </w:rPr>
                    <w:t>闪点＞120℃</w:t>
                  </w:r>
                </w:p>
              </w:tc>
            </w:tr>
          </w:tbl>
          <w:p w14:paraId="4D7120D0">
            <w:pPr>
              <w:bidi w:val="0"/>
              <w:rPr>
                <w:rFonts w:hint="eastAsia"/>
                <w:color w:val="auto"/>
                <w:lang w:val="en-US" w:eastAsia="zh-CN"/>
              </w:rPr>
            </w:pPr>
            <w:r>
              <w:rPr>
                <w:rFonts w:hint="eastAsia"/>
                <w:color w:val="auto"/>
                <w:lang w:val="en-US" w:eastAsia="zh-CN"/>
              </w:rPr>
              <w:t>根据上述分级依据，本项目涉及的废润滑油理化性质及火灾、爆炸特性分类见表4-8。</w:t>
            </w:r>
          </w:p>
          <w:p w14:paraId="50B022EA">
            <w:pPr>
              <w:bidi w:val="0"/>
              <w:jc w:val="center"/>
              <w:rPr>
                <w:rFonts w:hint="default"/>
                <w:b/>
                <w:bCs/>
                <w:color w:val="auto"/>
                <w:lang w:val="en-US" w:eastAsia="zh-CN"/>
              </w:rPr>
            </w:pPr>
          </w:p>
          <w:p w14:paraId="0F5B9DC2">
            <w:pPr>
              <w:bidi w:val="0"/>
              <w:jc w:val="center"/>
              <w:rPr>
                <w:rFonts w:hint="default"/>
                <w:b/>
                <w:bCs/>
                <w:color w:val="auto"/>
                <w:lang w:val="en-US" w:eastAsia="zh-CN"/>
              </w:rPr>
            </w:pPr>
          </w:p>
          <w:p w14:paraId="6F7AAA22">
            <w:pPr>
              <w:bidi w:val="0"/>
              <w:jc w:val="center"/>
              <w:rPr>
                <w:rFonts w:hint="default"/>
                <w:b/>
                <w:bCs/>
                <w:color w:val="auto"/>
                <w:lang w:val="en-US" w:eastAsia="zh-CN"/>
              </w:rPr>
            </w:pPr>
            <w:r>
              <w:rPr>
                <w:rFonts w:hint="default"/>
                <w:b/>
                <w:bCs/>
                <w:color w:val="auto"/>
                <w:lang w:val="en-US" w:eastAsia="zh-CN"/>
              </w:rPr>
              <w:t>表</w:t>
            </w:r>
            <w:r>
              <w:rPr>
                <w:rFonts w:hint="eastAsia"/>
                <w:b/>
                <w:bCs/>
                <w:color w:val="auto"/>
                <w:lang w:val="en-US" w:eastAsia="zh-CN"/>
              </w:rPr>
              <w:t>4-8</w:t>
            </w:r>
            <w:r>
              <w:rPr>
                <w:rFonts w:hint="default"/>
                <w:b/>
                <w:bCs/>
                <w:color w:val="auto"/>
                <w:lang w:val="en-US" w:eastAsia="zh-CN"/>
              </w:rPr>
              <w:t>危险物质的理化性质及危险特性</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
              <w:gridCol w:w="1094"/>
              <w:gridCol w:w="933"/>
              <w:gridCol w:w="1029"/>
              <w:gridCol w:w="973"/>
              <w:gridCol w:w="989"/>
              <w:gridCol w:w="965"/>
              <w:gridCol w:w="989"/>
            </w:tblGrid>
            <w:tr w14:paraId="6FC12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08" w:type="pct"/>
                  <w:vMerge w:val="restart"/>
                  <w:tcBorders>
                    <w:tl2br w:val="nil"/>
                    <w:tr2bl w:val="nil"/>
                  </w:tcBorders>
                  <w:noWrap w:val="0"/>
                  <w:vAlign w:val="center"/>
                </w:tcPr>
                <w:p w14:paraId="24294A7D">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rPr>
                  </w:pPr>
                  <w:r>
                    <w:rPr>
                      <w:rFonts w:hint="eastAsia"/>
                      <w:color w:val="auto"/>
                    </w:rPr>
                    <w:t>化学名称</w:t>
                  </w:r>
                </w:p>
              </w:tc>
              <w:tc>
                <w:tcPr>
                  <w:tcW w:w="689" w:type="pct"/>
                  <w:vMerge w:val="restart"/>
                  <w:tcBorders>
                    <w:tl2br w:val="nil"/>
                    <w:tr2bl w:val="nil"/>
                  </w:tcBorders>
                  <w:noWrap w:val="0"/>
                  <w:vAlign w:val="center"/>
                </w:tcPr>
                <w:p w14:paraId="114F1105">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rPr>
                  </w:pPr>
                  <w:r>
                    <w:rPr>
                      <w:rFonts w:hint="eastAsia"/>
                      <w:color w:val="auto"/>
                    </w:rPr>
                    <w:t>沸点（℃）</w:t>
                  </w:r>
                </w:p>
              </w:tc>
              <w:tc>
                <w:tcPr>
                  <w:tcW w:w="588" w:type="pct"/>
                  <w:vMerge w:val="restart"/>
                  <w:tcBorders>
                    <w:tl2br w:val="nil"/>
                    <w:tr2bl w:val="nil"/>
                  </w:tcBorders>
                  <w:noWrap w:val="0"/>
                  <w:vAlign w:val="center"/>
                </w:tcPr>
                <w:p w14:paraId="5525F12E">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rPr>
                  </w:pPr>
                  <w:r>
                    <w:rPr>
                      <w:rFonts w:hint="eastAsia"/>
                      <w:color w:val="auto"/>
                    </w:rPr>
                    <w:t>相对密度</w:t>
                  </w:r>
                </w:p>
              </w:tc>
              <w:tc>
                <w:tcPr>
                  <w:tcW w:w="648" w:type="pct"/>
                  <w:vMerge w:val="restart"/>
                  <w:tcBorders>
                    <w:tl2br w:val="nil"/>
                    <w:tr2bl w:val="nil"/>
                  </w:tcBorders>
                  <w:noWrap w:val="0"/>
                  <w:vAlign w:val="center"/>
                </w:tcPr>
                <w:p w14:paraId="2B0A34C1">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rPr>
                  </w:pPr>
                  <w:r>
                    <w:rPr>
                      <w:rFonts w:hint="eastAsia"/>
                      <w:color w:val="auto"/>
                    </w:rPr>
                    <w:t>闪点（℃）</w:t>
                  </w:r>
                </w:p>
              </w:tc>
              <w:tc>
                <w:tcPr>
                  <w:tcW w:w="1236" w:type="pct"/>
                  <w:gridSpan w:val="2"/>
                  <w:tcBorders>
                    <w:tl2br w:val="nil"/>
                    <w:tr2bl w:val="nil"/>
                  </w:tcBorders>
                  <w:noWrap w:val="0"/>
                  <w:vAlign w:val="center"/>
                </w:tcPr>
                <w:p w14:paraId="56FB1113">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rPr>
                  </w:pPr>
                  <w:r>
                    <w:rPr>
                      <w:rFonts w:hint="eastAsia"/>
                      <w:color w:val="auto"/>
                    </w:rPr>
                    <w:t>爆炸极限（体积%）</w:t>
                  </w:r>
                </w:p>
              </w:tc>
              <w:tc>
                <w:tcPr>
                  <w:tcW w:w="608" w:type="pct"/>
                  <w:vMerge w:val="restart"/>
                  <w:tcBorders>
                    <w:tl2br w:val="nil"/>
                    <w:tr2bl w:val="nil"/>
                  </w:tcBorders>
                  <w:noWrap w:val="0"/>
                  <w:vAlign w:val="center"/>
                </w:tcPr>
                <w:p w14:paraId="2A0BD81E">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rPr>
                  </w:pPr>
                  <w:r>
                    <w:rPr>
                      <w:rFonts w:hint="eastAsia"/>
                      <w:color w:val="auto"/>
                    </w:rPr>
                    <w:t>火灾危害分类</w:t>
                  </w:r>
                </w:p>
              </w:tc>
              <w:tc>
                <w:tcPr>
                  <w:tcW w:w="623" w:type="pct"/>
                  <w:vMerge w:val="restart"/>
                  <w:tcBorders>
                    <w:tl2br w:val="nil"/>
                    <w:tr2bl w:val="nil"/>
                  </w:tcBorders>
                  <w:noWrap w:val="0"/>
                  <w:vAlign w:val="center"/>
                </w:tcPr>
                <w:p w14:paraId="1413EB45">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rPr>
                  </w:pPr>
                  <w:r>
                    <w:rPr>
                      <w:rFonts w:hint="eastAsia"/>
                      <w:color w:val="auto"/>
                    </w:rPr>
                    <w:t>爆炸危险度H</w:t>
                  </w:r>
                </w:p>
              </w:tc>
            </w:tr>
            <w:tr w14:paraId="6E708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08" w:type="pct"/>
                  <w:vMerge w:val="continue"/>
                  <w:tcBorders>
                    <w:tl2br w:val="nil"/>
                    <w:tr2bl w:val="nil"/>
                  </w:tcBorders>
                  <w:noWrap w:val="0"/>
                  <w:vAlign w:val="center"/>
                </w:tcPr>
                <w:p w14:paraId="5BA0E2FA">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rPr>
                  </w:pPr>
                </w:p>
              </w:tc>
              <w:tc>
                <w:tcPr>
                  <w:tcW w:w="689" w:type="pct"/>
                  <w:vMerge w:val="continue"/>
                  <w:tcBorders>
                    <w:tl2br w:val="nil"/>
                    <w:tr2bl w:val="nil"/>
                  </w:tcBorders>
                  <w:noWrap w:val="0"/>
                  <w:vAlign w:val="center"/>
                </w:tcPr>
                <w:p w14:paraId="3838C37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rPr>
                  </w:pPr>
                </w:p>
              </w:tc>
              <w:tc>
                <w:tcPr>
                  <w:tcW w:w="588" w:type="pct"/>
                  <w:vMerge w:val="continue"/>
                  <w:tcBorders>
                    <w:tl2br w:val="nil"/>
                    <w:tr2bl w:val="nil"/>
                  </w:tcBorders>
                  <w:noWrap w:val="0"/>
                  <w:vAlign w:val="center"/>
                </w:tcPr>
                <w:p w14:paraId="7142320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rPr>
                  </w:pPr>
                </w:p>
              </w:tc>
              <w:tc>
                <w:tcPr>
                  <w:tcW w:w="648" w:type="pct"/>
                  <w:vMerge w:val="continue"/>
                  <w:tcBorders>
                    <w:tl2br w:val="nil"/>
                    <w:tr2bl w:val="nil"/>
                  </w:tcBorders>
                  <w:noWrap w:val="0"/>
                  <w:vAlign w:val="center"/>
                </w:tcPr>
                <w:p w14:paraId="638FD2B4">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rPr>
                  </w:pPr>
                </w:p>
              </w:tc>
              <w:tc>
                <w:tcPr>
                  <w:tcW w:w="613" w:type="pct"/>
                  <w:tcBorders>
                    <w:tl2br w:val="nil"/>
                    <w:tr2bl w:val="nil"/>
                  </w:tcBorders>
                  <w:noWrap w:val="0"/>
                  <w:vAlign w:val="center"/>
                </w:tcPr>
                <w:p w14:paraId="08E6A86B">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rPr>
                  </w:pPr>
                  <w:r>
                    <w:rPr>
                      <w:rFonts w:hint="eastAsia"/>
                      <w:color w:val="auto"/>
                    </w:rPr>
                    <w:t>下限</w:t>
                  </w:r>
                </w:p>
              </w:tc>
              <w:tc>
                <w:tcPr>
                  <w:tcW w:w="623" w:type="pct"/>
                  <w:tcBorders>
                    <w:tl2br w:val="nil"/>
                    <w:tr2bl w:val="nil"/>
                  </w:tcBorders>
                  <w:noWrap w:val="0"/>
                  <w:vAlign w:val="center"/>
                </w:tcPr>
                <w:p w14:paraId="69EB29DB">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rPr>
                  </w:pPr>
                  <w:r>
                    <w:rPr>
                      <w:rFonts w:hint="eastAsia"/>
                      <w:color w:val="auto"/>
                    </w:rPr>
                    <w:t>上限</w:t>
                  </w:r>
                </w:p>
              </w:tc>
              <w:tc>
                <w:tcPr>
                  <w:tcW w:w="608" w:type="pct"/>
                  <w:vMerge w:val="continue"/>
                  <w:tcBorders>
                    <w:tl2br w:val="nil"/>
                    <w:tr2bl w:val="nil"/>
                  </w:tcBorders>
                  <w:noWrap w:val="0"/>
                  <w:vAlign w:val="center"/>
                </w:tcPr>
                <w:p w14:paraId="1968D9A3">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rPr>
                  </w:pPr>
                </w:p>
              </w:tc>
              <w:tc>
                <w:tcPr>
                  <w:tcW w:w="623" w:type="pct"/>
                  <w:vMerge w:val="continue"/>
                  <w:tcBorders>
                    <w:tl2br w:val="nil"/>
                    <w:tr2bl w:val="nil"/>
                  </w:tcBorders>
                  <w:noWrap w:val="0"/>
                  <w:vAlign w:val="center"/>
                </w:tcPr>
                <w:p w14:paraId="1295A67A">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rPr>
                  </w:pPr>
                </w:p>
              </w:tc>
            </w:tr>
            <w:tr w14:paraId="059F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08" w:type="pct"/>
                  <w:tcBorders>
                    <w:tl2br w:val="nil"/>
                    <w:tr2bl w:val="nil"/>
                  </w:tcBorders>
                  <w:noWrap w:val="0"/>
                  <w:vAlign w:val="center"/>
                </w:tcPr>
                <w:p w14:paraId="4979A974">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lang w:eastAsia="zh-CN"/>
                    </w:rPr>
                  </w:pPr>
                  <w:r>
                    <w:rPr>
                      <w:rFonts w:hint="eastAsia"/>
                      <w:color w:val="auto"/>
                      <w:lang w:eastAsia="zh-CN"/>
                    </w:rPr>
                    <w:t>废润滑油</w:t>
                  </w:r>
                </w:p>
              </w:tc>
              <w:tc>
                <w:tcPr>
                  <w:tcW w:w="689" w:type="pct"/>
                  <w:tcBorders>
                    <w:tl2br w:val="nil"/>
                    <w:tr2bl w:val="nil"/>
                  </w:tcBorders>
                  <w:noWrap w:val="0"/>
                  <w:vAlign w:val="center"/>
                </w:tcPr>
                <w:p w14:paraId="1A500F51">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rPr>
                  </w:pPr>
                  <w:r>
                    <w:rPr>
                      <w:rFonts w:hint="eastAsia"/>
                      <w:color w:val="auto"/>
                    </w:rPr>
                    <w:t>179-210</w:t>
                  </w:r>
                </w:p>
              </w:tc>
              <w:tc>
                <w:tcPr>
                  <w:tcW w:w="588" w:type="pct"/>
                  <w:tcBorders>
                    <w:tl2br w:val="nil"/>
                    <w:tr2bl w:val="nil"/>
                  </w:tcBorders>
                  <w:noWrap w:val="0"/>
                  <w:vAlign w:val="center"/>
                </w:tcPr>
                <w:p w14:paraId="4C221862">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rPr>
                  </w:pPr>
                  <w:r>
                    <w:rPr>
                      <w:rFonts w:hint="eastAsia"/>
                      <w:color w:val="auto"/>
                    </w:rPr>
                    <w:t>0.85</w:t>
                  </w:r>
                </w:p>
              </w:tc>
              <w:tc>
                <w:tcPr>
                  <w:tcW w:w="648" w:type="pct"/>
                  <w:tcBorders>
                    <w:tl2br w:val="nil"/>
                    <w:tr2bl w:val="nil"/>
                  </w:tcBorders>
                  <w:noWrap w:val="0"/>
                  <w:vAlign w:val="center"/>
                </w:tcPr>
                <w:p w14:paraId="3A3EA80D">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rPr>
                  </w:pPr>
                  <w:r>
                    <w:rPr>
                      <w:rFonts w:hint="eastAsia"/>
                      <w:color w:val="auto"/>
                    </w:rPr>
                    <w:t>135</w:t>
                  </w:r>
                </w:p>
              </w:tc>
              <w:tc>
                <w:tcPr>
                  <w:tcW w:w="613" w:type="pct"/>
                  <w:tcBorders>
                    <w:tl2br w:val="nil"/>
                    <w:tr2bl w:val="nil"/>
                  </w:tcBorders>
                  <w:noWrap w:val="0"/>
                  <w:vAlign w:val="center"/>
                </w:tcPr>
                <w:p w14:paraId="58DAAA3A">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rPr>
                  </w:pPr>
                  <w:r>
                    <w:rPr>
                      <w:rFonts w:hint="eastAsia"/>
                      <w:color w:val="auto"/>
                    </w:rPr>
                    <w:t>3.8</w:t>
                  </w:r>
                </w:p>
              </w:tc>
              <w:tc>
                <w:tcPr>
                  <w:tcW w:w="623" w:type="pct"/>
                  <w:tcBorders>
                    <w:tl2br w:val="nil"/>
                    <w:tr2bl w:val="nil"/>
                  </w:tcBorders>
                  <w:noWrap w:val="0"/>
                  <w:vAlign w:val="center"/>
                </w:tcPr>
                <w:p w14:paraId="0F2802AF">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rPr>
                  </w:pPr>
                  <w:r>
                    <w:rPr>
                      <w:rFonts w:hint="eastAsia"/>
                      <w:color w:val="auto"/>
                    </w:rPr>
                    <w:t>10.2</w:t>
                  </w:r>
                </w:p>
              </w:tc>
              <w:tc>
                <w:tcPr>
                  <w:tcW w:w="608" w:type="pct"/>
                  <w:tcBorders>
                    <w:tl2br w:val="nil"/>
                    <w:tr2bl w:val="nil"/>
                  </w:tcBorders>
                  <w:noWrap w:val="0"/>
                  <w:vAlign w:val="center"/>
                </w:tcPr>
                <w:p w14:paraId="56982DFC">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rPr>
                  </w:pPr>
                  <w:r>
                    <w:rPr>
                      <w:rFonts w:hint="eastAsia"/>
                      <w:color w:val="auto"/>
                    </w:rPr>
                    <w:t>丙类可燃液体</w:t>
                  </w:r>
                </w:p>
              </w:tc>
              <w:tc>
                <w:tcPr>
                  <w:tcW w:w="623" w:type="pct"/>
                  <w:tcBorders>
                    <w:tl2br w:val="nil"/>
                    <w:tr2bl w:val="nil"/>
                  </w:tcBorders>
                  <w:noWrap w:val="0"/>
                  <w:vAlign w:val="center"/>
                </w:tcPr>
                <w:p w14:paraId="423445AE">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rPr>
                  </w:pPr>
                  <w:r>
                    <w:rPr>
                      <w:rFonts w:hint="eastAsia"/>
                      <w:color w:val="auto"/>
                    </w:rPr>
                    <w:t>1.68</w:t>
                  </w:r>
                </w:p>
              </w:tc>
            </w:tr>
          </w:tbl>
          <w:p w14:paraId="0D590E35">
            <w:pPr>
              <w:bidi w:val="0"/>
              <w:rPr>
                <w:rFonts w:hint="eastAsia"/>
                <w:color w:val="auto"/>
                <w:lang w:val="en-US" w:eastAsia="zh-CN"/>
              </w:rPr>
            </w:pPr>
            <w:r>
              <w:rPr>
                <w:rFonts w:hint="eastAsia"/>
                <w:color w:val="auto"/>
                <w:lang w:val="en-US" w:eastAsia="zh-CN"/>
              </w:rPr>
              <w:fldChar w:fldCharType="begin"/>
            </w:r>
            <w:r>
              <w:rPr>
                <w:rFonts w:hint="eastAsia"/>
                <w:color w:val="auto"/>
                <w:lang w:val="en-US" w:eastAsia="zh-CN"/>
              </w:rPr>
              <w:instrText xml:space="preserve"> = 3 \* roman </w:instrText>
            </w:r>
            <w:r>
              <w:rPr>
                <w:rFonts w:hint="eastAsia"/>
                <w:color w:val="auto"/>
                <w:lang w:val="en-US" w:eastAsia="zh-CN"/>
              </w:rPr>
              <w:fldChar w:fldCharType="separate"/>
            </w:r>
            <w:r>
              <w:rPr>
                <w:rFonts w:hint="eastAsia"/>
                <w:color w:val="auto"/>
                <w:lang w:val="en-US" w:eastAsia="zh-CN"/>
              </w:rPr>
              <w:t>iii</w:t>
            </w:r>
            <w:r>
              <w:rPr>
                <w:rFonts w:hint="eastAsia"/>
                <w:color w:val="auto"/>
                <w:lang w:val="en-US" w:eastAsia="zh-CN"/>
              </w:rPr>
              <w:fldChar w:fldCharType="end"/>
            </w:r>
            <w:r>
              <w:rPr>
                <w:rFonts w:hint="eastAsia"/>
                <w:color w:val="auto"/>
                <w:lang w:val="en-US" w:eastAsia="zh-CN"/>
              </w:rPr>
              <w:t>毒性危险</w:t>
            </w:r>
          </w:p>
          <w:p w14:paraId="04A6286E">
            <w:pPr>
              <w:bidi w:val="0"/>
              <w:rPr>
                <w:rFonts w:hint="eastAsia"/>
                <w:color w:val="auto"/>
                <w:lang w:val="en-US" w:eastAsia="zh-CN"/>
              </w:rPr>
            </w:pPr>
            <w:r>
              <w:rPr>
                <w:rFonts w:hint="eastAsia"/>
                <w:color w:val="auto"/>
                <w:lang w:val="en-US" w:eastAsia="zh-CN"/>
              </w:rPr>
              <w:t>根据《关于检查化工石化等新建项目环境风险的通知》（国家环境保护总局办公厅文件环办〔2006〕4号）中关于“危险性物质排查”判定危险性物质的标准按《物质危险性标准》（《建设项目环境风险评价技术导则》附录A.1表1）或《职业性接触毒物危害程度分级》（GB5044-85）执行，本次评价物料毒性分级按《职业性接触毒物危害程度分级》（GB5044-85）中规定的方法分级，见表4-9。</w:t>
            </w:r>
          </w:p>
          <w:p w14:paraId="0FEE46D6">
            <w:pPr>
              <w:bidi w:val="0"/>
              <w:jc w:val="center"/>
              <w:rPr>
                <w:rFonts w:hint="default"/>
                <w:b/>
                <w:bCs/>
                <w:color w:val="auto"/>
                <w:lang w:val="en-US" w:eastAsia="zh-CN"/>
              </w:rPr>
            </w:pPr>
            <w:r>
              <w:rPr>
                <w:rFonts w:hint="default"/>
                <w:b/>
                <w:bCs/>
                <w:color w:val="auto"/>
                <w:lang w:val="en-US" w:eastAsia="zh-CN"/>
              </w:rPr>
              <w:t>表</w:t>
            </w:r>
            <w:r>
              <w:rPr>
                <w:rFonts w:hint="eastAsia"/>
                <w:b/>
                <w:bCs/>
                <w:color w:val="auto"/>
                <w:lang w:val="en-US" w:eastAsia="zh-CN"/>
              </w:rPr>
              <w:t>4-9</w:t>
            </w:r>
            <w:r>
              <w:rPr>
                <w:rFonts w:hint="default"/>
                <w:b/>
                <w:bCs/>
                <w:color w:val="auto"/>
                <w:lang w:val="en-US" w:eastAsia="zh-CN"/>
              </w:rPr>
              <w:t>毒物危害程度分级</w:t>
            </w:r>
          </w:p>
          <w:tbl>
            <w:tblPr>
              <w:tblStyle w:val="1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3"/>
              <w:gridCol w:w="1873"/>
              <w:gridCol w:w="1343"/>
              <w:gridCol w:w="1343"/>
              <w:gridCol w:w="1476"/>
              <w:gridCol w:w="1498"/>
            </w:tblGrid>
            <w:tr w14:paraId="12005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54" w:type="pct"/>
                  <w:vMerge w:val="restart"/>
                  <w:tcBorders>
                    <w:tl2br w:val="nil"/>
                    <w:tr2bl w:val="nil"/>
                  </w:tcBorders>
                  <w:noWrap w:val="0"/>
                  <w:vAlign w:val="center"/>
                </w:tcPr>
                <w:p w14:paraId="45C1622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rPr>
                  </w:pPr>
                  <w:r>
                    <w:rPr>
                      <w:rFonts w:hint="eastAsia"/>
                      <w:color w:val="auto"/>
                    </w:rPr>
                    <w:t>危险中毒</w:t>
                  </w:r>
                </w:p>
              </w:tc>
              <w:tc>
                <w:tcPr>
                  <w:tcW w:w="1180" w:type="pct"/>
                  <w:vMerge w:val="restart"/>
                  <w:tcBorders>
                    <w:tl2br w:val="nil"/>
                    <w:tr2bl w:val="nil"/>
                  </w:tcBorders>
                  <w:noWrap w:val="0"/>
                  <w:vAlign w:val="center"/>
                </w:tcPr>
                <w:p w14:paraId="0D28958B">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rPr>
                  </w:pPr>
                  <w:r>
                    <w:rPr>
                      <w:rFonts w:hint="eastAsia"/>
                      <w:color w:val="auto"/>
                    </w:rPr>
                    <w:t>指标</w:t>
                  </w:r>
                </w:p>
              </w:tc>
              <w:tc>
                <w:tcPr>
                  <w:tcW w:w="3566" w:type="pct"/>
                  <w:gridSpan w:val="4"/>
                  <w:tcBorders>
                    <w:tl2br w:val="nil"/>
                    <w:tr2bl w:val="nil"/>
                  </w:tcBorders>
                  <w:noWrap w:val="0"/>
                  <w:vAlign w:val="center"/>
                </w:tcPr>
                <w:p w14:paraId="5260973C">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rPr>
                  </w:pPr>
                  <w:r>
                    <w:rPr>
                      <w:rFonts w:hint="eastAsia"/>
                      <w:color w:val="auto"/>
                    </w:rPr>
                    <w:t>分级</w:t>
                  </w:r>
                </w:p>
              </w:tc>
            </w:tr>
            <w:tr w14:paraId="40FF4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54" w:type="pct"/>
                  <w:vMerge w:val="continue"/>
                  <w:tcBorders>
                    <w:tl2br w:val="nil"/>
                    <w:tr2bl w:val="nil"/>
                  </w:tcBorders>
                  <w:noWrap w:val="0"/>
                  <w:vAlign w:val="center"/>
                </w:tcPr>
                <w:p w14:paraId="38B7879E">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rPr>
                  </w:pPr>
                </w:p>
              </w:tc>
              <w:tc>
                <w:tcPr>
                  <w:tcW w:w="1180" w:type="pct"/>
                  <w:vMerge w:val="continue"/>
                  <w:tcBorders>
                    <w:tl2br w:val="nil"/>
                    <w:tr2bl w:val="nil"/>
                  </w:tcBorders>
                  <w:noWrap w:val="0"/>
                  <w:vAlign w:val="center"/>
                </w:tcPr>
                <w:p w14:paraId="3A512F9D">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rPr>
                  </w:pPr>
                </w:p>
              </w:tc>
              <w:tc>
                <w:tcPr>
                  <w:tcW w:w="846" w:type="pct"/>
                  <w:tcBorders>
                    <w:tl2br w:val="nil"/>
                    <w:tr2bl w:val="nil"/>
                  </w:tcBorders>
                  <w:noWrap w:val="0"/>
                  <w:vAlign w:val="center"/>
                </w:tcPr>
                <w:p w14:paraId="3B53F47E">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rPr>
                  </w:pPr>
                  <w:r>
                    <w:rPr>
                      <w:rFonts w:hint="eastAsia"/>
                      <w:color w:val="auto"/>
                    </w:rPr>
                    <w:t>Ⅰ（极度危险）</w:t>
                  </w:r>
                </w:p>
              </w:tc>
              <w:tc>
                <w:tcPr>
                  <w:tcW w:w="846" w:type="pct"/>
                  <w:tcBorders>
                    <w:tl2br w:val="nil"/>
                    <w:tr2bl w:val="nil"/>
                  </w:tcBorders>
                  <w:noWrap w:val="0"/>
                  <w:vAlign w:val="center"/>
                </w:tcPr>
                <w:p w14:paraId="2B208634">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rPr>
                  </w:pPr>
                  <w:r>
                    <w:rPr>
                      <w:rFonts w:hint="eastAsia"/>
                      <w:color w:val="auto"/>
                    </w:rPr>
                    <w:t>Ⅱ（高度危险）</w:t>
                  </w:r>
                </w:p>
              </w:tc>
              <w:tc>
                <w:tcPr>
                  <w:tcW w:w="930" w:type="pct"/>
                  <w:tcBorders>
                    <w:tl2br w:val="nil"/>
                    <w:tr2bl w:val="nil"/>
                  </w:tcBorders>
                  <w:noWrap w:val="0"/>
                  <w:vAlign w:val="center"/>
                </w:tcPr>
                <w:p w14:paraId="00AF1E70">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rPr>
                  </w:pPr>
                  <w:r>
                    <w:rPr>
                      <w:rFonts w:hint="eastAsia"/>
                      <w:color w:val="auto"/>
                    </w:rPr>
                    <w:t>Ⅲ（中度危险）</w:t>
                  </w:r>
                </w:p>
              </w:tc>
              <w:tc>
                <w:tcPr>
                  <w:tcW w:w="943" w:type="pct"/>
                  <w:tcBorders>
                    <w:tl2br w:val="nil"/>
                    <w:tr2bl w:val="nil"/>
                  </w:tcBorders>
                  <w:noWrap w:val="0"/>
                  <w:vAlign w:val="center"/>
                </w:tcPr>
                <w:p w14:paraId="67A1430D">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rPr>
                  </w:pPr>
                  <w:r>
                    <w:rPr>
                      <w:rFonts w:hint="eastAsia"/>
                      <w:color w:val="auto"/>
                    </w:rPr>
                    <w:t>Ⅳ（轻度危险）</w:t>
                  </w:r>
                </w:p>
              </w:tc>
            </w:tr>
            <w:tr w14:paraId="068EB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54" w:type="pct"/>
                  <w:vMerge w:val="continue"/>
                  <w:tcBorders>
                    <w:tl2br w:val="nil"/>
                    <w:tr2bl w:val="nil"/>
                  </w:tcBorders>
                  <w:noWrap w:val="0"/>
                  <w:vAlign w:val="center"/>
                </w:tcPr>
                <w:p w14:paraId="2EEA7B9C">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rPr>
                  </w:pPr>
                </w:p>
              </w:tc>
              <w:tc>
                <w:tcPr>
                  <w:tcW w:w="1180" w:type="pct"/>
                  <w:tcBorders>
                    <w:tl2br w:val="nil"/>
                    <w:tr2bl w:val="nil"/>
                  </w:tcBorders>
                  <w:noWrap w:val="0"/>
                  <w:vAlign w:val="center"/>
                </w:tcPr>
                <w:p w14:paraId="46731B65">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rPr>
                  </w:pPr>
                  <w:r>
                    <w:rPr>
                      <w:rFonts w:hint="eastAsia"/>
                      <w:color w:val="auto"/>
                    </w:rPr>
                    <w:t>吸入LC50（mg</w:t>
                  </w:r>
                  <w:r>
                    <w:rPr>
                      <w:rFonts w:hint="eastAsia"/>
                      <w:color w:val="auto"/>
                      <w:lang w:eastAsia="zh-CN"/>
                    </w:rPr>
                    <w:t>m³</w:t>
                  </w:r>
                  <w:r>
                    <w:rPr>
                      <w:rFonts w:hint="eastAsia"/>
                      <w:color w:val="auto"/>
                    </w:rPr>
                    <w:t>）</w:t>
                  </w:r>
                </w:p>
              </w:tc>
              <w:tc>
                <w:tcPr>
                  <w:tcW w:w="846" w:type="pct"/>
                  <w:tcBorders>
                    <w:tl2br w:val="nil"/>
                    <w:tr2bl w:val="nil"/>
                  </w:tcBorders>
                  <w:noWrap w:val="0"/>
                  <w:vAlign w:val="center"/>
                </w:tcPr>
                <w:p w14:paraId="4BEF7F1B">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rPr>
                  </w:pPr>
                  <w:r>
                    <w:rPr>
                      <w:rFonts w:hint="eastAsia"/>
                      <w:color w:val="auto"/>
                    </w:rPr>
                    <w:t>＜200</w:t>
                  </w:r>
                </w:p>
              </w:tc>
              <w:tc>
                <w:tcPr>
                  <w:tcW w:w="846" w:type="pct"/>
                  <w:tcBorders>
                    <w:tl2br w:val="nil"/>
                    <w:tr2bl w:val="nil"/>
                  </w:tcBorders>
                  <w:noWrap w:val="0"/>
                  <w:vAlign w:val="center"/>
                </w:tcPr>
                <w:p w14:paraId="2797DBF1">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rPr>
                  </w:pPr>
                  <w:r>
                    <w:rPr>
                      <w:rFonts w:hint="eastAsia"/>
                      <w:color w:val="auto"/>
                    </w:rPr>
                    <w:t>200-2000</w:t>
                  </w:r>
                </w:p>
              </w:tc>
              <w:tc>
                <w:tcPr>
                  <w:tcW w:w="930" w:type="pct"/>
                  <w:tcBorders>
                    <w:tl2br w:val="nil"/>
                    <w:tr2bl w:val="nil"/>
                  </w:tcBorders>
                  <w:noWrap w:val="0"/>
                  <w:vAlign w:val="center"/>
                </w:tcPr>
                <w:p w14:paraId="1D0C9A5F">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rPr>
                  </w:pPr>
                  <w:r>
                    <w:rPr>
                      <w:rFonts w:hint="eastAsia"/>
                      <w:color w:val="auto"/>
                    </w:rPr>
                    <w:t>2000-20000</w:t>
                  </w:r>
                </w:p>
              </w:tc>
              <w:tc>
                <w:tcPr>
                  <w:tcW w:w="943" w:type="pct"/>
                  <w:tcBorders>
                    <w:tl2br w:val="nil"/>
                    <w:tr2bl w:val="nil"/>
                  </w:tcBorders>
                  <w:noWrap w:val="0"/>
                  <w:vAlign w:val="center"/>
                </w:tcPr>
                <w:p w14:paraId="1EAE9E9E">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rPr>
                  </w:pPr>
                  <w:r>
                    <w:rPr>
                      <w:rFonts w:hint="eastAsia"/>
                      <w:color w:val="auto"/>
                    </w:rPr>
                    <w:t>＞20000</w:t>
                  </w:r>
                </w:p>
              </w:tc>
            </w:tr>
            <w:tr w14:paraId="32E11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54" w:type="pct"/>
                  <w:vMerge w:val="continue"/>
                  <w:tcBorders>
                    <w:tl2br w:val="nil"/>
                    <w:tr2bl w:val="nil"/>
                  </w:tcBorders>
                  <w:noWrap w:val="0"/>
                  <w:vAlign w:val="center"/>
                </w:tcPr>
                <w:p w14:paraId="3EB7EC6E">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rPr>
                  </w:pPr>
                </w:p>
              </w:tc>
              <w:tc>
                <w:tcPr>
                  <w:tcW w:w="1180" w:type="pct"/>
                  <w:tcBorders>
                    <w:tl2br w:val="nil"/>
                    <w:tr2bl w:val="nil"/>
                  </w:tcBorders>
                  <w:noWrap w:val="0"/>
                  <w:vAlign w:val="center"/>
                </w:tcPr>
                <w:p w14:paraId="212892B4">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rPr>
                  </w:pPr>
                  <w:r>
                    <w:rPr>
                      <w:rFonts w:hint="eastAsia"/>
                      <w:color w:val="auto"/>
                    </w:rPr>
                    <w:t>吸皮LD50（mg/kg）</w:t>
                  </w:r>
                </w:p>
              </w:tc>
              <w:tc>
                <w:tcPr>
                  <w:tcW w:w="846" w:type="pct"/>
                  <w:tcBorders>
                    <w:tl2br w:val="nil"/>
                    <w:tr2bl w:val="nil"/>
                  </w:tcBorders>
                  <w:noWrap w:val="0"/>
                  <w:vAlign w:val="center"/>
                </w:tcPr>
                <w:p w14:paraId="312AC650">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rPr>
                  </w:pPr>
                  <w:r>
                    <w:rPr>
                      <w:rFonts w:hint="eastAsia"/>
                      <w:color w:val="auto"/>
                    </w:rPr>
                    <w:t>＜100</w:t>
                  </w:r>
                </w:p>
              </w:tc>
              <w:tc>
                <w:tcPr>
                  <w:tcW w:w="846" w:type="pct"/>
                  <w:tcBorders>
                    <w:tl2br w:val="nil"/>
                    <w:tr2bl w:val="nil"/>
                  </w:tcBorders>
                  <w:noWrap w:val="0"/>
                  <w:vAlign w:val="center"/>
                </w:tcPr>
                <w:p w14:paraId="541DE193">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rPr>
                  </w:pPr>
                  <w:r>
                    <w:rPr>
                      <w:rFonts w:hint="eastAsia"/>
                      <w:color w:val="auto"/>
                    </w:rPr>
                    <w:t>100-500</w:t>
                  </w:r>
                </w:p>
              </w:tc>
              <w:tc>
                <w:tcPr>
                  <w:tcW w:w="930" w:type="pct"/>
                  <w:tcBorders>
                    <w:tl2br w:val="nil"/>
                    <w:tr2bl w:val="nil"/>
                  </w:tcBorders>
                  <w:noWrap w:val="0"/>
                  <w:vAlign w:val="center"/>
                </w:tcPr>
                <w:p w14:paraId="4F26077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rPr>
                  </w:pPr>
                  <w:r>
                    <w:rPr>
                      <w:rFonts w:hint="eastAsia"/>
                      <w:color w:val="auto"/>
                    </w:rPr>
                    <w:t>500-2500</w:t>
                  </w:r>
                </w:p>
              </w:tc>
              <w:tc>
                <w:tcPr>
                  <w:tcW w:w="943" w:type="pct"/>
                  <w:tcBorders>
                    <w:tl2br w:val="nil"/>
                    <w:tr2bl w:val="nil"/>
                  </w:tcBorders>
                  <w:noWrap w:val="0"/>
                  <w:vAlign w:val="center"/>
                </w:tcPr>
                <w:p w14:paraId="032511B4">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rPr>
                  </w:pPr>
                  <w:r>
                    <w:rPr>
                      <w:rFonts w:hint="eastAsia"/>
                      <w:color w:val="auto"/>
                    </w:rPr>
                    <w:t>＞2500</w:t>
                  </w:r>
                </w:p>
              </w:tc>
            </w:tr>
            <w:tr w14:paraId="0167F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54" w:type="pct"/>
                  <w:vMerge w:val="continue"/>
                  <w:tcBorders>
                    <w:tl2br w:val="nil"/>
                    <w:tr2bl w:val="nil"/>
                  </w:tcBorders>
                  <w:noWrap w:val="0"/>
                  <w:vAlign w:val="center"/>
                </w:tcPr>
                <w:p w14:paraId="51A7151A">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rPr>
                  </w:pPr>
                </w:p>
              </w:tc>
              <w:tc>
                <w:tcPr>
                  <w:tcW w:w="1180" w:type="pct"/>
                  <w:tcBorders>
                    <w:tl2br w:val="nil"/>
                    <w:tr2bl w:val="nil"/>
                  </w:tcBorders>
                  <w:noWrap w:val="0"/>
                  <w:vAlign w:val="center"/>
                </w:tcPr>
                <w:p w14:paraId="4B2C5BB5">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rPr>
                  </w:pPr>
                  <w:r>
                    <w:rPr>
                      <w:rFonts w:hint="eastAsia"/>
                      <w:color w:val="auto"/>
                    </w:rPr>
                    <w:t>吸口LD50（mg/kg）</w:t>
                  </w:r>
                </w:p>
              </w:tc>
              <w:tc>
                <w:tcPr>
                  <w:tcW w:w="846" w:type="pct"/>
                  <w:tcBorders>
                    <w:tl2br w:val="nil"/>
                    <w:tr2bl w:val="nil"/>
                  </w:tcBorders>
                  <w:noWrap w:val="0"/>
                  <w:vAlign w:val="center"/>
                </w:tcPr>
                <w:p w14:paraId="66230EC5">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rPr>
                  </w:pPr>
                  <w:r>
                    <w:rPr>
                      <w:rFonts w:hint="eastAsia"/>
                      <w:color w:val="auto"/>
                    </w:rPr>
                    <w:t>＜25</w:t>
                  </w:r>
                </w:p>
              </w:tc>
              <w:tc>
                <w:tcPr>
                  <w:tcW w:w="846" w:type="pct"/>
                  <w:tcBorders>
                    <w:tl2br w:val="nil"/>
                    <w:tr2bl w:val="nil"/>
                  </w:tcBorders>
                  <w:noWrap w:val="0"/>
                  <w:vAlign w:val="center"/>
                </w:tcPr>
                <w:p w14:paraId="6484BC8E">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rPr>
                  </w:pPr>
                  <w:r>
                    <w:rPr>
                      <w:rFonts w:hint="eastAsia"/>
                      <w:color w:val="auto"/>
                    </w:rPr>
                    <w:t>25-500</w:t>
                  </w:r>
                </w:p>
              </w:tc>
              <w:tc>
                <w:tcPr>
                  <w:tcW w:w="930" w:type="pct"/>
                  <w:tcBorders>
                    <w:tl2br w:val="nil"/>
                    <w:tr2bl w:val="nil"/>
                  </w:tcBorders>
                  <w:noWrap w:val="0"/>
                  <w:vAlign w:val="center"/>
                </w:tcPr>
                <w:p w14:paraId="329C3180">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rPr>
                  </w:pPr>
                  <w:r>
                    <w:rPr>
                      <w:rFonts w:hint="eastAsia"/>
                      <w:color w:val="auto"/>
                    </w:rPr>
                    <w:t>500-5000</w:t>
                  </w:r>
                </w:p>
              </w:tc>
              <w:tc>
                <w:tcPr>
                  <w:tcW w:w="943" w:type="pct"/>
                  <w:tcBorders>
                    <w:tl2br w:val="nil"/>
                    <w:tr2bl w:val="nil"/>
                  </w:tcBorders>
                  <w:noWrap w:val="0"/>
                  <w:vAlign w:val="center"/>
                </w:tcPr>
                <w:p w14:paraId="0CED3D5E">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rPr>
                  </w:pPr>
                  <w:r>
                    <w:rPr>
                      <w:rFonts w:hint="eastAsia"/>
                      <w:color w:val="auto"/>
                    </w:rPr>
                    <w:t>＞5000</w:t>
                  </w:r>
                </w:p>
              </w:tc>
            </w:tr>
          </w:tbl>
          <w:p w14:paraId="70502A1C">
            <w:pPr>
              <w:bidi w:val="0"/>
              <w:rPr>
                <w:rFonts w:hint="eastAsia"/>
                <w:color w:val="auto"/>
                <w:lang w:val="en-US" w:eastAsia="zh-CN"/>
              </w:rPr>
            </w:pPr>
            <w:r>
              <w:rPr>
                <w:rFonts w:hint="eastAsia"/>
                <w:color w:val="auto"/>
                <w:lang w:val="en-US" w:eastAsia="zh-CN"/>
              </w:rPr>
              <w:fldChar w:fldCharType="begin"/>
            </w:r>
            <w:r>
              <w:rPr>
                <w:rFonts w:hint="eastAsia"/>
                <w:color w:val="auto"/>
                <w:lang w:val="en-US" w:eastAsia="zh-CN"/>
              </w:rPr>
              <w:instrText xml:space="preserve"> = 2 \* GB3 </w:instrText>
            </w:r>
            <w:r>
              <w:rPr>
                <w:rFonts w:hint="eastAsia"/>
                <w:color w:val="auto"/>
                <w:lang w:val="en-US" w:eastAsia="zh-CN"/>
              </w:rPr>
              <w:fldChar w:fldCharType="separate"/>
            </w:r>
            <w:r>
              <w:rPr>
                <w:rFonts w:hint="eastAsia"/>
                <w:color w:val="auto"/>
                <w:lang w:val="en-US" w:eastAsia="zh-CN"/>
              </w:rPr>
              <w:t>②</w:t>
            </w:r>
            <w:r>
              <w:rPr>
                <w:rFonts w:hint="eastAsia"/>
                <w:color w:val="auto"/>
                <w:lang w:val="en-US" w:eastAsia="zh-CN"/>
              </w:rPr>
              <w:fldChar w:fldCharType="end"/>
            </w:r>
            <w:r>
              <w:rPr>
                <w:rFonts w:hint="eastAsia"/>
                <w:color w:val="auto"/>
                <w:lang w:val="en-US" w:eastAsia="zh-CN"/>
              </w:rPr>
              <w:t>环境影响途径</w:t>
            </w:r>
          </w:p>
          <w:p w14:paraId="40556922">
            <w:pPr>
              <w:bidi w:val="0"/>
              <w:rPr>
                <w:rFonts w:hint="eastAsia"/>
                <w:color w:val="auto"/>
                <w:lang w:val="en-US" w:eastAsia="zh-CN"/>
              </w:rPr>
            </w:pPr>
            <w:r>
              <w:rPr>
                <w:rFonts w:hint="eastAsia"/>
                <w:color w:val="auto"/>
                <w:lang w:val="en-US" w:eastAsia="zh-CN"/>
              </w:rPr>
              <w:t>A暂存中的风险事故</w:t>
            </w:r>
          </w:p>
          <w:p w14:paraId="68003FA0">
            <w:pPr>
              <w:bidi w:val="0"/>
              <w:rPr>
                <w:rFonts w:hint="eastAsia"/>
                <w:color w:val="auto"/>
                <w:lang w:val="en-US" w:eastAsia="zh-CN"/>
              </w:rPr>
            </w:pPr>
            <w:r>
              <w:rPr>
                <w:rFonts w:hint="eastAsia"/>
                <w:color w:val="auto"/>
                <w:lang w:val="en-US" w:eastAsia="zh-CN"/>
              </w:rPr>
              <w:t>本项目为</w:t>
            </w:r>
            <w:r>
              <w:rPr>
                <w:rFonts w:hint="default"/>
                <w:color w:val="auto"/>
              </w:rPr>
              <w:t>废油桶和</w:t>
            </w:r>
            <w:r>
              <w:rPr>
                <w:rFonts w:hint="eastAsia"/>
                <w:color w:val="auto"/>
                <w:lang w:eastAsia="zh-CN"/>
              </w:rPr>
              <w:t>废润滑油</w:t>
            </w:r>
            <w:r>
              <w:rPr>
                <w:rFonts w:hint="eastAsia"/>
                <w:color w:val="auto"/>
                <w:lang w:val="en-US" w:eastAsia="zh-CN"/>
              </w:rPr>
              <w:t>收集、暂存及转运项目，废润滑油使用密封桶盛装，废油桶加盖密封。以上物质在存储过程中存在泄漏风险，</w:t>
            </w:r>
            <w:r>
              <w:rPr>
                <w:rFonts w:hint="eastAsia"/>
                <w:color w:val="auto"/>
                <w:lang w:eastAsia="zh-CN"/>
              </w:rPr>
              <w:t>废润滑油</w:t>
            </w:r>
            <w:r>
              <w:rPr>
                <w:rFonts w:hint="eastAsia"/>
                <w:color w:val="auto"/>
                <w:lang w:val="en-US" w:eastAsia="zh-CN"/>
              </w:rPr>
              <w:t>一旦渗漏会渗入土壤并随雨水渗入地下水，造成土壤和水污染。废润滑油暂存过程中接触高热，可能导致火灾事故。</w:t>
            </w:r>
          </w:p>
          <w:p w14:paraId="657AA682">
            <w:pPr>
              <w:bidi w:val="0"/>
              <w:rPr>
                <w:rFonts w:hint="eastAsia"/>
                <w:color w:val="auto"/>
                <w:lang w:val="en-US" w:eastAsia="zh-CN"/>
              </w:rPr>
            </w:pPr>
            <w:r>
              <w:rPr>
                <w:rFonts w:hint="eastAsia"/>
                <w:color w:val="auto"/>
                <w:lang w:val="en-US" w:eastAsia="zh-CN"/>
              </w:rPr>
              <w:t>B运输中的风险事故</w:t>
            </w:r>
          </w:p>
          <w:p w14:paraId="7CAF0A2A">
            <w:pPr>
              <w:bidi w:val="0"/>
              <w:rPr>
                <w:rFonts w:hint="eastAsia"/>
                <w:color w:val="auto"/>
                <w:lang w:val="en-US" w:eastAsia="zh-CN"/>
              </w:rPr>
            </w:pPr>
            <w:r>
              <w:rPr>
                <w:rFonts w:hint="eastAsia"/>
                <w:color w:val="auto"/>
                <w:lang w:val="en-US" w:eastAsia="zh-CN"/>
              </w:rPr>
              <w:t>项目</w:t>
            </w:r>
            <w:r>
              <w:rPr>
                <w:rFonts w:hint="eastAsia"/>
                <w:color w:val="auto"/>
                <w:lang w:eastAsia="zh-CN"/>
              </w:rPr>
              <w:t>废润滑油</w:t>
            </w:r>
            <w:r>
              <w:rPr>
                <w:rFonts w:hint="eastAsia"/>
                <w:color w:val="auto"/>
                <w:lang w:val="en-US" w:eastAsia="zh-CN"/>
              </w:rPr>
              <w:t>运输靠叉车，运输过程中事故隐患主要是事故性泄漏，其中主要风险因素是运输车因交通事故导致危险物料泄漏，危险物料大量溢出而对环境造成污染或人员伤害。</w:t>
            </w:r>
          </w:p>
          <w:p w14:paraId="370A838A">
            <w:pPr>
              <w:bidi w:val="0"/>
              <w:rPr>
                <w:rFonts w:hint="eastAsia"/>
                <w:color w:val="auto"/>
                <w:lang w:val="en-US" w:eastAsia="zh-CN"/>
              </w:rPr>
            </w:pPr>
            <w:r>
              <w:rPr>
                <w:rFonts w:hint="eastAsia"/>
                <w:color w:val="auto"/>
                <w:lang w:val="en-US" w:eastAsia="zh-CN"/>
              </w:rPr>
              <w:t>（4）环境风险分析</w:t>
            </w:r>
          </w:p>
          <w:p w14:paraId="2E0C832C">
            <w:pPr>
              <w:bidi w:val="0"/>
              <w:rPr>
                <w:rFonts w:hint="eastAsia"/>
                <w:color w:val="auto"/>
                <w:lang w:val="en-US" w:eastAsia="zh-CN"/>
              </w:rPr>
            </w:pPr>
            <w:r>
              <w:rPr>
                <w:rFonts w:hint="eastAsia"/>
                <w:color w:val="auto"/>
                <w:lang w:val="en-US" w:eastAsia="zh-CN"/>
              </w:rPr>
              <w:t>废润滑油物质泄漏量计算</w:t>
            </w:r>
          </w:p>
          <w:p w14:paraId="1FC8DE6A">
            <w:pPr>
              <w:bidi w:val="0"/>
              <w:rPr>
                <w:rFonts w:hint="eastAsia"/>
                <w:color w:val="auto"/>
                <w:lang w:val="en-US" w:eastAsia="zh-CN"/>
              </w:rPr>
            </w:pPr>
            <w:r>
              <w:rPr>
                <w:rFonts w:hint="eastAsia"/>
                <w:color w:val="auto"/>
                <w:lang w:val="en-US" w:eastAsia="zh-CN"/>
              </w:rPr>
              <w:t>泄漏速率通常选用下列公式进行计算：</w:t>
            </w:r>
          </w:p>
          <w:p w14:paraId="452632B4">
            <w:pPr>
              <w:bidi w:val="0"/>
              <w:jc w:val="center"/>
              <w:rPr>
                <w:color w:val="auto"/>
              </w:rPr>
            </w:pPr>
            <w:r>
              <w:rPr>
                <w:color w:val="auto"/>
              </w:rPr>
              <w:drawing>
                <wp:inline distT="0" distB="0" distL="114300" distR="114300">
                  <wp:extent cx="2033270" cy="753745"/>
                  <wp:effectExtent l="0" t="0" r="5080" b="8255"/>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24"/>
                          <a:stretch>
                            <a:fillRect/>
                          </a:stretch>
                        </pic:blipFill>
                        <pic:spPr>
                          <a:xfrm>
                            <a:off x="0" y="0"/>
                            <a:ext cx="2033270" cy="753745"/>
                          </a:xfrm>
                          <a:prstGeom prst="rect">
                            <a:avLst/>
                          </a:prstGeom>
                          <a:noFill/>
                          <a:ln>
                            <a:noFill/>
                          </a:ln>
                        </pic:spPr>
                      </pic:pic>
                    </a:graphicData>
                  </a:graphic>
                </wp:inline>
              </w:drawing>
            </w:r>
          </w:p>
          <w:p w14:paraId="7A2E1795">
            <w:pPr>
              <w:bidi w:val="0"/>
              <w:rPr>
                <w:rFonts w:hint="eastAsia"/>
                <w:color w:val="auto"/>
                <w:lang w:val="en-US" w:eastAsia="zh-CN"/>
              </w:rPr>
            </w:pPr>
            <w:r>
              <w:rPr>
                <w:rFonts w:hint="eastAsia"/>
                <w:color w:val="auto"/>
                <w:lang w:val="en-US" w:eastAsia="zh-CN"/>
              </w:rPr>
              <w:t>式中：Q</w:t>
            </w:r>
            <w:r>
              <w:rPr>
                <w:rFonts w:hint="eastAsia"/>
                <w:color w:val="auto"/>
                <w:vertAlign w:val="subscript"/>
                <w:lang w:val="en-US" w:eastAsia="zh-CN"/>
              </w:rPr>
              <w:t>0</w:t>
            </w:r>
            <w:r>
              <w:rPr>
                <w:rFonts w:hint="eastAsia"/>
                <w:color w:val="auto"/>
                <w:lang w:val="en-US" w:eastAsia="zh-CN"/>
              </w:rPr>
              <w:t>—泄漏速率，kg/s</w:t>
            </w:r>
          </w:p>
          <w:p w14:paraId="2564BE26">
            <w:pPr>
              <w:bidi w:val="0"/>
              <w:rPr>
                <w:rFonts w:hint="eastAsia"/>
                <w:color w:val="auto"/>
                <w:lang w:val="en-US" w:eastAsia="zh-CN"/>
              </w:rPr>
            </w:pPr>
            <w:r>
              <w:rPr>
                <w:rFonts w:hint="eastAsia"/>
                <w:color w:val="auto"/>
                <w:lang w:val="en-US" w:eastAsia="zh-CN"/>
              </w:rPr>
              <w:t>A—泄漏面积，㎡</w:t>
            </w:r>
          </w:p>
          <w:p w14:paraId="3E053068">
            <w:pPr>
              <w:bidi w:val="0"/>
              <w:rPr>
                <w:rFonts w:hint="eastAsia"/>
                <w:color w:val="auto"/>
                <w:lang w:val="en-US" w:eastAsia="zh-CN"/>
              </w:rPr>
            </w:pPr>
            <w:r>
              <w:rPr>
                <w:rFonts w:hint="eastAsia"/>
                <w:color w:val="auto"/>
                <w:lang w:val="en-US" w:eastAsia="zh-CN"/>
              </w:rPr>
              <w:t>Cd—排放系数，一般取0.60～0.64</w:t>
            </w:r>
          </w:p>
          <w:p w14:paraId="0488029F">
            <w:pPr>
              <w:bidi w:val="0"/>
              <w:rPr>
                <w:rFonts w:hint="eastAsia"/>
                <w:color w:val="auto"/>
                <w:lang w:val="en-US" w:eastAsia="zh-CN"/>
              </w:rPr>
            </w:pPr>
            <w:r>
              <w:rPr>
                <w:rFonts w:hint="eastAsia"/>
                <w:color w:val="auto"/>
                <w:lang w:val="en-US" w:eastAsia="zh-CN"/>
              </w:rPr>
              <w:t>ρ—液体密度，kgm³</w:t>
            </w:r>
          </w:p>
          <w:p w14:paraId="2BE96C72">
            <w:pPr>
              <w:bidi w:val="0"/>
              <w:rPr>
                <w:rFonts w:hint="eastAsia"/>
                <w:color w:val="auto"/>
                <w:lang w:val="en-US" w:eastAsia="zh-CN"/>
              </w:rPr>
            </w:pPr>
            <w:r>
              <w:rPr>
                <w:rFonts w:hint="eastAsia"/>
                <w:color w:val="auto"/>
                <w:lang w:val="en-US" w:eastAsia="zh-CN"/>
              </w:rPr>
              <w:t>P—容器内介质压力，Pa</w:t>
            </w:r>
          </w:p>
          <w:p w14:paraId="267733CA">
            <w:pPr>
              <w:bidi w:val="0"/>
              <w:rPr>
                <w:rFonts w:hint="eastAsia"/>
                <w:color w:val="auto"/>
                <w:lang w:val="en-US" w:eastAsia="zh-CN"/>
              </w:rPr>
            </w:pPr>
            <w:r>
              <w:rPr>
                <w:rFonts w:hint="eastAsia"/>
                <w:color w:val="auto"/>
                <w:lang w:val="en-US" w:eastAsia="zh-CN"/>
              </w:rPr>
              <w:t>P0—环境压力，Pa</w:t>
            </w:r>
          </w:p>
          <w:p w14:paraId="0C8C5B5E">
            <w:pPr>
              <w:bidi w:val="0"/>
              <w:rPr>
                <w:rFonts w:hint="eastAsia"/>
                <w:color w:val="auto"/>
                <w:lang w:val="en-US" w:eastAsia="zh-CN"/>
              </w:rPr>
            </w:pPr>
            <w:r>
              <w:rPr>
                <w:rFonts w:hint="eastAsia"/>
                <w:color w:val="auto"/>
                <w:lang w:val="en-US" w:eastAsia="zh-CN"/>
              </w:rPr>
              <w:t>g—重力加速度，m/s</w:t>
            </w:r>
            <w:r>
              <w:rPr>
                <w:rFonts w:hint="eastAsia"/>
                <w:color w:val="auto"/>
                <w:vertAlign w:val="superscript"/>
                <w:lang w:val="en-US" w:eastAsia="zh-CN"/>
              </w:rPr>
              <w:t>2</w:t>
            </w:r>
          </w:p>
          <w:p w14:paraId="5D02C28E">
            <w:pPr>
              <w:bidi w:val="0"/>
              <w:rPr>
                <w:rFonts w:hint="eastAsia"/>
                <w:color w:val="auto"/>
                <w:lang w:val="en-US" w:eastAsia="zh-CN"/>
              </w:rPr>
            </w:pPr>
            <w:r>
              <w:rPr>
                <w:rFonts w:hint="eastAsia"/>
                <w:color w:val="auto"/>
                <w:lang w:val="en-US" w:eastAsia="zh-CN"/>
              </w:rPr>
              <w:t>h—液面距排放点高度，m</w:t>
            </w:r>
          </w:p>
          <w:p w14:paraId="79E07ECD">
            <w:pPr>
              <w:bidi w:val="0"/>
              <w:rPr>
                <w:rFonts w:hint="eastAsia"/>
                <w:color w:val="auto"/>
                <w:lang w:val="en-US" w:eastAsia="zh-CN"/>
              </w:rPr>
            </w:pPr>
            <w:r>
              <w:rPr>
                <w:rFonts w:hint="eastAsia"/>
                <w:color w:val="auto"/>
                <w:lang w:val="en-US" w:eastAsia="zh-CN"/>
              </w:rPr>
              <w:t>假设：泄漏面积A=0.02㎡；暂存压力ΔP=0；</w:t>
            </w:r>
          </w:p>
          <w:p w14:paraId="21F75500">
            <w:pPr>
              <w:bidi w:val="0"/>
              <w:rPr>
                <w:rFonts w:hint="eastAsia"/>
                <w:color w:val="auto"/>
                <w:lang w:val="en-US" w:eastAsia="zh-CN"/>
              </w:rPr>
            </w:pPr>
            <w:r>
              <w:rPr>
                <w:rFonts w:hint="eastAsia"/>
                <w:color w:val="auto"/>
                <w:lang w:val="en-US" w:eastAsia="zh-CN"/>
              </w:rPr>
              <w:t>液面高度h=0.5m；</w:t>
            </w:r>
          </w:p>
          <w:p w14:paraId="171F6CA8">
            <w:pPr>
              <w:bidi w:val="0"/>
              <w:rPr>
                <w:rFonts w:hint="eastAsia"/>
                <w:color w:val="auto"/>
                <w:lang w:val="en-US" w:eastAsia="zh-CN"/>
              </w:rPr>
            </w:pPr>
            <w:r>
              <w:rPr>
                <w:rFonts w:hint="eastAsia"/>
                <w:color w:val="auto"/>
                <w:lang w:val="en-US" w:eastAsia="zh-CN"/>
              </w:rPr>
              <w:t>根据上式可计算出最大泄漏速率=2.6kg/s，随着液面的降低泄漏速度也随之减小。</w:t>
            </w:r>
          </w:p>
          <w:p w14:paraId="3E0FB73B">
            <w:pPr>
              <w:bidi w:val="0"/>
              <w:rPr>
                <w:rFonts w:hint="eastAsia"/>
                <w:color w:val="auto"/>
                <w:lang w:val="en-US" w:eastAsia="zh-CN"/>
              </w:rPr>
            </w:pPr>
            <w:r>
              <w:rPr>
                <w:rFonts w:hint="eastAsia"/>
                <w:color w:val="auto"/>
                <w:lang w:val="en-US" w:eastAsia="zh-CN"/>
              </w:rPr>
              <w:t>废润滑油泄漏后经仓库内导流槽收集至集液池内，不会扩散至外环境。项目废润滑油容器均暂存在仓库内，虽然矿物油易挥发，但是由于泄漏量很小，最终散逸到环境中的油气十分有限，因此，废油桶的泄漏不会对环境产生明显的影响。</w:t>
            </w:r>
          </w:p>
          <w:p w14:paraId="3681C7C2">
            <w:pPr>
              <w:bidi w:val="0"/>
              <w:rPr>
                <w:rFonts w:hint="eastAsia"/>
                <w:color w:val="auto"/>
                <w:lang w:val="en-US" w:eastAsia="zh-CN"/>
              </w:rPr>
            </w:pPr>
            <w:r>
              <w:rPr>
                <w:rFonts w:hint="eastAsia"/>
                <w:color w:val="auto"/>
                <w:lang w:val="en-US" w:eastAsia="zh-CN"/>
              </w:rPr>
              <w:t>（5）环境风险防范措施及应急要求</w:t>
            </w:r>
          </w:p>
          <w:p w14:paraId="63264170">
            <w:pPr>
              <w:bidi w:val="0"/>
              <w:rPr>
                <w:rFonts w:hint="eastAsia"/>
                <w:color w:val="auto"/>
                <w:lang w:val="en-US" w:eastAsia="zh-CN"/>
              </w:rPr>
            </w:pPr>
            <w:r>
              <w:rPr>
                <w:rFonts w:hint="eastAsia"/>
                <w:color w:val="auto"/>
                <w:lang w:val="en-US" w:eastAsia="zh-CN"/>
              </w:rPr>
              <w:fldChar w:fldCharType="begin"/>
            </w:r>
            <w:r>
              <w:rPr>
                <w:rFonts w:hint="eastAsia"/>
                <w:color w:val="auto"/>
                <w:lang w:val="en-US" w:eastAsia="zh-CN"/>
              </w:rPr>
              <w:instrText xml:space="preserve"> = 1 \* GB3 </w:instrText>
            </w:r>
            <w:r>
              <w:rPr>
                <w:rFonts w:hint="eastAsia"/>
                <w:color w:val="auto"/>
                <w:lang w:val="en-US" w:eastAsia="zh-CN"/>
              </w:rPr>
              <w:fldChar w:fldCharType="separate"/>
            </w:r>
            <w:r>
              <w:rPr>
                <w:rFonts w:hint="eastAsia"/>
                <w:color w:val="auto"/>
                <w:lang w:val="en-US" w:eastAsia="zh-CN"/>
              </w:rPr>
              <w:t>①</w:t>
            </w:r>
            <w:r>
              <w:rPr>
                <w:rFonts w:hint="eastAsia"/>
                <w:color w:val="auto"/>
                <w:lang w:val="en-US" w:eastAsia="zh-CN"/>
              </w:rPr>
              <w:fldChar w:fldCharType="end"/>
            </w:r>
            <w:r>
              <w:rPr>
                <w:rFonts w:hint="eastAsia"/>
                <w:color w:val="auto"/>
                <w:lang w:val="en-US" w:eastAsia="zh-CN"/>
              </w:rPr>
              <w:t>风险防范管理</w:t>
            </w:r>
          </w:p>
          <w:p w14:paraId="64FDA1C9">
            <w:pPr>
              <w:bidi w:val="0"/>
              <w:rPr>
                <w:rFonts w:hint="eastAsia"/>
                <w:color w:val="auto"/>
                <w:lang w:val="en-US" w:eastAsia="zh-CN"/>
              </w:rPr>
            </w:pPr>
            <w:r>
              <w:rPr>
                <w:rFonts w:hint="eastAsia"/>
                <w:color w:val="auto"/>
                <w:lang w:val="en-US" w:eastAsia="zh-CN"/>
              </w:rPr>
              <w:t>环境风险管理的核心是降低风险度，可以从两个方面采取措施，一是降低事故发生概率，二是减轻事故危害强度，此外预先制定好切实可行的事故应急计划，可以大大减轻事故来临时可能受到的损失，针对本项目具体情况提出以下环境风险管理对策。</w:t>
            </w:r>
          </w:p>
          <w:p w14:paraId="3A0381B3">
            <w:pPr>
              <w:bidi w:val="0"/>
              <w:rPr>
                <w:rFonts w:hint="eastAsia"/>
                <w:color w:val="auto"/>
                <w:lang w:val="en-US" w:eastAsia="zh-CN"/>
              </w:rPr>
            </w:pPr>
            <w:r>
              <w:rPr>
                <w:rFonts w:hint="eastAsia"/>
                <w:color w:val="auto"/>
                <w:lang w:val="en-US" w:eastAsia="zh-CN"/>
              </w:rPr>
              <w:t>加强安全、消防和环保管理，建立健全环保、安全、消防各项制度，设置环保、安全、消防设施专职管理人员，保证设施正常运行或处于良好的待命状态。</w:t>
            </w:r>
          </w:p>
          <w:p w14:paraId="0FD9BCBB">
            <w:pPr>
              <w:bidi w:val="0"/>
              <w:rPr>
                <w:rFonts w:hint="eastAsia"/>
                <w:color w:val="auto"/>
                <w:lang w:val="en-US" w:eastAsia="zh-CN"/>
              </w:rPr>
            </w:pPr>
            <w:r>
              <w:rPr>
                <w:rFonts w:hint="eastAsia"/>
                <w:color w:val="auto"/>
                <w:lang w:val="en-US" w:eastAsia="zh-CN"/>
              </w:rPr>
              <w:t>A本项目废润滑油的闪点大于60℃，因此项目危废品暂存库的火灾危险性为丙类。灭火方式为消防栓系统。</w:t>
            </w:r>
          </w:p>
          <w:p w14:paraId="1B69ED6F">
            <w:pPr>
              <w:bidi w:val="0"/>
              <w:rPr>
                <w:rFonts w:hint="eastAsia"/>
                <w:color w:val="auto"/>
                <w:lang w:val="en-US" w:eastAsia="zh-CN"/>
              </w:rPr>
            </w:pPr>
            <w:r>
              <w:rPr>
                <w:rFonts w:hint="eastAsia"/>
                <w:color w:val="auto"/>
                <w:lang w:val="en-US" w:eastAsia="zh-CN"/>
              </w:rPr>
              <w:t>B加强安全教育，企业内全体人员都认识安全、杜绝事故的意义和重要性，了解事故处理程序和要求，了解处理事故的措施和器材的使用方法，特别是明确自己在处理事故中的职责。</w:t>
            </w:r>
          </w:p>
          <w:p w14:paraId="5CA4BD83">
            <w:pPr>
              <w:bidi w:val="0"/>
              <w:rPr>
                <w:rFonts w:hint="eastAsia"/>
                <w:color w:val="auto"/>
                <w:lang w:val="en-US" w:eastAsia="zh-CN"/>
              </w:rPr>
            </w:pPr>
            <w:r>
              <w:rPr>
                <w:rFonts w:hint="eastAsia"/>
                <w:color w:val="auto"/>
                <w:lang w:val="en-US" w:eastAsia="zh-CN"/>
              </w:rPr>
              <w:t>C在仓库中，危废品暂存库非操作人员不得随意进出；仓库入口处应有标识牌和安全使用说明。</w:t>
            </w:r>
          </w:p>
          <w:p w14:paraId="25B01BEE">
            <w:pPr>
              <w:bidi w:val="0"/>
              <w:rPr>
                <w:rFonts w:hint="eastAsia"/>
                <w:color w:val="auto"/>
                <w:lang w:val="en-US" w:eastAsia="zh-CN"/>
              </w:rPr>
            </w:pPr>
            <w:r>
              <w:rPr>
                <w:rFonts w:hint="eastAsia"/>
                <w:color w:val="auto"/>
                <w:lang w:val="en-US" w:eastAsia="zh-CN"/>
              </w:rPr>
              <w:t>D加强管理，设有专人管理，制定严格的制度，进、出、存放和使用都必须有严格的记录，防止流失造成危害。</w:t>
            </w:r>
          </w:p>
          <w:p w14:paraId="7DB8402E">
            <w:pPr>
              <w:bidi w:val="0"/>
              <w:rPr>
                <w:rFonts w:hint="eastAsia"/>
                <w:color w:val="auto"/>
                <w:lang w:val="en-US" w:eastAsia="zh-CN"/>
              </w:rPr>
            </w:pPr>
            <w:r>
              <w:rPr>
                <w:rFonts w:hint="eastAsia"/>
                <w:color w:val="auto"/>
                <w:lang w:val="en-US" w:eastAsia="zh-CN"/>
              </w:rPr>
              <w:t>E废润滑油与含矿物油废物的包装（废油桶）必须有专门的运输车辆运输，要求押运人员持有押运证，并携带安全资料表，装卸过程要轻装轻放，避免撞击、重压和摩擦。</w:t>
            </w:r>
          </w:p>
          <w:p w14:paraId="280D92FA">
            <w:pPr>
              <w:bidi w:val="0"/>
              <w:rPr>
                <w:rFonts w:hint="eastAsia"/>
                <w:color w:val="auto"/>
                <w:lang w:val="en-US" w:eastAsia="zh-CN"/>
              </w:rPr>
            </w:pPr>
            <w:r>
              <w:rPr>
                <w:rFonts w:hint="eastAsia"/>
                <w:color w:val="auto"/>
                <w:lang w:val="en-US" w:eastAsia="zh-CN"/>
              </w:rPr>
              <w:t>F危险废物必须堆放在专用的场所，并按有关协议规定定期转移给有资质和有处理能力的固废处置中心处理。</w:t>
            </w:r>
          </w:p>
          <w:p w14:paraId="311811DE">
            <w:pPr>
              <w:bidi w:val="0"/>
              <w:rPr>
                <w:rFonts w:hint="eastAsia"/>
                <w:color w:val="auto"/>
                <w:lang w:val="en-US" w:eastAsia="zh-CN"/>
              </w:rPr>
            </w:pPr>
            <w:r>
              <w:rPr>
                <w:rFonts w:hint="eastAsia"/>
                <w:color w:val="auto"/>
                <w:lang w:val="en-US" w:eastAsia="zh-CN"/>
              </w:rPr>
              <w:t>G设立厂内急救指挥小组，并和当地事故应急救援部门建立正常联系，一旦出现事故能立刻采取有效救援措施。</w:t>
            </w:r>
          </w:p>
          <w:p w14:paraId="115D16FE">
            <w:pPr>
              <w:bidi w:val="0"/>
              <w:rPr>
                <w:rFonts w:hint="eastAsia"/>
                <w:color w:val="auto"/>
                <w:lang w:val="en-US" w:eastAsia="zh-CN"/>
              </w:rPr>
            </w:pPr>
            <w:r>
              <w:rPr>
                <w:rFonts w:hint="eastAsia"/>
                <w:color w:val="auto"/>
                <w:lang w:val="en-US" w:eastAsia="zh-CN"/>
              </w:rPr>
              <w:fldChar w:fldCharType="begin"/>
            </w:r>
            <w:r>
              <w:rPr>
                <w:rFonts w:hint="eastAsia"/>
                <w:color w:val="auto"/>
                <w:lang w:val="en-US" w:eastAsia="zh-CN"/>
              </w:rPr>
              <w:instrText xml:space="preserve"> = 2 \* GB3 </w:instrText>
            </w:r>
            <w:r>
              <w:rPr>
                <w:rFonts w:hint="eastAsia"/>
                <w:color w:val="auto"/>
                <w:lang w:val="en-US" w:eastAsia="zh-CN"/>
              </w:rPr>
              <w:fldChar w:fldCharType="separate"/>
            </w:r>
            <w:r>
              <w:rPr>
                <w:rFonts w:hint="eastAsia"/>
                <w:color w:val="auto"/>
                <w:lang w:val="en-US" w:eastAsia="zh-CN"/>
              </w:rPr>
              <w:t>②</w:t>
            </w:r>
            <w:r>
              <w:rPr>
                <w:rFonts w:hint="eastAsia"/>
                <w:color w:val="auto"/>
                <w:lang w:val="en-US" w:eastAsia="zh-CN"/>
              </w:rPr>
              <w:fldChar w:fldCharType="end"/>
            </w:r>
            <w:r>
              <w:rPr>
                <w:rFonts w:hint="eastAsia"/>
                <w:color w:val="auto"/>
                <w:lang w:val="en-US" w:eastAsia="zh-CN"/>
              </w:rPr>
              <w:t>风险防范措施</w:t>
            </w:r>
          </w:p>
          <w:p w14:paraId="70B49850">
            <w:pPr>
              <w:bidi w:val="0"/>
              <w:rPr>
                <w:rFonts w:hint="eastAsia"/>
                <w:color w:val="auto"/>
                <w:lang w:val="en-US" w:eastAsia="zh-CN"/>
              </w:rPr>
            </w:pPr>
            <w:r>
              <w:rPr>
                <w:rFonts w:hint="eastAsia"/>
                <w:color w:val="auto"/>
                <w:lang w:val="en-US" w:eastAsia="zh-CN"/>
              </w:rPr>
              <w:t>A加强仓库巡查，定时巡查，主要检查储油桶、防渗层是否破损，若有破损及时进行修补，待防渗层修补好后，方可恢复运营。</w:t>
            </w:r>
          </w:p>
          <w:p w14:paraId="6C45EF7F">
            <w:pPr>
              <w:bidi w:val="0"/>
              <w:rPr>
                <w:rFonts w:hint="eastAsia"/>
                <w:color w:val="auto"/>
                <w:lang w:val="en-US" w:eastAsia="zh-CN"/>
              </w:rPr>
            </w:pPr>
            <w:r>
              <w:rPr>
                <w:rFonts w:hint="eastAsia"/>
                <w:color w:val="auto"/>
                <w:lang w:val="en-US" w:eastAsia="zh-CN"/>
              </w:rPr>
              <w:t>B强化管理，加强搬运人员的业务培训，完善各项规章制度，尽量避免废润滑油泄漏。</w:t>
            </w:r>
          </w:p>
          <w:p w14:paraId="23BD6BDD">
            <w:pPr>
              <w:bidi w:val="0"/>
              <w:rPr>
                <w:rFonts w:hint="eastAsia"/>
                <w:color w:val="auto"/>
                <w:lang w:val="en-US" w:eastAsia="zh-CN"/>
              </w:rPr>
            </w:pPr>
            <w:r>
              <w:rPr>
                <w:rFonts w:hint="eastAsia"/>
                <w:color w:val="auto"/>
                <w:lang w:val="en-US" w:eastAsia="zh-CN"/>
              </w:rPr>
              <w:t>C危险废物贮存库内设置液体导流槽及集液池，油品装卸区设置导流槽，对发生泄漏的危险物质进行及时回收，并存储于防腐防渗容器中。</w:t>
            </w:r>
          </w:p>
          <w:p w14:paraId="36B76E02">
            <w:pPr>
              <w:bidi w:val="0"/>
              <w:rPr>
                <w:rFonts w:hint="default"/>
                <w:color w:val="auto"/>
                <w:lang w:val="en-US" w:eastAsia="zh-CN"/>
              </w:rPr>
            </w:pPr>
            <w:r>
              <w:rPr>
                <w:rFonts w:hint="eastAsia"/>
                <w:color w:val="auto"/>
                <w:lang w:val="en-US" w:eastAsia="zh-CN"/>
              </w:rPr>
              <w:t>③合理布置厂区</w:t>
            </w:r>
          </w:p>
          <w:p w14:paraId="01F29D35">
            <w:pPr>
              <w:bidi w:val="0"/>
              <w:rPr>
                <w:rFonts w:hint="eastAsia"/>
                <w:color w:val="auto"/>
                <w:lang w:val="en-US" w:eastAsia="zh-CN"/>
              </w:rPr>
            </w:pPr>
            <w:r>
              <w:rPr>
                <w:rFonts w:hint="eastAsia"/>
                <w:color w:val="auto"/>
                <w:lang w:val="en-US" w:eastAsia="zh-CN"/>
              </w:rPr>
              <w:t>A办公生活区应与暂存区之间明显分隔；</w:t>
            </w:r>
          </w:p>
          <w:p w14:paraId="4F193F45">
            <w:pPr>
              <w:bidi w:val="0"/>
              <w:rPr>
                <w:rFonts w:hint="eastAsia"/>
                <w:color w:val="auto"/>
                <w:lang w:val="en-US" w:eastAsia="zh-CN"/>
              </w:rPr>
            </w:pPr>
            <w:r>
              <w:rPr>
                <w:rFonts w:hint="eastAsia"/>
                <w:color w:val="auto"/>
                <w:lang w:val="en-US" w:eastAsia="zh-CN"/>
              </w:rPr>
              <w:t>B合理布置仓库分区，对不同危险废物进行分区存放；</w:t>
            </w:r>
          </w:p>
          <w:p w14:paraId="4C6F05F8">
            <w:pPr>
              <w:bidi w:val="0"/>
              <w:rPr>
                <w:rFonts w:hint="eastAsia"/>
                <w:color w:val="auto"/>
                <w:lang w:val="en-US" w:eastAsia="zh-CN"/>
              </w:rPr>
            </w:pPr>
            <w:r>
              <w:rPr>
                <w:rFonts w:hint="eastAsia"/>
                <w:color w:val="auto"/>
                <w:lang w:val="en-US" w:eastAsia="zh-CN"/>
              </w:rPr>
              <w:t>C该项目应留有足够的消防环形通道，并保证消防、急救车辆到达该区域畅通无阻。道路宽度应符合有关规范要求。</w:t>
            </w:r>
          </w:p>
          <w:p w14:paraId="00CDA918">
            <w:pPr>
              <w:bidi w:val="0"/>
              <w:rPr>
                <w:rFonts w:hint="eastAsia"/>
                <w:color w:val="auto"/>
                <w:lang w:val="en-US" w:eastAsia="zh-CN"/>
              </w:rPr>
            </w:pPr>
            <w:r>
              <w:rPr>
                <w:rFonts w:hint="eastAsia"/>
                <w:color w:val="auto"/>
                <w:lang w:val="en-US" w:eastAsia="zh-CN"/>
              </w:rPr>
              <w:t>D厂外进入厂区的公用工程干线不应通过危险区；</w:t>
            </w:r>
          </w:p>
          <w:p w14:paraId="3BAB9F0E">
            <w:pPr>
              <w:bidi w:val="0"/>
              <w:rPr>
                <w:rFonts w:hint="eastAsia"/>
                <w:color w:val="auto"/>
                <w:lang w:val="en-US" w:eastAsia="zh-CN"/>
              </w:rPr>
            </w:pPr>
            <w:r>
              <w:rPr>
                <w:rFonts w:hint="eastAsia"/>
                <w:color w:val="auto"/>
                <w:lang w:val="en-US" w:eastAsia="zh-CN"/>
              </w:rPr>
              <w:t>E按照有关规定考虑消防设施及火灾报警系统的设置；</w:t>
            </w:r>
          </w:p>
          <w:p w14:paraId="00C34ED4">
            <w:pPr>
              <w:bidi w:val="0"/>
              <w:rPr>
                <w:rFonts w:hint="eastAsia"/>
                <w:color w:val="auto"/>
                <w:lang w:val="en-US" w:eastAsia="zh-CN"/>
              </w:rPr>
            </w:pPr>
            <w:r>
              <w:rPr>
                <w:rFonts w:hint="eastAsia"/>
                <w:color w:val="auto"/>
                <w:lang w:val="en-US" w:eastAsia="zh-CN"/>
              </w:rPr>
              <w:t>F按照有关规定考虑紧急救援站的设置。</w:t>
            </w:r>
          </w:p>
          <w:p w14:paraId="7FBCBB21">
            <w:pPr>
              <w:bidi w:val="0"/>
              <w:rPr>
                <w:rFonts w:hint="eastAsia"/>
                <w:color w:val="auto"/>
                <w:lang w:val="en-US" w:eastAsia="zh-CN"/>
              </w:rPr>
            </w:pPr>
            <w:r>
              <w:rPr>
                <w:rFonts w:hint="eastAsia"/>
                <w:color w:val="auto"/>
                <w:lang w:val="en-US" w:eastAsia="zh-CN"/>
              </w:rPr>
              <w:fldChar w:fldCharType="begin"/>
            </w:r>
            <w:r>
              <w:rPr>
                <w:rFonts w:hint="eastAsia"/>
                <w:color w:val="auto"/>
                <w:lang w:val="en-US" w:eastAsia="zh-CN"/>
              </w:rPr>
              <w:instrText xml:space="preserve"> = 4 \* GB3 </w:instrText>
            </w:r>
            <w:r>
              <w:rPr>
                <w:rFonts w:hint="eastAsia"/>
                <w:color w:val="auto"/>
                <w:lang w:val="en-US" w:eastAsia="zh-CN"/>
              </w:rPr>
              <w:fldChar w:fldCharType="separate"/>
            </w:r>
            <w:r>
              <w:rPr>
                <w:rFonts w:hint="eastAsia"/>
                <w:color w:val="auto"/>
                <w:lang w:val="en-US" w:eastAsia="zh-CN"/>
              </w:rPr>
              <w:t>④</w:t>
            </w:r>
            <w:r>
              <w:rPr>
                <w:rFonts w:hint="eastAsia"/>
                <w:color w:val="auto"/>
                <w:lang w:val="en-US" w:eastAsia="zh-CN"/>
              </w:rPr>
              <w:fldChar w:fldCharType="end"/>
            </w:r>
            <w:r>
              <w:rPr>
                <w:rFonts w:hint="eastAsia"/>
                <w:color w:val="auto"/>
                <w:lang w:val="en-US" w:eastAsia="zh-CN"/>
              </w:rPr>
              <w:t>事故应急预案</w:t>
            </w:r>
          </w:p>
          <w:p w14:paraId="495FE24C">
            <w:pPr>
              <w:bidi w:val="0"/>
              <w:rPr>
                <w:rFonts w:hint="eastAsia"/>
                <w:color w:val="auto"/>
                <w:lang w:val="en-US" w:eastAsia="zh-CN"/>
              </w:rPr>
            </w:pPr>
            <w:r>
              <w:rPr>
                <w:rFonts w:hint="eastAsia"/>
                <w:color w:val="auto"/>
                <w:lang w:val="en-US" w:eastAsia="zh-CN"/>
              </w:rPr>
              <w:t>A本项目投产前应按规定编制主要危险应急预案。建设单位应根据环境污染事故应急预案编制技术指南要求编制应急预案，并经过专家评审，审查合格后实施运行。</w:t>
            </w:r>
          </w:p>
          <w:p w14:paraId="518F54A0">
            <w:pPr>
              <w:bidi w:val="0"/>
              <w:rPr>
                <w:rFonts w:hint="eastAsia"/>
                <w:color w:val="auto"/>
                <w:lang w:val="en-US" w:eastAsia="zh-CN"/>
              </w:rPr>
            </w:pPr>
            <w:r>
              <w:rPr>
                <w:rFonts w:hint="eastAsia"/>
                <w:color w:val="auto"/>
                <w:lang w:val="en-US" w:eastAsia="zh-CN"/>
              </w:rPr>
              <w:t>B应急物资储备</w:t>
            </w:r>
          </w:p>
          <w:p w14:paraId="2226FD1B">
            <w:pPr>
              <w:bidi w:val="0"/>
              <w:rPr>
                <w:rFonts w:hint="eastAsia"/>
                <w:color w:val="auto"/>
                <w:lang w:val="en-US" w:eastAsia="zh-CN"/>
              </w:rPr>
            </w:pPr>
            <w:r>
              <w:rPr>
                <w:rFonts w:hint="eastAsia"/>
                <w:color w:val="auto"/>
                <w:lang w:val="en-US" w:eastAsia="zh-CN"/>
              </w:rPr>
              <w:t>在事故现场、临近区域、控制防火区域，要有控制和消除污染措施及相应设备。本项目配备干粉灭火器3套、铁锹2把、消防沙箱1个。</w:t>
            </w:r>
          </w:p>
          <w:p w14:paraId="0A22F994">
            <w:pPr>
              <w:bidi w:val="0"/>
              <w:rPr>
                <w:rFonts w:hint="eastAsia"/>
                <w:color w:val="auto"/>
                <w:lang w:val="en-US" w:eastAsia="zh-CN"/>
              </w:rPr>
            </w:pPr>
            <w:r>
              <w:rPr>
                <w:rFonts w:hint="eastAsia"/>
                <w:color w:val="auto"/>
                <w:lang w:val="en-US" w:eastAsia="zh-CN"/>
              </w:rPr>
              <w:t>C应急系统</w:t>
            </w:r>
          </w:p>
          <w:p w14:paraId="279566BF">
            <w:pPr>
              <w:bidi w:val="0"/>
              <w:rPr>
                <w:rFonts w:hint="eastAsia"/>
                <w:color w:val="auto"/>
                <w:lang w:val="en-US" w:eastAsia="zh-CN"/>
              </w:rPr>
            </w:pPr>
            <w:r>
              <w:rPr>
                <w:rFonts w:hint="eastAsia"/>
                <w:color w:val="auto"/>
                <w:lang w:val="en-US" w:eastAsia="zh-CN"/>
              </w:rPr>
              <w:t>为防范和应对突发性环境污染事故的发生，要求建立既能对污染隐患进行监控和警告，又能对突发性污染事故实施统一指挥协调、现场快速监测和应急处理的应急系统。应急系统由应急响应、应急监测和应急处理系统三部分组成。</w:t>
            </w:r>
          </w:p>
          <w:p w14:paraId="77E205D0">
            <w:pPr>
              <w:bidi w:val="0"/>
              <w:rPr>
                <w:rFonts w:hint="eastAsia"/>
                <w:color w:val="auto"/>
                <w:lang w:val="en-US" w:eastAsia="zh-CN"/>
              </w:rPr>
            </w:pPr>
            <w:r>
              <w:rPr>
                <w:rFonts w:hint="eastAsia"/>
                <w:color w:val="auto"/>
                <w:lang w:val="en-US" w:eastAsia="zh-CN"/>
              </w:rPr>
              <w:t>D事故应急响应</w:t>
            </w:r>
          </w:p>
          <w:p w14:paraId="194A8F16">
            <w:pPr>
              <w:bidi w:val="0"/>
              <w:rPr>
                <w:rFonts w:hint="eastAsia"/>
                <w:color w:val="auto"/>
                <w:lang w:val="en-US" w:eastAsia="zh-CN"/>
              </w:rPr>
            </w:pPr>
            <w:r>
              <w:rPr>
                <w:rFonts w:hint="eastAsia"/>
                <w:color w:val="auto"/>
                <w:lang w:val="en-US" w:eastAsia="zh-CN"/>
              </w:rPr>
              <w:t>突发性环境污染事故应急处置刻不容缓，响应速度至关重要，任何人接到污染事故报警，必须马上报告应急办公室。应急组织各环节相互配合，确保响应迅速。应建立车间→厂区→园区三级应急响应防控体系。</w:t>
            </w:r>
          </w:p>
          <w:p w14:paraId="07E55C11">
            <w:pPr>
              <w:bidi w:val="0"/>
              <w:rPr>
                <w:rFonts w:hint="eastAsia"/>
                <w:color w:val="auto"/>
                <w:lang w:val="en-US" w:eastAsia="zh-CN"/>
              </w:rPr>
            </w:pPr>
            <w:r>
              <w:rPr>
                <w:rFonts w:hint="eastAsia"/>
                <w:color w:val="auto"/>
                <w:lang w:val="en-US" w:eastAsia="zh-CN"/>
              </w:rPr>
              <w:t>突发性环境污染事故应急通讯系统包括事故报警、应急指挥、应急信息发布三部分。事故报警应设立专用电话，电话号码为大众所熟知，同时充分利用社会上现有的110、119、120等救援电话，做到24h畅通。</w:t>
            </w:r>
          </w:p>
          <w:p w14:paraId="5629482D">
            <w:pPr>
              <w:bidi w:val="0"/>
              <w:rPr>
                <w:rFonts w:hint="eastAsia"/>
                <w:color w:val="auto"/>
                <w:lang w:val="en-US" w:eastAsia="zh-CN"/>
              </w:rPr>
            </w:pPr>
            <w:r>
              <w:rPr>
                <w:rFonts w:hint="eastAsia"/>
                <w:color w:val="auto"/>
                <w:lang w:val="en-US" w:eastAsia="zh-CN"/>
              </w:rPr>
              <w:t>E事故应急监测</w:t>
            </w:r>
          </w:p>
          <w:p w14:paraId="08B31496">
            <w:pPr>
              <w:bidi w:val="0"/>
              <w:rPr>
                <w:rFonts w:hint="eastAsia"/>
                <w:color w:val="auto"/>
                <w:lang w:val="en-US" w:eastAsia="zh-CN"/>
              </w:rPr>
            </w:pPr>
            <w:r>
              <w:rPr>
                <w:rFonts w:hint="eastAsia"/>
                <w:color w:val="auto"/>
                <w:lang w:val="en-US" w:eastAsia="zh-CN"/>
              </w:rPr>
              <w:t>要求应急监测人员快速赶赴现场，根据事故现场的具体情况布点采样，利用快速监测手段判断污染物的种类，给出定性、半定量和定量监测结果，确认污染事故的危害程度和污染范围等。</w:t>
            </w:r>
          </w:p>
          <w:p w14:paraId="23970DBB">
            <w:pPr>
              <w:bidi w:val="0"/>
              <w:rPr>
                <w:rFonts w:hint="eastAsia"/>
                <w:color w:val="auto"/>
                <w:lang w:val="en-US" w:eastAsia="zh-CN"/>
              </w:rPr>
            </w:pPr>
            <w:r>
              <w:rPr>
                <w:rFonts w:hint="eastAsia"/>
                <w:color w:val="auto"/>
                <w:lang w:val="en-US" w:eastAsia="zh-CN"/>
              </w:rPr>
              <w:t>（6）分析结论</w:t>
            </w:r>
          </w:p>
          <w:p w14:paraId="5A3B2DB4">
            <w:pPr>
              <w:bidi w:val="0"/>
              <w:rPr>
                <w:rFonts w:hint="eastAsia"/>
                <w:color w:val="auto"/>
                <w:lang w:val="en-US" w:eastAsia="zh-CN"/>
              </w:rPr>
            </w:pPr>
            <w:r>
              <w:rPr>
                <w:rFonts w:hint="eastAsia"/>
                <w:color w:val="auto"/>
                <w:lang w:val="en-US" w:eastAsia="zh-CN"/>
              </w:rPr>
              <w:t>本项目涉及的主要危险废物为</w:t>
            </w:r>
            <w:r>
              <w:rPr>
                <w:rFonts w:hint="default"/>
                <w:color w:val="auto"/>
              </w:rPr>
              <w:t>废油桶和</w:t>
            </w:r>
            <w:r>
              <w:rPr>
                <w:rFonts w:hint="eastAsia"/>
                <w:color w:val="auto"/>
                <w:lang w:eastAsia="zh-CN"/>
              </w:rPr>
              <w:t>废润滑油</w:t>
            </w:r>
            <w:r>
              <w:rPr>
                <w:rFonts w:hint="eastAsia"/>
                <w:color w:val="auto"/>
                <w:lang w:val="en-US" w:eastAsia="zh-CN"/>
              </w:rPr>
              <w:t>。项目主要事故类型为废润滑油泄漏及火灾、爆炸事故导致大气环境、水环境、土壤环境污染。</w:t>
            </w:r>
          </w:p>
          <w:p w14:paraId="1D072F17">
            <w:pPr>
              <w:bidi w:val="0"/>
              <w:rPr>
                <w:rFonts w:hint="eastAsia"/>
                <w:color w:val="auto"/>
                <w:lang w:val="en-US" w:eastAsia="zh-CN"/>
              </w:rPr>
            </w:pPr>
            <w:r>
              <w:rPr>
                <w:rFonts w:hint="eastAsia"/>
                <w:color w:val="auto"/>
                <w:lang w:val="en-US" w:eastAsia="zh-CN"/>
              </w:rPr>
              <w:t>本项目的环境风险主要表现为在公司非正常工况、危险废物运输和暂存事故、恶劣自然条件等情况下突发的泄漏、火灾、爆炸事故导致的大气、水体及土壤的环境污染，同时在发生火灾爆炸等事故时会产生一些次生、伴生污染物的影响。</w:t>
            </w:r>
          </w:p>
          <w:p w14:paraId="017E6C51">
            <w:pPr>
              <w:bidi w:val="0"/>
              <w:rPr>
                <w:rFonts w:hint="eastAsia"/>
                <w:color w:val="auto"/>
                <w:lang w:val="en-US" w:eastAsia="zh-CN"/>
              </w:rPr>
            </w:pPr>
            <w:r>
              <w:rPr>
                <w:rFonts w:hint="eastAsia"/>
                <w:color w:val="auto"/>
                <w:lang w:val="en-US" w:eastAsia="zh-CN"/>
              </w:rPr>
              <w:t>在泄漏或火灾爆炸事故时必定会对周围环境产生一定的不良影响，但事故影响持续时间不长，且危险废物贮存库贮存废润滑油较少，企业在生产过程中必须做好物料的暂存运输工作，严格做好安全生产工作，避免泄漏或火灾爆炸事故发生，同时制定事故应急预案，使事故发生能及时有效地得到控制，缩短事故发生的持续时间，从而降低对周围环境的影响。</w:t>
            </w:r>
          </w:p>
          <w:p w14:paraId="520DAB36">
            <w:pPr>
              <w:bidi w:val="0"/>
              <w:rPr>
                <w:rFonts w:hint="eastAsia"/>
                <w:color w:val="auto"/>
                <w:lang w:val="en-US" w:eastAsia="zh-CN"/>
              </w:rPr>
            </w:pPr>
            <w:r>
              <w:rPr>
                <w:rFonts w:hint="eastAsia"/>
                <w:color w:val="auto"/>
                <w:lang w:val="en-US" w:eastAsia="zh-CN"/>
              </w:rPr>
              <w:t>总体来说，本项目环境风险主要为事故状态下废润滑油泄漏，根据分析，建设单位通过采取事故防范措施及采取一定的应急处理措施，可以将本项目的风险降到较低的水平，本项目的环境风险可以接受。</w:t>
            </w:r>
          </w:p>
          <w:p w14:paraId="71D99B6C">
            <w:pPr>
              <w:bidi w:val="0"/>
              <w:jc w:val="center"/>
              <w:rPr>
                <w:rFonts w:hint="default"/>
                <w:b/>
                <w:bCs/>
                <w:color w:val="auto"/>
                <w:lang w:val="en-US" w:eastAsia="zh-CN"/>
              </w:rPr>
            </w:pPr>
            <w:r>
              <w:rPr>
                <w:rFonts w:hint="default"/>
                <w:b/>
                <w:bCs/>
                <w:color w:val="auto"/>
                <w:lang w:val="en-US" w:eastAsia="zh-CN"/>
              </w:rPr>
              <w:t>表</w:t>
            </w:r>
            <w:r>
              <w:rPr>
                <w:rFonts w:hint="eastAsia"/>
                <w:b/>
                <w:bCs/>
                <w:color w:val="auto"/>
                <w:lang w:val="en-US" w:eastAsia="zh-CN"/>
              </w:rPr>
              <w:t>4-10</w:t>
            </w:r>
            <w:r>
              <w:rPr>
                <w:rFonts w:hint="default"/>
                <w:b/>
                <w:bCs/>
                <w:color w:val="auto"/>
                <w:lang w:val="en-US" w:eastAsia="zh-CN"/>
              </w:rPr>
              <w:t>建设项目环境风险简单分析内容表</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1004"/>
              <w:gridCol w:w="1777"/>
              <w:gridCol w:w="1223"/>
              <w:gridCol w:w="3042"/>
            </w:tblGrid>
            <w:tr w14:paraId="1702D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60" w:type="pct"/>
                  <w:tcBorders>
                    <w:tl2br w:val="nil"/>
                    <w:tr2bl w:val="nil"/>
                  </w:tcBorders>
                  <w:noWrap w:val="0"/>
                  <w:vAlign w:val="center"/>
                </w:tcPr>
                <w:p w14:paraId="23556AD5">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rPr>
                  </w:pPr>
                  <w:r>
                    <w:rPr>
                      <w:rFonts w:hint="eastAsia"/>
                      <w:color w:val="auto"/>
                    </w:rPr>
                    <w:t>建设项目名称</w:t>
                  </w:r>
                </w:p>
              </w:tc>
              <w:tc>
                <w:tcPr>
                  <w:tcW w:w="4439" w:type="pct"/>
                  <w:gridSpan w:val="4"/>
                  <w:tcBorders>
                    <w:tl2br w:val="nil"/>
                    <w:tr2bl w:val="nil"/>
                  </w:tcBorders>
                  <w:noWrap w:val="0"/>
                  <w:vAlign w:val="center"/>
                </w:tcPr>
                <w:p w14:paraId="03049500">
                  <w:pPr>
                    <w:adjustRightInd w:val="0"/>
                    <w:snapToGrid w:val="0"/>
                    <w:spacing w:line="240" w:lineRule="auto"/>
                    <w:ind w:firstLine="0" w:firstLineChars="0"/>
                    <w:jc w:val="both"/>
                    <w:rPr>
                      <w:rFonts w:hint="eastAsia"/>
                      <w:color w:val="auto"/>
                    </w:rPr>
                  </w:pPr>
                  <w:r>
                    <w:rPr>
                      <w:rFonts w:hint="eastAsia"/>
                      <w:color w:val="auto"/>
                      <w:highlight w:val="none"/>
                      <w:lang w:eastAsia="zh-CN"/>
                    </w:rPr>
                    <w:t>鄂尔多斯市宇驰顺捷汽车销售服务有限公司</w:t>
                  </w:r>
                  <w:r>
                    <w:rPr>
                      <w:color w:val="auto"/>
                      <w:highlight w:val="none"/>
                    </w:rPr>
                    <w:t>危险废物</w:t>
                  </w:r>
                  <w:r>
                    <w:rPr>
                      <w:rFonts w:hint="eastAsia"/>
                      <w:color w:val="auto"/>
                      <w:highlight w:val="none"/>
                    </w:rPr>
                    <w:t>贮存库</w:t>
                  </w:r>
                  <w:r>
                    <w:rPr>
                      <w:color w:val="auto"/>
                      <w:highlight w:val="none"/>
                    </w:rPr>
                    <w:t>建设项目</w:t>
                  </w:r>
                </w:p>
              </w:tc>
            </w:tr>
            <w:tr w14:paraId="0414A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60" w:type="pct"/>
                  <w:tcBorders>
                    <w:tl2br w:val="nil"/>
                    <w:tr2bl w:val="nil"/>
                  </w:tcBorders>
                  <w:noWrap w:val="0"/>
                  <w:vAlign w:val="center"/>
                </w:tcPr>
                <w:p w14:paraId="3121E8EF">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rPr>
                  </w:pPr>
                  <w:r>
                    <w:rPr>
                      <w:rFonts w:hint="eastAsia"/>
                      <w:color w:val="auto"/>
                    </w:rPr>
                    <w:t>建设单位</w:t>
                  </w:r>
                </w:p>
              </w:tc>
              <w:tc>
                <w:tcPr>
                  <w:tcW w:w="632" w:type="pct"/>
                  <w:tcBorders>
                    <w:tl2br w:val="nil"/>
                    <w:tr2bl w:val="nil"/>
                  </w:tcBorders>
                  <w:noWrap w:val="0"/>
                  <w:vAlign w:val="center"/>
                </w:tcPr>
                <w:p w14:paraId="4ED1D56E">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rPr>
                  </w:pPr>
                  <w:r>
                    <w:rPr>
                      <w:rFonts w:hint="eastAsia"/>
                      <w:color w:val="auto"/>
                    </w:rPr>
                    <w:t>内蒙古</w:t>
                  </w:r>
                </w:p>
              </w:tc>
              <w:tc>
                <w:tcPr>
                  <w:tcW w:w="1119" w:type="pct"/>
                  <w:tcBorders>
                    <w:tl2br w:val="nil"/>
                    <w:tr2bl w:val="nil"/>
                  </w:tcBorders>
                  <w:noWrap w:val="0"/>
                  <w:vAlign w:val="center"/>
                </w:tcPr>
                <w:p w14:paraId="5224C6EF">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lang w:eastAsia="zh-CN"/>
                    </w:rPr>
                  </w:pPr>
                  <w:r>
                    <w:rPr>
                      <w:rFonts w:hint="default"/>
                      <w:color w:val="auto"/>
                    </w:rPr>
                    <w:t>鄂尔多斯市</w:t>
                  </w:r>
                </w:p>
              </w:tc>
              <w:tc>
                <w:tcPr>
                  <w:tcW w:w="770" w:type="pct"/>
                  <w:tcBorders>
                    <w:tl2br w:val="nil"/>
                    <w:tr2bl w:val="nil"/>
                  </w:tcBorders>
                  <w:noWrap w:val="0"/>
                  <w:vAlign w:val="center"/>
                </w:tcPr>
                <w:p w14:paraId="5A8C5D2C">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rPr>
                  </w:pPr>
                  <w:r>
                    <w:rPr>
                      <w:rFonts w:hint="eastAsia"/>
                      <w:color w:val="auto"/>
                      <w:lang w:val="en-US" w:eastAsia="zh-CN"/>
                    </w:rPr>
                    <w:t>东胜</w:t>
                  </w:r>
                  <w:r>
                    <w:rPr>
                      <w:rFonts w:hint="eastAsia"/>
                      <w:color w:val="auto"/>
                    </w:rPr>
                    <w:t>区</w:t>
                  </w:r>
                </w:p>
              </w:tc>
              <w:tc>
                <w:tcPr>
                  <w:tcW w:w="1916" w:type="pct"/>
                  <w:tcBorders>
                    <w:tl2br w:val="nil"/>
                    <w:tr2bl w:val="nil"/>
                  </w:tcBorders>
                  <w:noWrap w:val="0"/>
                  <w:vAlign w:val="center"/>
                </w:tcPr>
                <w:p w14:paraId="7473B19E">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lang w:val="en-US" w:eastAsia="zh-CN"/>
                    </w:rPr>
                  </w:pPr>
                  <w:r>
                    <w:rPr>
                      <w:rFonts w:hint="eastAsia"/>
                      <w:color w:val="auto"/>
                      <w:highlight w:val="none"/>
                      <w:lang w:val="en-US" w:eastAsia="zh-CN"/>
                    </w:rPr>
                    <w:t>内蒙古自治区鄂尔多斯市东胜区天骄南路42号客运中心后院5号商铺，</w:t>
                  </w:r>
                  <w:r>
                    <w:rPr>
                      <w:rFonts w:hint="eastAsia"/>
                      <w:color w:val="auto"/>
                      <w:highlight w:val="none"/>
                      <w:lang w:eastAsia="zh-CN"/>
                    </w:rPr>
                    <w:t>鄂尔多斯市宇驰顺捷汽车销售服务有限公司现有</w:t>
                  </w:r>
                  <w:r>
                    <w:rPr>
                      <w:color w:val="auto"/>
                      <w:highlight w:val="none"/>
                    </w:rPr>
                    <w:t>厂区内</w:t>
                  </w:r>
                </w:p>
              </w:tc>
            </w:tr>
            <w:tr w14:paraId="3325A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60" w:type="pct"/>
                  <w:tcBorders>
                    <w:tl2br w:val="nil"/>
                    <w:tr2bl w:val="nil"/>
                  </w:tcBorders>
                  <w:noWrap w:val="0"/>
                  <w:vAlign w:val="center"/>
                </w:tcPr>
                <w:p w14:paraId="6C4EC73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auto"/>
                    </w:rPr>
                  </w:pPr>
                  <w:r>
                    <w:rPr>
                      <w:rFonts w:hint="default"/>
                      <w:color w:val="auto"/>
                    </w:rPr>
                    <w:t>地理坐标</w:t>
                  </w:r>
                </w:p>
              </w:tc>
              <w:tc>
                <w:tcPr>
                  <w:tcW w:w="632" w:type="pct"/>
                  <w:tcBorders>
                    <w:tl2br w:val="nil"/>
                    <w:tr2bl w:val="nil"/>
                  </w:tcBorders>
                  <w:noWrap w:val="0"/>
                  <w:vAlign w:val="center"/>
                </w:tcPr>
                <w:p w14:paraId="5BE1062F">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auto"/>
                    </w:rPr>
                  </w:pPr>
                  <w:r>
                    <w:rPr>
                      <w:rFonts w:hint="default"/>
                      <w:color w:val="auto"/>
                    </w:rPr>
                    <w:t>经度</w:t>
                  </w:r>
                </w:p>
              </w:tc>
              <w:tc>
                <w:tcPr>
                  <w:tcW w:w="1119" w:type="pct"/>
                  <w:tcBorders>
                    <w:tl2br w:val="nil"/>
                    <w:tr2bl w:val="nil"/>
                  </w:tcBorders>
                  <w:noWrap w:val="0"/>
                  <w:vAlign w:val="center"/>
                </w:tcPr>
                <w:p w14:paraId="59C0197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auto"/>
                      <w:lang w:val="en-US" w:eastAsia="zh-CN"/>
                    </w:rPr>
                  </w:pPr>
                  <w:r>
                    <w:rPr>
                      <w:rFonts w:hint="default"/>
                      <w:color w:val="auto"/>
                      <w:lang w:val="en-US" w:eastAsia="zh-CN"/>
                    </w:rPr>
                    <w:t>109°5</w:t>
                  </w:r>
                  <w:r>
                    <w:rPr>
                      <w:rFonts w:hint="eastAsia"/>
                      <w:color w:val="auto"/>
                      <w:lang w:val="en-US" w:eastAsia="zh-CN"/>
                    </w:rPr>
                    <w:t>8</w:t>
                  </w:r>
                  <w:r>
                    <w:rPr>
                      <w:rFonts w:hint="default"/>
                      <w:color w:val="auto"/>
                      <w:lang w:val="en-US" w:eastAsia="zh-CN"/>
                    </w:rPr>
                    <w:t>′</w:t>
                  </w:r>
                  <w:r>
                    <w:rPr>
                      <w:rFonts w:hint="eastAsia"/>
                      <w:color w:val="auto"/>
                      <w:lang w:val="en-US" w:eastAsia="zh-CN"/>
                    </w:rPr>
                    <w:t>12.011</w:t>
                  </w:r>
                  <w:r>
                    <w:rPr>
                      <w:rFonts w:hint="default"/>
                      <w:color w:val="auto"/>
                      <w:lang w:val="en-US" w:eastAsia="zh-CN"/>
                    </w:rPr>
                    <w:t>″</w:t>
                  </w:r>
                </w:p>
              </w:tc>
              <w:tc>
                <w:tcPr>
                  <w:tcW w:w="770" w:type="pct"/>
                  <w:tcBorders>
                    <w:tl2br w:val="nil"/>
                    <w:tr2bl w:val="nil"/>
                  </w:tcBorders>
                  <w:noWrap w:val="0"/>
                  <w:vAlign w:val="center"/>
                </w:tcPr>
                <w:p w14:paraId="50D0FEB3">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auto"/>
                      <w:lang w:val="en-US" w:eastAsia="zh-CN"/>
                    </w:rPr>
                  </w:pPr>
                  <w:r>
                    <w:rPr>
                      <w:rFonts w:hint="default"/>
                      <w:color w:val="auto"/>
                      <w:lang w:val="en-US" w:eastAsia="zh-CN"/>
                    </w:rPr>
                    <w:t>纬度</w:t>
                  </w:r>
                </w:p>
              </w:tc>
              <w:tc>
                <w:tcPr>
                  <w:tcW w:w="1916" w:type="pct"/>
                  <w:tcBorders>
                    <w:tl2br w:val="nil"/>
                    <w:tr2bl w:val="nil"/>
                  </w:tcBorders>
                  <w:noWrap w:val="0"/>
                  <w:vAlign w:val="center"/>
                </w:tcPr>
                <w:p w14:paraId="053C0492">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auto"/>
                      <w:lang w:val="en-US" w:eastAsia="zh-CN"/>
                    </w:rPr>
                  </w:pPr>
                  <w:r>
                    <w:rPr>
                      <w:rFonts w:hint="default"/>
                      <w:color w:val="auto"/>
                      <w:lang w:val="en-US" w:eastAsia="zh-CN"/>
                    </w:rPr>
                    <w:t>39°4</w:t>
                  </w:r>
                  <w:r>
                    <w:rPr>
                      <w:rFonts w:hint="eastAsia"/>
                      <w:color w:val="auto"/>
                      <w:lang w:val="en-US" w:eastAsia="zh-CN"/>
                    </w:rPr>
                    <w:t>7</w:t>
                  </w:r>
                  <w:r>
                    <w:rPr>
                      <w:rFonts w:hint="default"/>
                      <w:color w:val="auto"/>
                      <w:lang w:val="en-US" w:eastAsia="zh-CN"/>
                    </w:rPr>
                    <w:t>′</w:t>
                  </w:r>
                  <w:r>
                    <w:rPr>
                      <w:rFonts w:hint="eastAsia"/>
                      <w:color w:val="auto"/>
                      <w:lang w:val="en-US" w:eastAsia="zh-CN"/>
                    </w:rPr>
                    <w:t>36.438</w:t>
                  </w:r>
                  <w:r>
                    <w:rPr>
                      <w:rFonts w:hint="default"/>
                      <w:color w:val="auto"/>
                      <w:lang w:val="en-US" w:eastAsia="zh-CN"/>
                    </w:rPr>
                    <w:t>″</w:t>
                  </w:r>
                </w:p>
              </w:tc>
            </w:tr>
            <w:tr w14:paraId="2836F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60" w:type="pct"/>
                  <w:tcBorders>
                    <w:tl2br w:val="nil"/>
                    <w:tr2bl w:val="nil"/>
                  </w:tcBorders>
                  <w:noWrap w:val="0"/>
                  <w:vAlign w:val="center"/>
                </w:tcPr>
                <w:p w14:paraId="76BBDD07">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rPr>
                  </w:pPr>
                  <w:r>
                    <w:rPr>
                      <w:rFonts w:hint="eastAsia"/>
                      <w:color w:val="auto"/>
                    </w:rPr>
                    <w:t>主要危险物质及分布</w:t>
                  </w:r>
                </w:p>
              </w:tc>
              <w:tc>
                <w:tcPr>
                  <w:tcW w:w="4439" w:type="pct"/>
                  <w:gridSpan w:val="4"/>
                  <w:tcBorders>
                    <w:tl2br w:val="nil"/>
                    <w:tr2bl w:val="nil"/>
                  </w:tcBorders>
                  <w:noWrap w:val="0"/>
                  <w:vAlign w:val="center"/>
                </w:tcPr>
                <w:p w14:paraId="09E99FD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auto"/>
                      <w:lang w:val="en-US" w:eastAsia="zh-CN"/>
                    </w:rPr>
                  </w:pPr>
                  <w:r>
                    <w:rPr>
                      <w:rFonts w:hint="eastAsia"/>
                      <w:color w:val="auto"/>
                      <w:lang w:val="en-US" w:eastAsia="zh-CN"/>
                    </w:rPr>
                    <w:t>本项目危险废物贮存库采用砖混结构，总占地面积7㎡（长7m、宽1m、高2.5m）。内部设置3个分区，分区一用于存放废润滑油、分区二用于存放废机油，分区三用于含油废抹布、废手套。</w:t>
                  </w:r>
                </w:p>
              </w:tc>
            </w:tr>
            <w:tr w14:paraId="36C81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5" w:hRule="atLeast"/>
              </w:trPr>
              <w:tc>
                <w:tcPr>
                  <w:tcW w:w="560" w:type="pct"/>
                  <w:tcBorders>
                    <w:tl2br w:val="nil"/>
                    <w:tr2bl w:val="nil"/>
                  </w:tcBorders>
                  <w:noWrap w:val="0"/>
                  <w:vAlign w:val="center"/>
                </w:tcPr>
                <w:p w14:paraId="57AE99B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rPr>
                  </w:pPr>
                  <w:r>
                    <w:rPr>
                      <w:rFonts w:hint="eastAsia"/>
                      <w:color w:val="auto"/>
                    </w:rPr>
                    <w:t>环境影响途径及危害后果（大气、地表水、地下水等）</w:t>
                  </w:r>
                </w:p>
              </w:tc>
              <w:tc>
                <w:tcPr>
                  <w:tcW w:w="4439" w:type="pct"/>
                  <w:gridSpan w:val="4"/>
                  <w:tcBorders>
                    <w:tl2br w:val="nil"/>
                    <w:tr2bl w:val="nil"/>
                  </w:tcBorders>
                  <w:noWrap w:val="0"/>
                  <w:vAlign w:val="center"/>
                </w:tcPr>
                <w:p w14:paraId="1B74E839">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rPr>
                  </w:pPr>
                  <w:r>
                    <w:rPr>
                      <w:rFonts w:hint="eastAsia"/>
                      <w:color w:val="auto"/>
                      <w:lang w:val="en-US" w:eastAsia="zh-CN"/>
                    </w:rPr>
                    <w:t>本项目涉及的主要危险废物为废油桶、废润滑油、废机油、沾染油污的抹布、废手套。项目主要事故类型为危险废物泄漏及火灾、爆炸事故导致大气环境、水环境、土壤环境污染。</w:t>
                  </w:r>
                  <w:r>
                    <w:rPr>
                      <w:rFonts w:hint="eastAsia"/>
                      <w:color w:val="auto"/>
                    </w:rPr>
                    <w:t>建设单位通过采取事故防范措施及采取一定的应急处理措施，可以将本项目的风险降到较低的水平，本项目的环境风险可以接受。</w:t>
                  </w:r>
                </w:p>
              </w:tc>
            </w:tr>
            <w:tr w14:paraId="26C6E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60" w:type="pct"/>
                  <w:tcBorders>
                    <w:tl2br w:val="nil"/>
                    <w:tr2bl w:val="nil"/>
                  </w:tcBorders>
                  <w:noWrap w:val="0"/>
                  <w:vAlign w:val="center"/>
                </w:tcPr>
                <w:p w14:paraId="2913089C">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rPr>
                  </w:pPr>
                  <w:r>
                    <w:rPr>
                      <w:rFonts w:hint="eastAsia"/>
                      <w:color w:val="auto"/>
                    </w:rPr>
                    <w:t>风险防范措施要求</w:t>
                  </w:r>
                </w:p>
              </w:tc>
              <w:tc>
                <w:tcPr>
                  <w:tcW w:w="4439" w:type="pct"/>
                  <w:gridSpan w:val="4"/>
                  <w:tcBorders>
                    <w:tl2br w:val="nil"/>
                    <w:tr2bl w:val="nil"/>
                  </w:tcBorders>
                  <w:noWrap w:val="0"/>
                  <w:vAlign w:val="center"/>
                </w:tcPr>
                <w:p w14:paraId="76BFEC59">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auto"/>
                      <w:lang w:val="en-US" w:eastAsia="zh-CN"/>
                    </w:rPr>
                  </w:pPr>
                  <w:r>
                    <w:rPr>
                      <w:rFonts w:hint="eastAsia"/>
                      <w:color w:val="auto"/>
                      <w:lang w:val="en-US" w:eastAsia="zh-CN"/>
                    </w:rPr>
                    <w:t>①强化管理：</w:t>
                  </w:r>
                </w:p>
                <w:p w14:paraId="73FAB47D">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lang w:eastAsia="zh-CN"/>
                    </w:rPr>
                  </w:pPr>
                  <w:r>
                    <w:rPr>
                      <w:rFonts w:hint="eastAsia"/>
                      <w:color w:val="auto"/>
                    </w:rPr>
                    <w:t>A加强仓库巡查，定时</w:t>
                  </w:r>
                  <w:r>
                    <w:rPr>
                      <w:rFonts w:hint="eastAsia"/>
                      <w:color w:val="auto"/>
                      <w:lang w:val="en-US" w:eastAsia="zh-CN"/>
                    </w:rPr>
                    <w:t>巡查</w:t>
                  </w:r>
                  <w:r>
                    <w:rPr>
                      <w:rFonts w:hint="eastAsia"/>
                      <w:color w:val="auto"/>
                    </w:rPr>
                    <w:t>，主要检查储油桶、防渗层是否破损，若有破损及时进行修补，待防渗层修补好后，方可恢复运营</w:t>
                  </w:r>
                  <w:r>
                    <w:rPr>
                      <w:rFonts w:hint="eastAsia"/>
                      <w:color w:val="auto"/>
                      <w:lang w:eastAsia="zh-CN"/>
                    </w:rPr>
                    <w:t>。</w:t>
                  </w:r>
                </w:p>
                <w:p w14:paraId="111CCB6B">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lang w:eastAsia="zh-CN"/>
                    </w:rPr>
                  </w:pPr>
                  <w:r>
                    <w:rPr>
                      <w:rFonts w:hint="eastAsia"/>
                      <w:color w:val="auto"/>
                    </w:rPr>
                    <w:t>B强化管理，加强搬运人员的业务培训，完善各项规章制度</w:t>
                  </w:r>
                  <w:r>
                    <w:rPr>
                      <w:rFonts w:hint="eastAsia"/>
                      <w:color w:val="auto"/>
                      <w:lang w:eastAsia="zh-CN"/>
                    </w:rPr>
                    <w:t>。</w:t>
                  </w:r>
                </w:p>
                <w:p w14:paraId="43BB1D99">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rPr>
                  </w:pPr>
                  <w:r>
                    <w:rPr>
                      <w:rFonts w:hint="eastAsia"/>
                      <w:color w:val="auto"/>
                    </w:rPr>
                    <w:t>C</w:t>
                  </w:r>
                  <w:r>
                    <w:rPr>
                      <w:rFonts w:hint="eastAsia"/>
                      <w:color w:val="auto"/>
                      <w:lang w:val="en-US" w:eastAsia="zh-CN"/>
                    </w:rPr>
                    <w:t>危险废物贮存库四周</w:t>
                  </w:r>
                  <w:r>
                    <w:rPr>
                      <w:rFonts w:hint="eastAsia"/>
                      <w:color w:val="auto"/>
                    </w:rPr>
                    <w:t>设置</w:t>
                  </w:r>
                  <w:r>
                    <w:rPr>
                      <w:rFonts w:hint="eastAsia"/>
                      <w:color w:val="auto"/>
                      <w:lang w:val="en-US" w:eastAsia="zh-CN"/>
                    </w:rPr>
                    <w:t>导流槽与</w:t>
                  </w:r>
                  <w:r>
                    <w:rPr>
                      <w:rFonts w:hint="eastAsia"/>
                      <w:color w:val="auto"/>
                    </w:rPr>
                    <w:t>集液池</w:t>
                  </w:r>
                  <w:r>
                    <w:rPr>
                      <w:rFonts w:hint="eastAsia"/>
                      <w:color w:val="auto"/>
                      <w:lang w:val="en-US" w:eastAsia="zh-CN"/>
                    </w:rPr>
                    <w:t>相连</w:t>
                  </w:r>
                  <w:r>
                    <w:rPr>
                      <w:rFonts w:hint="eastAsia"/>
                      <w:color w:val="auto"/>
                    </w:rPr>
                    <w:t>，对发生泄漏的危险物质进行及时回收，并存储于防腐防渗容器中。</w:t>
                  </w:r>
                </w:p>
                <w:p w14:paraId="09C1D0C1">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rPr>
                  </w:pPr>
                  <w:r>
                    <w:rPr>
                      <w:rFonts w:hint="eastAsia"/>
                      <w:color w:val="auto"/>
                      <w:lang w:val="en-US" w:eastAsia="zh-CN"/>
                    </w:rPr>
                    <w:t>②</w:t>
                  </w:r>
                  <w:r>
                    <w:rPr>
                      <w:rFonts w:hint="eastAsia"/>
                      <w:color w:val="auto"/>
                    </w:rPr>
                    <w:t>合理布置厂区平面</w:t>
                  </w:r>
                </w:p>
                <w:p w14:paraId="7762C256">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rPr>
                  </w:pPr>
                  <w:r>
                    <w:rPr>
                      <w:rFonts w:hint="eastAsia"/>
                      <w:color w:val="auto"/>
                    </w:rPr>
                    <w:t>A办公生活区应与</w:t>
                  </w:r>
                  <w:r>
                    <w:rPr>
                      <w:rFonts w:hint="eastAsia"/>
                      <w:color w:val="auto"/>
                      <w:lang w:eastAsia="zh-CN"/>
                    </w:rPr>
                    <w:t>暂存</w:t>
                  </w:r>
                  <w:r>
                    <w:rPr>
                      <w:rFonts w:hint="eastAsia"/>
                      <w:color w:val="auto"/>
                    </w:rPr>
                    <w:t>区之间明显分隔；</w:t>
                  </w:r>
                </w:p>
                <w:p w14:paraId="72E0B32B">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rPr>
                  </w:pPr>
                  <w:r>
                    <w:rPr>
                      <w:rFonts w:hint="eastAsia"/>
                      <w:color w:val="auto"/>
                    </w:rPr>
                    <w:t>B合理布置仓库分区，对不同危险废物进行分区存放；</w:t>
                  </w:r>
                </w:p>
                <w:p w14:paraId="7704BDA4">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rPr>
                  </w:pPr>
                  <w:r>
                    <w:rPr>
                      <w:rFonts w:hint="eastAsia"/>
                      <w:color w:val="auto"/>
                    </w:rPr>
                    <w:t>C该项目应留有足够的消防环形通道，并保证消防、急救车辆到达该区域畅通无阻。道路宽度应符合有关规范要求；</w:t>
                  </w:r>
                </w:p>
                <w:p w14:paraId="4617CFBF">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rPr>
                  </w:pPr>
                  <w:r>
                    <w:rPr>
                      <w:rFonts w:hint="eastAsia"/>
                      <w:color w:val="auto"/>
                    </w:rPr>
                    <w:t>D厂外进入厂区的公用工程干线不应通过危险区；</w:t>
                  </w:r>
                </w:p>
                <w:p w14:paraId="5B8A4CA1">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rPr>
                  </w:pPr>
                  <w:r>
                    <w:rPr>
                      <w:rFonts w:hint="eastAsia"/>
                      <w:color w:val="auto"/>
                    </w:rPr>
                    <w:t>E按照有关规定考虑消防设施及火灾报警系统的设置；</w:t>
                  </w:r>
                </w:p>
                <w:p w14:paraId="61542A7B">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rPr>
                  </w:pPr>
                  <w:r>
                    <w:rPr>
                      <w:rFonts w:hint="eastAsia"/>
                      <w:color w:val="auto"/>
                    </w:rPr>
                    <w:t>F按照有关规定考虑紧急救援站的设置。</w:t>
                  </w:r>
                </w:p>
              </w:tc>
            </w:tr>
          </w:tbl>
          <w:p w14:paraId="34808A01">
            <w:pPr>
              <w:bidi w:val="0"/>
              <w:rPr>
                <w:rFonts w:hint="default"/>
                <w:b/>
                <w:bCs/>
                <w:color w:val="auto"/>
                <w:lang w:val="en-US" w:eastAsia="zh-CN"/>
              </w:rPr>
            </w:pPr>
            <w:r>
              <w:rPr>
                <w:rFonts w:hint="eastAsia"/>
                <w:b/>
                <w:bCs/>
                <w:color w:val="auto"/>
                <w:lang w:val="en-US" w:eastAsia="zh-CN"/>
              </w:rPr>
              <w:t>8</w:t>
            </w:r>
            <w:r>
              <w:rPr>
                <w:rFonts w:hint="default"/>
                <w:b/>
                <w:bCs/>
                <w:color w:val="auto"/>
                <w:lang w:val="en-US" w:eastAsia="zh-CN"/>
              </w:rPr>
              <w:t>、环境管理</w:t>
            </w:r>
          </w:p>
          <w:p w14:paraId="52675C17">
            <w:pPr>
              <w:bidi w:val="0"/>
              <w:rPr>
                <w:rFonts w:hint="default"/>
                <w:color w:val="auto"/>
                <w:lang w:val="en-US" w:eastAsia="zh-CN"/>
              </w:rPr>
            </w:pPr>
            <w:r>
              <w:rPr>
                <w:rFonts w:hint="default"/>
                <w:color w:val="auto"/>
                <w:lang w:val="en-US" w:eastAsia="zh-CN"/>
              </w:rPr>
              <w:t>（1）环境管理机构设置与职责</w:t>
            </w:r>
          </w:p>
          <w:p w14:paraId="1369BBA1">
            <w:pPr>
              <w:bidi w:val="0"/>
              <w:rPr>
                <w:rFonts w:hint="default"/>
                <w:color w:val="auto"/>
                <w:lang w:val="en-US" w:eastAsia="zh-CN"/>
              </w:rPr>
            </w:pPr>
            <w:r>
              <w:rPr>
                <w:rFonts w:hint="default"/>
                <w:color w:val="auto"/>
                <w:lang w:val="en-US" w:eastAsia="zh-CN"/>
              </w:rPr>
              <w:t>根据《建设项目环境保护设计规范》等要求，本项目需设立专门的环境管理机构及专职负责人员</w:t>
            </w:r>
            <w:r>
              <w:rPr>
                <w:rFonts w:hint="eastAsia"/>
                <w:color w:val="auto"/>
                <w:lang w:val="en-US" w:eastAsia="zh-CN"/>
              </w:rPr>
              <w:t>2</w:t>
            </w:r>
            <w:r>
              <w:rPr>
                <w:rFonts w:hint="default"/>
                <w:color w:val="auto"/>
                <w:lang w:val="en-US" w:eastAsia="zh-CN"/>
              </w:rPr>
              <w:t>名，负责项目的日常环境管理工作。环保专职管理人员的职能是：</w:t>
            </w:r>
          </w:p>
          <w:p w14:paraId="666DA083">
            <w:pPr>
              <w:bidi w:val="0"/>
              <w:rPr>
                <w:rFonts w:hint="default"/>
                <w:color w:val="auto"/>
                <w:lang w:val="en-US" w:eastAsia="zh-CN"/>
              </w:rPr>
            </w:pPr>
            <w:r>
              <w:rPr>
                <w:rFonts w:hint="default"/>
                <w:color w:val="auto"/>
                <w:lang w:val="en-US" w:eastAsia="zh-CN"/>
              </w:rPr>
              <w:t>1）负责贯彻实施国家环保法规和有关地方环保</w:t>
            </w:r>
            <w:r>
              <w:rPr>
                <w:rFonts w:hint="eastAsia"/>
                <w:color w:val="auto"/>
                <w:lang w:val="en-US" w:eastAsia="zh-CN"/>
              </w:rPr>
              <w:t>法规</w:t>
            </w:r>
            <w:r>
              <w:rPr>
                <w:rFonts w:hint="default"/>
                <w:color w:val="auto"/>
                <w:lang w:val="en-US" w:eastAsia="zh-CN"/>
              </w:rPr>
              <w:t>。</w:t>
            </w:r>
          </w:p>
          <w:p w14:paraId="4C14666F">
            <w:pPr>
              <w:bidi w:val="0"/>
              <w:rPr>
                <w:rFonts w:hint="default"/>
                <w:color w:val="auto"/>
                <w:lang w:val="en-US" w:eastAsia="zh-CN"/>
              </w:rPr>
            </w:pPr>
            <w:r>
              <w:rPr>
                <w:rFonts w:hint="default"/>
                <w:color w:val="auto"/>
                <w:lang w:val="en-US" w:eastAsia="zh-CN"/>
              </w:rPr>
              <w:t>2）加强环保管理，建立健全企业的环境管理制度，确保污染治理和生态环境保护工作顺利实施，并实施检查和监督。</w:t>
            </w:r>
          </w:p>
          <w:p w14:paraId="61045B39">
            <w:pPr>
              <w:bidi w:val="0"/>
              <w:rPr>
                <w:rFonts w:hint="default"/>
                <w:color w:val="auto"/>
                <w:lang w:val="en-US" w:eastAsia="zh-CN"/>
              </w:rPr>
            </w:pPr>
            <w:r>
              <w:rPr>
                <w:rFonts w:hint="default"/>
                <w:color w:val="auto"/>
                <w:lang w:val="en-US" w:eastAsia="zh-CN"/>
              </w:rPr>
              <w:t>3）组织开展环境监测，及时了解施工区及工程运行后环境质量状况及生态恢复状况。</w:t>
            </w:r>
          </w:p>
          <w:p w14:paraId="3E0E24E5">
            <w:pPr>
              <w:bidi w:val="0"/>
              <w:rPr>
                <w:rFonts w:hint="default"/>
                <w:color w:val="auto"/>
                <w:lang w:val="en-US" w:eastAsia="zh-CN"/>
              </w:rPr>
            </w:pPr>
            <w:r>
              <w:rPr>
                <w:rFonts w:hint="default"/>
                <w:color w:val="auto"/>
                <w:lang w:val="en-US" w:eastAsia="zh-CN"/>
              </w:rPr>
              <w:t>（2）环境管理要求</w:t>
            </w:r>
          </w:p>
          <w:p w14:paraId="5594E3BE">
            <w:pPr>
              <w:bidi w:val="0"/>
              <w:rPr>
                <w:rFonts w:hint="default"/>
                <w:color w:val="auto"/>
                <w:lang w:val="en-US" w:eastAsia="zh-CN"/>
              </w:rPr>
            </w:pPr>
            <w:r>
              <w:rPr>
                <w:rFonts w:hint="default"/>
                <w:color w:val="auto"/>
                <w:lang w:val="en-US" w:eastAsia="zh-CN"/>
              </w:rPr>
              <w:t>项目运营期应设专人进行环境管理工作，正确处理发展生产与环境保护的关系，监控环保工程的运行，并检查其效果，了解场内环境质量与影响环境质量的污染因子变化情况，建立健全环保档案，为保护和改善区域环境质量</w:t>
            </w:r>
            <w:r>
              <w:rPr>
                <w:rFonts w:hint="eastAsia"/>
                <w:color w:val="auto"/>
                <w:lang w:val="en-US" w:eastAsia="zh-CN"/>
              </w:rPr>
              <w:t>做好</w:t>
            </w:r>
            <w:r>
              <w:rPr>
                <w:rFonts w:hint="default"/>
                <w:color w:val="auto"/>
                <w:lang w:val="en-US" w:eastAsia="zh-CN"/>
              </w:rPr>
              <w:t>组织和监督工作，环境管理具体内容如下：</w:t>
            </w:r>
          </w:p>
          <w:p w14:paraId="65A44F0F">
            <w:pPr>
              <w:bidi w:val="0"/>
              <w:rPr>
                <w:rFonts w:hint="default"/>
                <w:color w:val="auto"/>
                <w:lang w:val="en-US" w:eastAsia="zh-CN"/>
              </w:rPr>
            </w:pPr>
            <w:r>
              <w:rPr>
                <w:rFonts w:hint="default"/>
                <w:color w:val="auto"/>
                <w:lang w:val="en-US" w:eastAsia="zh-CN"/>
              </w:rPr>
              <w:t>1）环保设施应与主体设施同时设计、同时施工、同时投入运行，项目主体设施及配套的环保设施建成后应进行环保验收，污染治理设施必须经验收合格后，项目方可投入</w:t>
            </w:r>
            <w:r>
              <w:rPr>
                <w:rFonts w:hint="eastAsia"/>
                <w:color w:val="auto"/>
                <w:lang w:val="en-US" w:eastAsia="zh-CN"/>
              </w:rPr>
              <w:t>运营</w:t>
            </w:r>
            <w:r>
              <w:rPr>
                <w:rFonts w:hint="default"/>
                <w:color w:val="auto"/>
                <w:lang w:val="en-US" w:eastAsia="zh-CN"/>
              </w:rPr>
              <w:t>，没有通过环保验收不得进行</w:t>
            </w:r>
            <w:r>
              <w:rPr>
                <w:rFonts w:hint="eastAsia"/>
                <w:color w:val="auto"/>
                <w:lang w:val="en-US" w:eastAsia="zh-CN"/>
              </w:rPr>
              <w:t>运营</w:t>
            </w:r>
            <w:r>
              <w:rPr>
                <w:rFonts w:hint="default"/>
                <w:color w:val="auto"/>
                <w:lang w:val="en-US" w:eastAsia="zh-CN"/>
              </w:rPr>
              <w:t>。</w:t>
            </w:r>
          </w:p>
          <w:p w14:paraId="60BA40E0">
            <w:pPr>
              <w:bidi w:val="0"/>
              <w:rPr>
                <w:rFonts w:hint="default"/>
                <w:color w:val="auto"/>
                <w:lang w:val="en-US" w:eastAsia="zh-CN"/>
              </w:rPr>
            </w:pPr>
            <w:r>
              <w:rPr>
                <w:rFonts w:hint="default"/>
                <w:color w:val="auto"/>
                <w:lang w:val="en-US" w:eastAsia="zh-CN"/>
              </w:rPr>
              <w:t>2）建立、健全环境管理制度，设置专职或兼职环保人员，负责日常环保安全，定期检查环保管理和环境监测工作。</w:t>
            </w:r>
          </w:p>
          <w:p w14:paraId="2E1F7A43">
            <w:pPr>
              <w:bidi w:val="0"/>
              <w:rPr>
                <w:rFonts w:hint="default"/>
                <w:color w:val="auto"/>
                <w:lang w:val="en-US" w:eastAsia="zh-CN"/>
              </w:rPr>
            </w:pPr>
            <w:r>
              <w:rPr>
                <w:rFonts w:hint="default"/>
                <w:color w:val="auto"/>
                <w:lang w:val="en-US" w:eastAsia="zh-CN"/>
              </w:rPr>
              <w:t>3）制定各种可能发生事故的应急计划，定期对职工进行培训演练，配备各种必要的维护、抢修器材和设备，保证发生事故时能及时到位。</w:t>
            </w:r>
          </w:p>
          <w:p w14:paraId="69C125A3">
            <w:pPr>
              <w:bidi w:val="0"/>
              <w:rPr>
                <w:rFonts w:hint="default"/>
                <w:color w:val="auto"/>
                <w:lang w:val="en-US" w:eastAsia="zh-CN"/>
              </w:rPr>
            </w:pPr>
            <w:r>
              <w:rPr>
                <w:rFonts w:hint="default"/>
                <w:color w:val="auto"/>
                <w:lang w:val="en-US" w:eastAsia="zh-CN"/>
              </w:rPr>
              <w:t>4）收集、暂存</w:t>
            </w:r>
            <w:r>
              <w:rPr>
                <w:rFonts w:hint="eastAsia"/>
                <w:color w:val="auto"/>
                <w:lang w:val="en-US" w:eastAsia="zh-CN"/>
              </w:rPr>
              <w:t>的</w:t>
            </w:r>
            <w:r>
              <w:rPr>
                <w:rFonts w:hint="default"/>
                <w:color w:val="auto"/>
                <w:lang w:val="en-US" w:eastAsia="zh-CN"/>
              </w:rPr>
              <w:t>危险废物，必须按照危险废物特性进行分类</w:t>
            </w:r>
            <w:r>
              <w:rPr>
                <w:rFonts w:hint="eastAsia"/>
                <w:color w:val="auto"/>
                <w:lang w:val="en-US" w:eastAsia="zh-CN"/>
              </w:rPr>
              <w:t>处置</w:t>
            </w:r>
            <w:r>
              <w:rPr>
                <w:rFonts w:hint="default"/>
                <w:color w:val="auto"/>
                <w:lang w:val="en-US" w:eastAsia="zh-CN"/>
              </w:rPr>
              <w:t>。禁止混合收集、暂存、运输、处置性质不相容而未经安全性处置的危险废物。</w:t>
            </w:r>
          </w:p>
          <w:p w14:paraId="50DE33A7">
            <w:pPr>
              <w:bidi w:val="0"/>
              <w:rPr>
                <w:rFonts w:hint="default"/>
                <w:color w:val="auto"/>
                <w:lang w:val="en-US" w:eastAsia="zh-CN"/>
              </w:rPr>
            </w:pPr>
            <w:r>
              <w:rPr>
                <w:rFonts w:hint="default"/>
                <w:color w:val="auto"/>
                <w:lang w:val="en-US" w:eastAsia="zh-CN"/>
              </w:rPr>
              <w:t>5）严格按照</w:t>
            </w:r>
            <w:r>
              <w:rPr>
                <w:rFonts w:hint="eastAsia"/>
                <w:color w:val="auto"/>
                <w:lang w:val="en-US" w:eastAsia="zh-CN"/>
              </w:rPr>
              <w:t>《危险废物贮存污染控制标准》</w:t>
            </w:r>
            <w:r>
              <w:rPr>
                <w:rFonts w:hint="default"/>
                <w:color w:val="auto"/>
                <w:lang w:val="en-US" w:eastAsia="zh-CN"/>
              </w:rPr>
              <w:t>（GB18597-20</w:t>
            </w:r>
            <w:r>
              <w:rPr>
                <w:rFonts w:hint="eastAsia"/>
                <w:color w:val="auto"/>
                <w:lang w:val="en-US" w:eastAsia="zh-CN"/>
              </w:rPr>
              <w:t>23</w:t>
            </w:r>
            <w:r>
              <w:rPr>
                <w:rFonts w:hint="default"/>
                <w:color w:val="auto"/>
                <w:lang w:val="en-US" w:eastAsia="zh-CN"/>
              </w:rPr>
              <w:t>）和《危险废物转移管理办法》</w:t>
            </w:r>
            <w:r>
              <w:rPr>
                <w:rFonts w:hint="eastAsia"/>
                <w:color w:val="auto"/>
                <w:lang w:val="en-US" w:eastAsia="zh-CN"/>
              </w:rPr>
              <w:t>（2022年1月1日）</w:t>
            </w:r>
            <w:r>
              <w:rPr>
                <w:rFonts w:hint="default"/>
                <w:color w:val="auto"/>
                <w:lang w:val="en-US" w:eastAsia="zh-CN"/>
              </w:rPr>
              <w:t>中暂存及转移危险废物的要求对收集及产生的危险废物进行暂存、转移。</w:t>
            </w:r>
          </w:p>
          <w:p w14:paraId="139DFC6F">
            <w:pPr>
              <w:bidi w:val="0"/>
              <w:rPr>
                <w:rFonts w:hint="default"/>
                <w:color w:val="auto"/>
                <w:lang w:val="en-US" w:eastAsia="zh-CN"/>
              </w:rPr>
            </w:pPr>
            <w:r>
              <w:rPr>
                <w:rFonts w:hint="default"/>
                <w:color w:val="auto"/>
                <w:lang w:val="en-US" w:eastAsia="zh-CN"/>
              </w:rPr>
              <w:t>6）暂存危险废物必须采取符合国家环境保护标准的防护措施，并不得超过一年，确</w:t>
            </w:r>
            <w:r>
              <w:rPr>
                <w:rFonts w:hint="eastAsia"/>
                <w:color w:val="auto"/>
                <w:lang w:val="en-US" w:eastAsia="zh-CN"/>
              </w:rPr>
              <w:t>需</w:t>
            </w:r>
            <w:r>
              <w:rPr>
                <w:rFonts w:hint="default"/>
                <w:color w:val="auto"/>
                <w:lang w:val="en-US" w:eastAsia="zh-CN"/>
              </w:rPr>
              <w:t>延长期限的，必须报经原批准经营许可证的环境保护行政主管部门批准。</w:t>
            </w:r>
          </w:p>
          <w:p w14:paraId="798E5415">
            <w:pPr>
              <w:bidi w:val="0"/>
              <w:rPr>
                <w:rFonts w:hint="default"/>
                <w:color w:val="auto"/>
                <w:lang w:val="en-US" w:eastAsia="zh-CN"/>
              </w:rPr>
            </w:pPr>
            <w:r>
              <w:rPr>
                <w:rFonts w:hint="default"/>
                <w:color w:val="auto"/>
                <w:lang w:val="en-US" w:eastAsia="zh-CN"/>
              </w:rPr>
              <w:t>7）危险废物收集、暂存及转运要建立危险废物进出管理台账。</w:t>
            </w:r>
          </w:p>
          <w:p w14:paraId="7FA842ED">
            <w:pPr>
              <w:bidi w:val="0"/>
              <w:rPr>
                <w:rFonts w:hint="default"/>
                <w:color w:val="auto"/>
                <w:lang w:val="en-US" w:eastAsia="zh-CN"/>
              </w:rPr>
            </w:pPr>
            <w:r>
              <w:rPr>
                <w:rFonts w:hint="default"/>
                <w:color w:val="auto"/>
                <w:lang w:val="en-US" w:eastAsia="zh-CN"/>
              </w:rPr>
              <w:t>8）收集暂存的危险废物应严格按照《危险废物转移管理办法》</w:t>
            </w:r>
            <w:r>
              <w:rPr>
                <w:rFonts w:hint="eastAsia"/>
                <w:color w:val="auto"/>
                <w:lang w:val="en-US" w:eastAsia="zh-CN"/>
              </w:rPr>
              <w:t>（2022年1月1日）</w:t>
            </w:r>
            <w:r>
              <w:rPr>
                <w:rFonts w:hint="default"/>
                <w:color w:val="auto"/>
                <w:lang w:val="en-US" w:eastAsia="zh-CN"/>
              </w:rPr>
              <w:t>中的有关要求管理，危险废物转移程序如下：</w:t>
            </w:r>
          </w:p>
          <w:p w14:paraId="730AFE5D">
            <w:pPr>
              <w:bidi w:val="0"/>
              <w:rPr>
                <w:rFonts w:hint="default"/>
                <w:color w:val="auto"/>
                <w:lang w:val="en-US" w:eastAsia="zh-CN"/>
              </w:rPr>
            </w:pPr>
            <w:r>
              <w:rPr>
                <w:rFonts w:hint="default"/>
                <w:color w:val="auto"/>
                <w:lang w:val="en-US" w:eastAsia="zh-CN"/>
              </w:rPr>
              <w:t>①危险废物产生单位在转移危险废物前，须按照国家有关规定报批危险废物转移计划；经批准后，产生单位应当向移出地环境保护行政主管部门申请领取联单。</w:t>
            </w:r>
          </w:p>
          <w:p w14:paraId="4097476F">
            <w:pPr>
              <w:bidi w:val="0"/>
              <w:rPr>
                <w:rFonts w:hint="default"/>
                <w:color w:val="auto"/>
                <w:lang w:val="en-US" w:eastAsia="zh-CN"/>
              </w:rPr>
            </w:pPr>
            <w:r>
              <w:rPr>
                <w:rFonts w:hint="default"/>
                <w:color w:val="auto"/>
                <w:lang w:val="en-US" w:eastAsia="zh-CN"/>
              </w:rPr>
              <w:t>②产生单位应当在危险废物转移前三日内报告移出地环境保护行政主管部门，并同时将预期到达时间报告</w:t>
            </w:r>
            <w:r>
              <w:rPr>
                <w:rFonts w:hint="eastAsia"/>
                <w:color w:val="auto"/>
                <w:lang w:val="en-US" w:eastAsia="zh-CN"/>
              </w:rPr>
              <w:t>接收</w:t>
            </w:r>
            <w:r>
              <w:rPr>
                <w:rFonts w:hint="default"/>
                <w:color w:val="auto"/>
                <w:lang w:val="en-US" w:eastAsia="zh-CN"/>
              </w:rPr>
              <w:t>地环境保护行政主管部门。</w:t>
            </w:r>
          </w:p>
          <w:p w14:paraId="11BE9087">
            <w:pPr>
              <w:bidi w:val="0"/>
              <w:rPr>
                <w:rFonts w:hint="default"/>
                <w:color w:val="auto"/>
                <w:lang w:val="en-US" w:eastAsia="zh-CN"/>
              </w:rPr>
            </w:pPr>
            <w:r>
              <w:rPr>
                <w:rFonts w:hint="default"/>
                <w:color w:val="auto"/>
                <w:lang w:val="en-US" w:eastAsia="zh-CN"/>
              </w:rPr>
              <w:t>③危险废物产生单位每转移一车、船（次）同类危险废物，应当填写一份联单。每车、船（次）有多类危险废物的，应当按每一类危险废物填写一份联单。</w:t>
            </w:r>
          </w:p>
          <w:p w14:paraId="7BEC65FF">
            <w:pPr>
              <w:bidi w:val="0"/>
              <w:rPr>
                <w:rFonts w:hint="default"/>
                <w:color w:val="auto"/>
                <w:lang w:val="en-US" w:eastAsia="zh-CN"/>
              </w:rPr>
            </w:pPr>
            <w:r>
              <w:rPr>
                <w:rFonts w:hint="default"/>
                <w:color w:val="auto"/>
                <w:lang w:val="en-US" w:eastAsia="zh-CN"/>
              </w:rPr>
              <w:t>④危险废物产生单位应当如实填写联单中产生单位栏目，并加盖公章，经交付危险废物运输单位核实验收签字后，将联单第一联副联自留存档，将联单第二联交移出地环境保护行政主管部门，联单第一联正联及其余各联交付运输单位随危险废物转移运行。</w:t>
            </w:r>
          </w:p>
          <w:p w14:paraId="78AFCABD">
            <w:pPr>
              <w:bidi w:val="0"/>
              <w:rPr>
                <w:rFonts w:hint="default"/>
                <w:color w:val="auto"/>
                <w:lang w:val="en-US" w:eastAsia="zh-CN"/>
              </w:rPr>
            </w:pPr>
            <w:r>
              <w:rPr>
                <w:rFonts w:hint="default"/>
                <w:color w:val="auto"/>
                <w:lang w:val="en-US" w:eastAsia="zh-CN"/>
              </w:rPr>
              <w:t>⑤危险废物运输单位应当如实填写联单的运输单位栏目，按照国家有关危险物品运输的规定，将危险废物安全运抵联单载明的</w:t>
            </w:r>
            <w:r>
              <w:rPr>
                <w:rFonts w:hint="eastAsia"/>
                <w:color w:val="auto"/>
                <w:lang w:val="en-US" w:eastAsia="zh-CN"/>
              </w:rPr>
              <w:t>接收</w:t>
            </w:r>
            <w:r>
              <w:rPr>
                <w:rFonts w:hint="default"/>
                <w:color w:val="auto"/>
                <w:lang w:val="en-US" w:eastAsia="zh-CN"/>
              </w:rPr>
              <w:t>地点，并将联单第一联、第二联副联、第三联、第四联、第五联随转移的危险废物交付危险废物</w:t>
            </w:r>
            <w:r>
              <w:rPr>
                <w:rFonts w:hint="eastAsia"/>
                <w:color w:val="auto"/>
                <w:lang w:val="en-US" w:eastAsia="zh-CN"/>
              </w:rPr>
              <w:t>接收单位</w:t>
            </w:r>
            <w:r>
              <w:rPr>
                <w:rFonts w:hint="default"/>
                <w:color w:val="auto"/>
                <w:lang w:val="en-US" w:eastAsia="zh-CN"/>
              </w:rPr>
              <w:t>。</w:t>
            </w:r>
          </w:p>
          <w:p w14:paraId="4F065A66">
            <w:pPr>
              <w:bidi w:val="0"/>
              <w:rPr>
                <w:rFonts w:hint="default"/>
                <w:color w:val="auto"/>
                <w:lang w:val="en-US" w:eastAsia="zh-CN"/>
              </w:rPr>
            </w:pPr>
            <w:r>
              <w:rPr>
                <w:rFonts w:hint="default"/>
                <w:color w:val="auto"/>
                <w:lang w:val="en-US" w:eastAsia="zh-CN"/>
              </w:rPr>
              <w:t>⑥危险废物接受单位应当按照联单填写的内容对危险废物核实验收，如实填写联单中</w:t>
            </w:r>
            <w:r>
              <w:rPr>
                <w:rFonts w:hint="eastAsia"/>
                <w:color w:val="auto"/>
                <w:lang w:val="en-US" w:eastAsia="zh-CN"/>
              </w:rPr>
              <w:t>接收单位</w:t>
            </w:r>
            <w:r>
              <w:rPr>
                <w:rFonts w:hint="default"/>
                <w:color w:val="auto"/>
                <w:lang w:val="en-US" w:eastAsia="zh-CN"/>
              </w:rPr>
              <w:t>栏目并加盖公章。</w:t>
            </w:r>
          </w:p>
          <w:p w14:paraId="2CC530C2">
            <w:pPr>
              <w:bidi w:val="0"/>
              <w:rPr>
                <w:rFonts w:hint="default"/>
                <w:color w:val="auto"/>
                <w:lang w:val="en-US" w:eastAsia="zh-CN"/>
              </w:rPr>
            </w:pPr>
            <w:r>
              <w:rPr>
                <w:rFonts w:hint="default"/>
                <w:color w:val="auto"/>
                <w:lang w:val="en-US" w:eastAsia="zh-CN"/>
              </w:rPr>
              <w:t>⑦接受单位应当将联单第一联、第二联副联自接受危险废物之日起十日内交付产生单位，联单第一联由产生单位自留存档，联单第二联副联由产生单位在二日内报送移出地环境保护行政主管部门；接受单位将联单第三联交付运输单位存档；将联单第四联自留存档；将联单第五联自接受危险废物之日起二日内报送接受地环境保护行政主管部门。</w:t>
            </w:r>
          </w:p>
          <w:p w14:paraId="7E710A88">
            <w:pPr>
              <w:bidi w:val="0"/>
              <w:rPr>
                <w:rFonts w:hint="default"/>
                <w:color w:val="auto"/>
                <w:lang w:val="en-US" w:eastAsia="zh-CN"/>
              </w:rPr>
            </w:pPr>
            <w:r>
              <w:rPr>
                <w:rFonts w:hint="default"/>
                <w:color w:val="auto"/>
                <w:lang w:val="en-US" w:eastAsia="zh-CN"/>
              </w:rPr>
              <w:t>⑧危险废物</w:t>
            </w:r>
            <w:r>
              <w:rPr>
                <w:rFonts w:hint="eastAsia"/>
                <w:color w:val="auto"/>
                <w:lang w:val="en-US" w:eastAsia="zh-CN"/>
              </w:rPr>
              <w:t>接收单位</w:t>
            </w:r>
            <w:r>
              <w:rPr>
                <w:rFonts w:hint="default"/>
                <w:color w:val="auto"/>
                <w:lang w:val="en-US" w:eastAsia="zh-CN"/>
              </w:rPr>
              <w:t>验收发现危险废物的名称、数量、特性、形态、包装方式与联单填写内容不符的，应当及时向接受地环境保护行政主管部门报告，并通知产生单位。</w:t>
            </w:r>
          </w:p>
          <w:p w14:paraId="4703FE9A">
            <w:pPr>
              <w:bidi w:val="0"/>
              <w:rPr>
                <w:rFonts w:hint="default"/>
                <w:color w:val="auto"/>
                <w:lang w:val="en-US" w:eastAsia="zh-CN"/>
              </w:rPr>
            </w:pPr>
            <w:r>
              <w:rPr>
                <w:rFonts w:hint="default"/>
                <w:color w:val="auto"/>
                <w:lang w:val="en-US" w:eastAsia="zh-CN"/>
              </w:rPr>
              <w:t>⑨联单保存期限为五年；暂存危险废物的，其联单保存期限与危险废物暂存期限相同。</w:t>
            </w:r>
          </w:p>
          <w:p w14:paraId="73B59D37">
            <w:pPr>
              <w:bidi w:val="0"/>
              <w:rPr>
                <w:rFonts w:hint="default"/>
                <w:color w:val="auto"/>
                <w:lang w:val="en-US" w:eastAsia="zh-CN"/>
              </w:rPr>
            </w:pPr>
            <w:r>
              <w:rPr>
                <w:rFonts w:hint="eastAsia"/>
                <w:color w:val="auto"/>
                <w:lang w:val="en-US" w:eastAsia="zh-CN"/>
              </w:rPr>
              <w:t>根据《危险废物识别标志设置技术规范》（HJ1276-2022），危险废物暂存库危险废物标识管理如下：</w:t>
            </w:r>
          </w:p>
          <w:p w14:paraId="5746A7B5">
            <w:pPr>
              <w:bidi w:val="0"/>
              <w:ind w:left="0" w:leftChars="0" w:firstLine="0" w:firstLineChars="0"/>
              <w:jc w:val="center"/>
              <w:rPr>
                <w:color w:val="auto"/>
                <w:lang w:val="en-US" w:eastAsia="zh-CN"/>
              </w:rPr>
            </w:pPr>
            <w:r>
              <w:rPr>
                <w:color w:val="auto"/>
              </w:rPr>
              <w:drawing>
                <wp:inline distT="0" distB="0" distL="114300" distR="114300">
                  <wp:extent cx="3860165" cy="2750820"/>
                  <wp:effectExtent l="0" t="0" r="6985" b="1143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25"/>
                          <a:stretch>
                            <a:fillRect/>
                          </a:stretch>
                        </pic:blipFill>
                        <pic:spPr>
                          <a:xfrm>
                            <a:off x="0" y="0"/>
                            <a:ext cx="3860165" cy="2750820"/>
                          </a:xfrm>
                          <a:prstGeom prst="rect">
                            <a:avLst/>
                          </a:prstGeom>
                          <a:noFill/>
                          <a:ln>
                            <a:noFill/>
                          </a:ln>
                        </pic:spPr>
                      </pic:pic>
                    </a:graphicData>
                  </a:graphic>
                </wp:inline>
              </w:drawing>
            </w:r>
          </w:p>
          <w:p w14:paraId="1972962D">
            <w:pPr>
              <w:bidi w:val="0"/>
              <w:jc w:val="center"/>
              <w:rPr>
                <w:rFonts w:hint="default"/>
                <w:b/>
                <w:bCs/>
                <w:color w:val="auto"/>
                <w:lang w:val="en-US" w:eastAsia="zh-CN"/>
              </w:rPr>
            </w:pPr>
            <w:r>
              <w:rPr>
                <w:rFonts w:hint="eastAsia"/>
                <w:b/>
                <w:bCs/>
                <w:color w:val="auto"/>
                <w:lang w:val="en-US" w:eastAsia="zh-CN"/>
              </w:rPr>
              <w:t>危险废物标识牌</w:t>
            </w:r>
          </w:p>
          <w:p w14:paraId="059DF452">
            <w:pPr>
              <w:bidi w:val="0"/>
              <w:rPr>
                <w:rFonts w:hint="default"/>
                <w:color w:val="auto"/>
                <w:lang w:val="en-US" w:eastAsia="zh-CN"/>
              </w:rPr>
            </w:pPr>
            <w:r>
              <w:rPr>
                <w:color w:val="auto"/>
              </w:rPr>
              <w:drawing>
                <wp:inline distT="0" distB="0" distL="114300" distR="114300">
                  <wp:extent cx="1142365" cy="970915"/>
                  <wp:effectExtent l="0" t="0" r="635" b="63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26"/>
                          <a:stretch>
                            <a:fillRect/>
                          </a:stretch>
                        </pic:blipFill>
                        <pic:spPr>
                          <a:xfrm>
                            <a:off x="0" y="0"/>
                            <a:ext cx="1142365" cy="970915"/>
                          </a:xfrm>
                          <a:prstGeom prst="rect">
                            <a:avLst/>
                          </a:prstGeom>
                          <a:noFill/>
                          <a:ln>
                            <a:noFill/>
                          </a:ln>
                        </pic:spPr>
                      </pic:pic>
                    </a:graphicData>
                  </a:graphic>
                </wp:inline>
              </w:drawing>
            </w:r>
            <w:r>
              <w:rPr>
                <w:color w:val="auto"/>
              </w:rPr>
              <w:drawing>
                <wp:inline distT="0" distB="0" distL="114300" distR="114300">
                  <wp:extent cx="1083945" cy="923290"/>
                  <wp:effectExtent l="0" t="0" r="1905" b="10160"/>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27"/>
                          <a:stretch>
                            <a:fillRect/>
                          </a:stretch>
                        </pic:blipFill>
                        <pic:spPr>
                          <a:xfrm>
                            <a:off x="0" y="0"/>
                            <a:ext cx="1083945" cy="923290"/>
                          </a:xfrm>
                          <a:prstGeom prst="rect">
                            <a:avLst/>
                          </a:prstGeom>
                          <a:noFill/>
                          <a:ln>
                            <a:noFill/>
                          </a:ln>
                        </pic:spPr>
                      </pic:pic>
                    </a:graphicData>
                  </a:graphic>
                </wp:inline>
              </w:drawing>
            </w:r>
            <w:r>
              <w:rPr>
                <w:color w:val="auto"/>
              </w:rPr>
              <w:drawing>
                <wp:inline distT="0" distB="0" distL="114300" distR="114300">
                  <wp:extent cx="988695" cy="974725"/>
                  <wp:effectExtent l="0" t="0" r="1905" b="15875"/>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28"/>
                          <a:stretch>
                            <a:fillRect/>
                          </a:stretch>
                        </pic:blipFill>
                        <pic:spPr>
                          <a:xfrm>
                            <a:off x="0" y="0"/>
                            <a:ext cx="988695" cy="974725"/>
                          </a:xfrm>
                          <a:prstGeom prst="rect">
                            <a:avLst/>
                          </a:prstGeom>
                          <a:noFill/>
                          <a:ln>
                            <a:noFill/>
                          </a:ln>
                        </pic:spPr>
                      </pic:pic>
                    </a:graphicData>
                  </a:graphic>
                </wp:inline>
              </w:drawing>
            </w:r>
            <w:r>
              <w:rPr>
                <w:color w:val="auto"/>
              </w:rPr>
              <w:drawing>
                <wp:inline distT="0" distB="0" distL="114300" distR="114300">
                  <wp:extent cx="1099185" cy="983615"/>
                  <wp:effectExtent l="0" t="0" r="5715" b="6985"/>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29"/>
                          <a:stretch>
                            <a:fillRect/>
                          </a:stretch>
                        </pic:blipFill>
                        <pic:spPr>
                          <a:xfrm>
                            <a:off x="0" y="0"/>
                            <a:ext cx="1099185" cy="983615"/>
                          </a:xfrm>
                          <a:prstGeom prst="rect">
                            <a:avLst/>
                          </a:prstGeom>
                          <a:noFill/>
                          <a:ln>
                            <a:noFill/>
                          </a:ln>
                        </pic:spPr>
                      </pic:pic>
                    </a:graphicData>
                  </a:graphic>
                </wp:inline>
              </w:drawing>
            </w:r>
          </w:p>
          <w:p w14:paraId="4857D43A">
            <w:pPr>
              <w:bidi w:val="0"/>
              <w:ind w:left="0" w:leftChars="0" w:firstLine="0" w:firstLineChars="0"/>
              <w:jc w:val="center"/>
              <w:rPr>
                <w:rFonts w:hint="default"/>
                <w:b/>
                <w:bCs/>
                <w:color w:val="auto"/>
                <w:lang w:val="en-US" w:eastAsia="zh-CN"/>
              </w:rPr>
            </w:pPr>
            <w:r>
              <w:rPr>
                <w:rFonts w:hint="eastAsia"/>
                <w:b/>
                <w:bCs/>
                <w:color w:val="auto"/>
                <w:lang w:val="en-US" w:eastAsia="zh-CN"/>
              </w:rPr>
              <w:t>腐蚀性危险废物毒性危险废物易燃性危险废物反应性危险废物</w:t>
            </w:r>
          </w:p>
          <w:p w14:paraId="325664F3">
            <w:pPr>
              <w:bidi w:val="0"/>
              <w:jc w:val="center"/>
              <w:rPr>
                <w:rFonts w:hint="default"/>
                <w:b/>
                <w:bCs/>
                <w:color w:val="auto"/>
                <w:lang w:val="en-US" w:eastAsia="zh-CN"/>
              </w:rPr>
            </w:pPr>
            <w:r>
              <w:rPr>
                <w:b/>
                <w:bCs/>
                <w:color w:val="auto"/>
              </w:rPr>
              <w:t>图</w:t>
            </w:r>
            <w:r>
              <w:rPr>
                <w:rFonts w:hint="eastAsia"/>
                <w:b/>
                <w:bCs/>
                <w:color w:val="auto"/>
                <w:lang w:val="en-US" w:eastAsia="zh-CN"/>
              </w:rPr>
              <w:t>4</w:t>
            </w:r>
            <w:r>
              <w:rPr>
                <w:b/>
                <w:bCs/>
                <w:color w:val="auto"/>
              </w:rPr>
              <w:t>-</w:t>
            </w:r>
            <w:r>
              <w:rPr>
                <w:rFonts w:hint="eastAsia"/>
                <w:b/>
                <w:bCs/>
                <w:color w:val="auto"/>
                <w:lang w:val="en-US" w:eastAsia="zh-CN"/>
              </w:rPr>
              <w:t>1危险废物标识图</w:t>
            </w:r>
          </w:p>
          <w:p w14:paraId="6C794BC0">
            <w:pPr>
              <w:bidi w:val="0"/>
              <w:rPr>
                <w:rFonts w:hint="default"/>
                <w:color w:val="auto"/>
                <w:lang w:val="en-US" w:eastAsia="zh-CN"/>
              </w:rPr>
            </w:pPr>
            <w:r>
              <w:rPr>
                <w:rFonts w:hint="default"/>
                <w:color w:val="auto"/>
                <w:lang w:val="en-US" w:eastAsia="zh-CN"/>
              </w:rPr>
              <w:t>（3）排污许可管理要求</w:t>
            </w:r>
          </w:p>
          <w:p w14:paraId="05E6E461">
            <w:pPr>
              <w:bidi w:val="0"/>
              <w:rPr>
                <w:rFonts w:hint="default"/>
                <w:color w:val="auto"/>
                <w:lang w:val="en-US" w:eastAsia="zh-CN"/>
              </w:rPr>
            </w:pPr>
            <w:r>
              <w:rPr>
                <w:rFonts w:hint="default"/>
                <w:color w:val="auto"/>
                <w:lang w:val="en-US" w:eastAsia="zh-CN"/>
              </w:rPr>
              <w:t>1）周边环境质量监测要求</w:t>
            </w:r>
          </w:p>
          <w:p w14:paraId="44AFC5B9">
            <w:pPr>
              <w:bidi w:val="0"/>
              <w:rPr>
                <w:rFonts w:hint="default"/>
                <w:color w:val="auto"/>
                <w:lang w:val="en-US" w:eastAsia="zh-CN"/>
              </w:rPr>
            </w:pPr>
            <w:r>
              <w:rPr>
                <w:rFonts w:hint="default"/>
                <w:color w:val="auto"/>
                <w:lang w:val="en-US" w:eastAsia="zh-CN"/>
              </w:rPr>
              <w:t>本项目为</w:t>
            </w:r>
            <w:r>
              <w:rPr>
                <w:rFonts w:hint="eastAsia"/>
                <w:color w:val="auto"/>
                <w:lang w:val="en-US" w:eastAsia="zh-CN"/>
              </w:rPr>
              <w:t>危险废物贮存库</w:t>
            </w:r>
            <w:r>
              <w:rPr>
                <w:rFonts w:hint="default"/>
                <w:color w:val="auto"/>
                <w:lang w:val="en-US" w:eastAsia="zh-CN"/>
              </w:rPr>
              <w:t>建设项目，</w:t>
            </w:r>
            <w:r>
              <w:rPr>
                <w:rFonts w:hint="eastAsia"/>
                <w:color w:val="auto"/>
                <w:lang w:val="en-US" w:eastAsia="zh-CN"/>
              </w:rPr>
              <w:t>危险废物贮存库</w:t>
            </w:r>
            <w:r>
              <w:rPr>
                <w:rFonts w:hint="default"/>
                <w:color w:val="auto"/>
                <w:lang w:val="en-US" w:eastAsia="zh-CN"/>
              </w:rPr>
              <w:t>运营期</w:t>
            </w:r>
            <w:r>
              <w:rPr>
                <w:rFonts w:hint="eastAsia"/>
                <w:color w:val="auto"/>
                <w:lang w:val="en-US" w:eastAsia="zh-CN"/>
              </w:rPr>
              <w:t>会</w:t>
            </w:r>
            <w:r>
              <w:rPr>
                <w:rFonts w:hint="default"/>
                <w:color w:val="auto"/>
                <w:lang w:val="en-US" w:eastAsia="zh-CN"/>
              </w:rPr>
              <w:t>产生少量</w:t>
            </w:r>
            <w:r>
              <w:rPr>
                <w:rFonts w:hint="eastAsia"/>
                <w:color w:val="auto"/>
                <w:lang w:val="en-US" w:eastAsia="zh-CN"/>
              </w:rPr>
              <w:t>挥发性有机物</w:t>
            </w:r>
            <w:r>
              <w:rPr>
                <w:rFonts w:hint="default"/>
                <w:color w:val="auto"/>
                <w:lang w:val="en-US" w:eastAsia="zh-CN"/>
              </w:rPr>
              <w:t>，运营期需对其周边环境质量进行监测。</w:t>
            </w:r>
          </w:p>
          <w:p w14:paraId="67167155">
            <w:pPr>
              <w:bidi w:val="0"/>
              <w:rPr>
                <w:rFonts w:hint="default"/>
                <w:color w:val="auto"/>
                <w:lang w:val="en-US" w:eastAsia="zh-CN"/>
              </w:rPr>
            </w:pPr>
            <w:r>
              <w:rPr>
                <w:rFonts w:hint="default"/>
                <w:color w:val="auto"/>
                <w:lang w:val="en-US" w:eastAsia="zh-CN"/>
              </w:rPr>
              <w:t>2）自行监测数据记录、报告、保存公开要求</w:t>
            </w:r>
          </w:p>
          <w:p w14:paraId="317FB24D">
            <w:pPr>
              <w:bidi w:val="0"/>
              <w:rPr>
                <w:rFonts w:hint="default"/>
                <w:color w:val="auto"/>
                <w:lang w:val="en-US" w:eastAsia="zh-CN"/>
              </w:rPr>
            </w:pPr>
            <w:r>
              <w:rPr>
                <w:rFonts w:hint="default"/>
                <w:color w:val="auto"/>
                <w:lang w:val="en-US" w:eastAsia="zh-CN"/>
              </w:rPr>
              <w:t>①委托其他有资质的检测机构开展监测，并对监测机构资质进行确认；</w:t>
            </w:r>
          </w:p>
          <w:p w14:paraId="66585D57">
            <w:pPr>
              <w:bidi w:val="0"/>
              <w:rPr>
                <w:rFonts w:hint="default"/>
                <w:color w:val="auto"/>
                <w:lang w:val="en-US" w:eastAsia="zh-CN"/>
              </w:rPr>
            </w:pPr>
            <w:r>
              <w:rPr>
                <w:rFonts w:hint="default"/>
                <w:color w:val="auto"/>
                <w:lang w:val="en-US" w:eastAsia="zh-CN"/>
              </w:rPr>
              <w:t>②根据HJ819、HJ/T373要求，按照自行检测方案开展监测，全过程监测质量控制，建立</w:t>
            </w:r>
            <w:r>
              <w:rPr>
                <w:rFonts w:hint="eastAsia"/>
                <w:color w:val="auto"/>
                <w:lang w:val="en-US" w:eastAsia="zh-CN"/>
              </w:rPr>
              <w:t>自行检测</w:t>
            </w:r>
            <w:r>
              <w:rPr>
                <w:rFonts w:hint="default"/>
                <w:color w:val="auto"/>
                <w:lang w:val="en-US" w:eastAsia="zh-CN"/>
              </w:rPr>
              <w:t>质量保证与质量控制体系；</w:t>
            </w:r>
          </w:p>
          <w:p w14:paraId="39BE7C1D">
            <w:pPr>
              <w:bidi w:val="0"/>
              <w:rPr>
                <w:rFonts w:hint="default"/>
                <w:color w:val="auto"/>
                <w:lang w:val="en-US" w:eastAsia="zh-CN"/>
              </w:rPr>
            </w:pPr>
            <w:r>
              <w:rPr>
                <w:rFonts w:hint="default"/>
                <w:color w:val="auto"/>
                <w:lang w:val="en-US" w:eastAsia="zh-CN"/>
              </w:rPr>
              <w:t>③监测数据记录、整理、存档要求：监测期间手工监测记录和自动监测运维记录按照HJ819要求执行，同步记录监测期间的生产工况，安排专人对监测数据进行记录、整理、统计、分析和存档；</w:t>
            </w:r>
          </w:p>
          <w:p w14:paraId="18640216">
            <w:pPr>
              <w:bidi w:val="0"/>
              <w:rPr>
                <w:rFonts w:hint="default"/>
                <w:color w:val="auto"/>
                <w:lang w:val="en-US" w:eastAsia="zh-CN"/>
              </w:rPr>
            </w:pPr>
            <w:r>
              <w:rPr>
                <w:rFonts w:hint="default"/>
                <w:color w:val="auto"/>
                <w:lang w:val="en-US" w:eastAsia="zh-CN"/>
              </w:rPr>
              <w:t>④信息公开要求：建设单位应当及时填写《排污单位环境管理台账及排污许可证执行报告技术规范总则（试行）》</w:t>
            </w:r>
            <w:r>
              <w:rPr>
                <w:rFonts w:hint="eastAsia"/>
                <w:color w:val="auto"/>
                <w:lang w:val="en-US" w:eastAsia="zh-CN"/>
              </w:rPr>
              <w:t>（</w:t>
            </w:r>
            <w:r>
              <w:rPr>
                <w:rFonts w:hint="default"/>
                <w:color w:val="auto"/>
                <w:lang w:val="en-US" w:eastAsia="zh-CN"/>
              </w:rPr>
              <w:t>HJ944-2018</w:t>
            </w:r>
            <w:r>
              <w:rPr>
                <w:rFonts w:hint="eastAsia"/>
                <w:color w:val="auto"/>
                <w:lang w:val="en-US" w:eastAsia="zh-CN"/>
              </w:rPr>
              <w:t>）</w:t>
            </w:r>
            <w:r>
              <w:rPr>
                <w:rFonts w:hint="default"/>
                <w:color w:val="auto"/>
                <w:lang w:val="en-US" w:eastAsia="zh-CN"/>
              </w:rPr>
              <w:t>中的表F.19信息公开情况表。</w:t>
            </w:r>
          </w:p>
          <w:p w14:paraId="2F9BEB06">
            <w:pPr>
              <w:bidi w:val="0"/>
              <w:rPr>
                <w:rFonts w:hint="eastAsia"/>
                <w:color w:val="auto"/>
                <w:lang w:val="en-US" w:eastAsia="zh-CN"/>
              </w:rPr>
            </w:pPr>
            <w:r>
              <w:rPr>
                <w:rFonts w:hint="eastAsia"/>
                <w:color w:val="auto"/>
                <w:lang w:val="en-US" w:eastAsia="zh-CN"/>
              </w:rPr>
              <w:t>（4）管理计划与管理台账要求</w:t>
            </w:r>
          </w:p>
          <w:p w14:paraId="7FDCE3A4">
            <w:pPr>
              <w:bidi w:val="0"/>
              <w:rPr>
                <w:rFonts w:hint="default"/>
                <w:color w:val="auto"/>
                <w:lang w:val="en-US" w:eastAsia="zh-CN"/>
              </w:rPr>
            </w:pPr>
            <w:r>
              <w:rPr>
                <w:rFonts w:hint="eastAsia"/>
                <w:color w:val="auto"/>
                <w:lang w:val="en-US" w:eastAsia="zh-CN"/>
              </w:rPr>
              <w:t>根据《危险废物管理计划和管理台账制定技术导则》（HJ1259-2022），本项目运营期应规范危险废物管理计划与管理台账，具体要求如下（包括但不限于下列项目）：</w:t>
            </w:r>
          </w:p>
          <w:p w14:paraId="792339DB">
            <w:pPr>
              <w:bidi w:val="0"/>
              <w:rPr>
                <w:rFonts w:hint="default"/>
                <w:color w:val="auto"/>
                <w:lang w:val="en-US" w:eastAsia="zh-CN"/>
              </w:rPr>
            </w:pPr>
            <w:r>
              <w:rPr>
                <w:rFonts w:hint="default"/>
                <w:color w:val="auto"/>
                <w:lang w:val="en-US" w:eastAsia="zh-CN"/>
              </w:rPr>
              <w:t>1）产生危险废物的单位，应当按规定的分类管理要求，制定危险废物管理计划，内容应当包括减少危险废物产生量和降低危险废物危害性的措施以及危险废物贮存、利用、处置措施；建立危险废物管理台账，如实记录危险废物的种类、产生量、流向、贮存、利用、处置等有关信息；通过国家危险废物信息管理系统向所在地生态环境主管部门备案危险废物管理计划，申报危险废物有关资料。</w:t>
            </w:r>
          </w:p>
          <w:p w14:paraId="43095672">
            <w:pPr>
              <w:bidi w:val="0"/>
              <w:rPr>
                <w:rFonts w:hint="default"/>
                <w:color w:val="auto"/>
                <w:lang w:val="en-US" w:eastAsia="zh-CN"/>
              </w:rPr>
            </w:pPr>
            <w:r>
              <w:rPr>
                <w:rFonts w:hint="eastAsia"/>
                <w:color w:val="auto"/>
                <w:lang w:val="en-US" w:eastAsia="zh-CN"/>
              </w:rPr>
              <w:t>2）产生危险废物的单位应当按照实际情况填写记录有关内容，并对内容的真实性、准确性和完整性负责。</w:t>
            </w:r>
          </w:p>
          <w:p w14:paraId="1F8527F8">
            <w:pPr>
              <w:bidi w:val="0"/>
              <w:rPr>
                <w:rFonts w:hint="eastAsia"/>
                <w:color w:val="auto"/>
                <w:lang w:val="en-US" w:eastAsia="zh-CN"/>
              </w:rPr>
            </w:pPr>
            <w:r>
              <w:rPr>
                <w:rFonts w:hint="eastAsia"/>
                <w:color w:val="auto"/>
                <w:lang w:val="en-US" w:eastAsia="zh-CN"/>
              </w:rPr>
              <w:t>3）危险废物管理计划制定内容应根据产生危险废物的单位的管理类别确定。</w:t>
            </w:r>
          </w:p>
          <w:p w14:paraId="44733F01">
            <w:pPr>
              <w:bidi w:val="0"/>
              <w:rPr>
                <w:rFonts w:hint="default"/>
                <w:color w:val="auto"/>
                <w:lang w:val="en-US" w:eastAsia="zh-CN"/>
              </w:rPr>
            </w:pPr>
            <w:r>
              <w:rPr>
                <w:rFonts w:hint="eastAsia"/>
                <w:color w:val="auto"/>
                <w:lang w:val="en-US" w:eastAsia="zh-CN"/>
              </w:rPr>
              <w:t>4）危险废物的种类、产生量、流向、贮存、利用、处置等有关资料的申报周期应根据产生危险废物的单位的管理类别确定。</w:t>
            </w:r>
          </w:p>
          <w:p w14:paraId="76877D75">
            <w:pPr>
              <w:bidi w:val="0"/>
              <w:rPr>
                <w:rFonts w:hint="eastAsia"/>
                <w:color w:val="auto"/>
                <w:lang w:val="en-US" w:eastAsia="zh-CN"/>
              </w:rPr>
            </w:pPr>
            <w:r>
              <w:rPr>
                <w:rFonts w:hint="eastAsia"/>
                <w:color w:val="auto"/>
                <w:lang w:val="en-US" w:eastAsia="zh-CN"/>
              </w:rPr>
              <w:t>5）危险废物登记管理单位的管理计划制定内容应包括单位基本信息、危险废物产生情况信息、危险废物转移情况信息。</w:t>
            </w:r>
          </w:p>
          <w:p w14:paraId="34D50C60">
            <w:pPr>
              <w:bidi w:val="0"/>
              <w:rPr>
                <w:rFonts w:hint="eastAsia"/>
                <w:color w:val="auto"/>
                <w:lang w:val="en-US" w:eastAsia="zh-CN"/>
              </w:rPr>
            </w:pPr>
            <w:r>
              <w:rPr>
                <w:rFonts w:hint="eastAsia"/>
                <w:color w:val="auto"/>
                <w:lang w:val="en-US" w:eastAsia="zh-CN"/>
              </w:rPr>
              <w:t>6）产生危险废物的单位应建立危险废物管理台账，落实危险废物管理台账记录的责任人，明确工作职责，并对危险废物管理台账的真实性、准确性和完整性负法律责任。</w:t>
            </w:r>
          </w:p>
          <w:p w14:paraId="300C80CC">
            <w:pPr>
              <w:bidi w:val="0"/>
              <w:rPr>
                <w:rFonts w:hint="eastAsia"/>
                <w:color w:val="auto"/>
                <w:lang w:val="en-US" w:eastAsia="zh-CN"/>
              </w:rPr>
            </w:pPr>
            <w:r>
              <w:rPr>
                <w:rFonts w:hint="eastAsia"/>
                <w:color w:val="auto"/>
                <w:lang w:val="en-US" w:eastAsia="zh-CN"/>
              </w:rPr>
              <w:t>7）产生危险废物的单位应根据危险废物产生、贮存、利用、处置等环节的动态流向，如实建立各环节的危险废物管理台账，</w:t>
            </w:r>
          </w:p>
          <w:p w14:paraId="1512628B">
            <w:pPr>
              <w:bidi w:val="0"/>
              <w:rPr>
                <w:rFonts w:hint="default"/>
                <w:color w:val="auto"/>
                <w:lang w:val="en-US" w:eastAsia="zh-CN"/>
              </w:rPr>
            </w:pPr>
            <w:r>
              <w:rPr>
                <w:rFonts w:hint="eastAsia"/>
                <w:color w:val="auto"/>
                <w:lang w:val="en-US" w:eastAsia="zh-CN"/>
              </w:rPr>
              <w:t>8）危险废物管理台账分为电子管理台账和纸质管理台账两种形式。产生危险废物的单位可通过国家危险废物信息管理系统、企业自建信息管理系统或第三方平台等方式建立电子管理台账。</w:t>
            </w:r>
          </w:p>
          <w:p w14:paraId="1966E0E1">
            <w:pPr>
              <w:adjustRightInd w:val="0"/>
              <w:snapToGrid w:val="0"/>
              <w:ind w:firstLine="442"/>
              <w:rPr>
                <w:rFonts w:hint="default" w:eastAsia="宋体"/>
                <w:b/>
                <w:bCs/>
                <w:color w:val="auto"/>
                <w:spacing w:val="-10"/>
                <w:highlight w:val="none"/>
                <w:lang w:val="en-US" w:eastAsia="zh-CN"/>
              </w:rPr>
            </w:pPr>
            <w:r>
              <w:rPr>
                <w:rFonts w:hint="eastAsia"/>
                <w:b/>
                <w:bCs/>
                <w:color w:val="auto"/>
                <w:spacing w:val="-10"/>
                <w:highlight w:val="none"/>
                <w:lang w:val="en-US" w:eastAsia="zh-CN"/>
              </w:rPr>
              <w:t>9</w:t>
            </w:r>
            <w:r>
              <w:rPr>
                <w:b/>
                <w:bCs/>
                <w:color w:val="auto"/>
                <w:spacing w:val="-10"/>
                <w:highlight w:val="none"/>
              </w:rPr>
              <w:t>、环保设施</w:t>
            </w:r>
            <w:r>
              <w:rPr>
                <w:rFonts w:hint="eastAsia"/>
                <w:b/>
                <w:bCs/>
                <w:color w:val="auto"/>
                <w:spacing w:val="-10"/>
                <w:highlight w:val="none"/>
                <w:lang w:val="en-US" w:eastAsia="zh-CN"/>
              </w:rPr>
              <w:t>及竣工验收</w:t>
            </w:r>
          </w:p>
          <w:p w14:paraId="2BA947B9">
            <w:pPr>
              <w:adjustRightInd w:val="0"/>
              <w:snapToGrid w:val="0"/>
              <w:ind w:firstLine="440"/>
              <w:rPr>
                <w:color w:val="auto"/>
                <w:spacing w:val="-10"/>
                <w:highlight w:val="none"/>
              </w:rPr>
            </w:pPr>
            <w:r>
              <w:rPr>
                <w:color w:val="auto"/>
                <w:spacing w:val="-10"/>
                <w:highlight w:val="none"/>
              </w:rPr>
              <w:t>项目总投资10万元，全部为环保投资。</w:t>
            </w:r>
          </w:p>
          <w:p w14:paraId="750B36B5">
            <w:pPr>
              <w:adjustRightInd w:val="0"/>
              <w:snapToGrid w:val="0"/>
              <w:ind w:firstLine="442"/>
              <w:jc w:val="center"/>
              <w:rPr>
                <w:b/>
                <w:bCs/>
                <w:color w:val="auto"/>
                <w:spacing w:val="-10"/>
                <w:highlight w:val="none"/>
              </w:rPr>
            </w:pPr>
            <w:r>
              <w:rPr>
                <w:b/>
                <w:bCs/>
                <w:color w:val="auto"/>
                <w:spacing w:val="-10"/>
                <w:highlight w:val="none"/>
              </w:rPr>
              <w:t>表4-</w:t>
            </w:r>
            <w:r>
              <w:rPr>
                <w:rFonts w:hint="eastAsia"/>
                <w:b/>
                <w:bCs/>
                <w:color w:val="auto"/>
                <w:spacing w:val="-10"/>
                <w:highlight w:val="none"/>
                <w:lang w:val="en-US" w:eastAsia="zh-CN"/>
              </w:rPr>
              <w:t>12</w:t>
            </w:r>
            <w:r>
              <w:rPr>
                <w:b/>
                <w:bCs/>
                <w:color w:val="auto"/>
                <w:spacing w:val="-10"/>
                <w:highlight w:val="none"/>
              </w:rPr>
              <w:t>环保措施及投资一览表</w:t>
            </w:r>
          </w:p>
          <w:tbl>
            <w:tblPr>
              <w:tblStyle w:val="1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1229"/>
              <w:gridCol w:w="4309"/>
              <w:gridCol w:w="1667"/>
            </w:tblGrid>
            <w:tr w14:paraId="50B30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8" w:type="pct"/>
                  <w:tcBorders>
                    <w:tl2br w:val="nil"/>
                    <w:tr2bl w:val="nil"/>
                  </w:tcBorders>
                  <w:noWrap w:val="0"/>
                  <w:vAlign w:val="center"/>
                </w:tcPr>
                <w:p w14:paraId="12E55BA7">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auto"/>
                    </w:rPr>
                  </w:pPr>
                  <w:r>
                    <w:rPr>
                      <w:rFonts w:hint="default"/>
                      <w:color w:val="auto"/>
                    </w:rPr>
                    <w:t>类别</w:t>
                  </w:r>
                </w:p>
              </w:tc>
              <w:tc>
                <w:tcPr>
                  <w:tcW w:w="774" w:type="pct"/>
                  <w:tcBorders>
                    <w:tl2br w:val="nil"/>
                    <w:tr2bl w:val="nil"/>
                  </w:tcBorders>
                  <w:noWrap w:val="0"/>
                  <w:vAlign w:val="center"/>
                </w:tcPr>
                <w:p w14:paraId="565B07C0">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auto"/>
                    </w:rPr>
                  </w:pPr>
                  <w:r>
                    <w:rPr>
                      <w:rFonts w:hint="default"/>
                      <w:color w:val="auto"/>
                    </w:rPr>
                    <w:t>治理对象</w:t>
                  </w:r>
                </w:p>
              </w:tc>
              <w:tc>
                <w:tcPr>
                  <w:tcW w:w="2715" w:type="pct"/>
                  <w:tcBorders>
                    <w:tl2br w:val="nil"/>
                    <w:tr2bl w:val="nil"/>
                  </w:tcBorders>
                  <w:noWrap w:val="0"/>
                  <w:vAlign w:val="center"/>
                </w:tcPr>
                <w:p w14:paraId="4E324B81">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auto"/>
                    </w:rPr>
                  </w:pPr>
                  <w:r>
                    <w:rPr>
                      <w:rFonts w:hint="default"/>
                      <w:color w:val="auto"/>
                    </w:rPr>
                    <w:t>防治对策措施</w:t>
                  </w:r>
                </w:p>
              </w:tc>
              <w:tc>
                <w:tcPr>
                  <w:tcW w:w="1050" w:type="pct"/>
                  <w:tcBorders>
                    <w:tl2br w:val="nil"/>
                    <w:tr2bl w:val="nil"/>
                  </w:tcBorders>
                  <w:noWrap w:val="0"/>
                  <w:vAlign w:val="center"/>
                </w:tcPr>
                <w:p w14:paraId="348451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lang w:val="en-US" w:eastAsia="zh-CN"/>
                    </w:rPr>
                  </w:pPr>
                  <w:r>
                    <w:rPr>
                      <w:rFonts w:hint="default"/>
                      <w:color w:val="auto"/>
                    </w:rPr>
                    <w:t>投资</w:t>
                  </w:r>
                  <w:r>
                    <w:rPr>
                      <w:rFonts w:hint="eastAsia"/>
                      <w:color w:val="auto"/>
                      <w:lang w:val="en-US" w:eastAsia="zh-CN"/>
                    </w:rPr>
                    <w:t>金额</w:t>
                  </w:r>
                </w:p>
                <w:p w14:paraId="574499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lang w:eastAsia="zh-CN"/>
                    </w:rPr>
                  </w:pPr>
                  <w:r>
                    <w:rPr>
                      <w:rFonts w:hint="eastAsia"/>
                      <w:color w:val="auto"/>
                      <w:lang w:eastAsia="zh-CN"/>
                    </w:rPr>
                    <w:t>（</w:t>
                  </w:r>
                  <w:r>
                    <w:rPr>
                      <w:rFonts w:hint="eastAsia"/>
                      <w:color w:val="auto"/>
                      <w:lang w:val="en-US" w:eastAsia="zh-CN"/>
                    </w:rPr>
                    <w:t>万元</w:t>
                  </w:r>
                  <w:r>
                    <w:rPr>
                      <w:rFonts w:hint="eastAsia"/>
                      <w:color w:val="auto"/>
                      <w:lang w:eastAsia="zh-CN"/>
                    </w:rPr>
                    <w:t>）</w:t>
                  </w:r>
                </w:p>
              </w:tc>
            </w:tr>
            <w:tr w14:paraId="5E4BA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458" w:type="pct"/>
                  <w:tcBorders>
                    <w:tl2br w:val="nil"/>
                    <w:tr2bl w:val="nil"/>
                  </w:tcBorders>
                  <w:noWrap w:val="0"/>
                  <w:vAlign w:val="center"/>
                </w:tcPr>
                <w:p w14:paraId="78D53DA4">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auto"/>
                    </w:rPr>
                  </w:pPr>
                  <w:r>
                    <w:rPr>
                      <w:rFonts w:hint="default"/>
                      <w:color w:val="auto"/>
                    </w:rPr>
                    <w:t>大气污染物</w:t>
                  </w:r>
                </w:p>
              </w:tc>
              <w:tc>
                <w:tcPr>
                  <w:tcW w:w="774" w:type="pct"/>
                  <w:tcBorders>
                    <w:tl2br w:val="nil"/>
                    <w:tr2bl w:val="nil"/>
                  </w:tcBorders>
                  <w:noWrap w:val="0"/>
                  <w:vAlign w:val="center"/>
                </w:tcPr>
                <w:p w14:paraId="53ECC0F3">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auto"/>
                      <w:lang w:val="en-US" w:eastAsia="zh-CN"/>
                    </w:rPr>
                  </w:pPr>
                  <w:r>
                    <w:rPr>
                      <w:rFonts w:hint="eastAsia"/>
                      <w:color w:val="auto"/>
                      <w:lang w:val="en-US" w:eastAsia="zh-CN"/>
                    </w:rPr>
                    <w:t>非甲烷总烃</w:t>
                  </w:r>
                </w:p>
              </w:tc>
              <w:tc>
                <w:tcPr>
                  <w:tcW w:w="2715" w:type="pct"/>
                  <w:tcBorders>
                    <w:tl2br w:val="nil"/>
                    <w:tr2bl w:val="nil"/>
                  </w:tcBorders>
                  <w:noWrap w:val="0"/>
                  <w:vAlign w:val="center"/>
                </w:tcPr>
                <w:p w14:paraId="6B8FA45F">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auto"/>
                      <w:lang w:val="en-US" w:eastAsia="zh-CN"/>
                    </w:rPr>
                  </w:pPr>
                  <w:r>
                    <w:rPr>
                      <w:rFonts w:hint="default"/>
                      <w:color w:val="auto"/>
                      <w:lang w:val="en-US" w:eastAsia="zh-CN"/>
                    </w:rPr>
                    <w:t>本项目采取</w:t>
                  </w:r>
                  <w:r>
                    <w:rPr>
                      <w:rFonts w:hint="eastAsia"/>
                      <w:color w:val="auto"/>
                      <w:lang w:val="en-US" w:eastAsia="zh-CN"/>
                    </w:rPr>
                    <w:t>全封闭危险废物贮存库，</w:t>
                  </w:r>
                  <w:r>
                    <w:rPr>
                      <w:rFonts w:hint="default"/>
                      <w:color w:val="auto"/>
                      <w:lang w:val="en-US" w:eastAsia="zh-CN"/>
                    </w:rPr>
                    <w:t>内设置排风扇、</w:t>
                  </w:r>
                  <w:r>
                    <w:rPr>
                      <w:rFonts w:hint="eastAsia"/>
                      <w:color w:val="auto"/>
                      <w:lang w:val="en-US" w:eastAsia="zh-CN"/>
                    </w:rPr>
                    <w:t>全方位设置内外监控设备，监控设备与环保部门联网，危险废物</w:t>
                  </w:r>
                  <w:r>
                    <w:rPr>
                      <w:rFonts w:hint="default"/>
                      <w:color w:val="auto"/>
                      <w:lang w:val="en-US" w:eastAsia="zh-CN"/>
                    </w:rPr>
                    <w:t>加盖密闭</w:t>
                  </w:r>
                  <w:r>
                    <w:rPr>
                      <w:rFonts w:hint="eastAsia"/>
                      <w:color w:val="auto"/>
                      <w:lang w:val="en-US" w:eastAsia="zh-CN"/>
                    </w:rPr>
                    <w:t>、</w:t>
                  </w:r>
                  <w:r>
                    <w:rPr>
                      <w:rFonts w:hint="default"/>
                      <w:color w:val="auto"/>
                      <w:lang w:val="en-US" w:eastAsia="zh-CN"/>
                    </w:rPr>
                    <w:t>密封包装、加快周转频次、减少暂存周期的措施</w:t>
                  </w:r>
                  <w:r>
                    <w:rPr>
                      <w:rFonts w:hint="eastAsia"/>
                      <w:color w:val="auto"/>
                      <w:lang w:val="en-US" w:eastAsia="zh-CN"/>
                    </w:rPr>
                    <w:t>。</w:t>
                  </w:r>
                </w:p>
              </w:tc>
              <w:tc>
                <w:tcPr>
                  <w:tcW w:w="1050" w:type="pct"/>
                  <w:vMerge w:val="restart"/>
                  <w:tcBorders>
                    <w:tl2br w:val="nil"/>
                    <w:tr2bl w:val="nil"/>
                  </w:tcBorders>
                  <w:noWrap w:val="0"/>
                  <w:vAlign w:val="center"/>
                </w:tcPr>
                <w:p w14:paraId="2DE3B1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auto"/>
                      <w:lang w:val="en-US" w:eastAsia="zh-CN"/>
                    </w:rPr>
                  </w:pPr>
                  <w:r>
                    <w:rPr>
                      <w:rFonts w:hint="eastAsia"/>
                      <w:color w:val="auto"/>
                      <w:lang w:val="en-US" w:eastAsia="zh-CN"/>
                    </w:rPr>
                    <w:t>10</w:t>
                  </w:r>
                </w:p>
              </w:tc>
            </w:tr>
            <w:tr w14:paraId="04083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trPr>
              <w:tc>
                <w:tcPr>
                  <w:tcW w:w="458" w:type="pct"/>
                  <w:tcBorders>
                    <w:tl2br w:val="nil"/>
                    <w:tr2bl w:val="nil"/>
                  </w:tcBorders>
                  <w:noWrap w:val="0"/>
                  <w:vAlign w:val="center"/>
                </w:tcPr>
                <w:p w14:paraId="29D9237C">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auto"/>
                    </w:rPr>
                  </w:pPr>
                  <w:r>
                    <w:rPr>
                      <w:rFonts w:hint="default"/>
                      <w:color w:val="auto"/>
                    </w:rPr>
                    <w:t>噪声</w:t>
                  </w:r>
                </w:p>
              </w:tc>
              <w:tc>
                <w:tcPr>
                  <w:tcW w:w="774" w:type="pct"/>
                  <w:tcBorders>
                    <w:tl2br w:val="nil"/>
                    <w:tr2bl w:val="nil"/>
                  </w:tcBorders>
                  <w:noWrap w:val="0"/>
                  <w:vAlign w:val="center"/>
                </w:tcPr>
                <w:p w14:paraId="71F6F44E">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auto"/>
                    </w:rPr>
                  </w:pPr>
                  <w:r>
                    <w:rPr>
                      <w:rFonts w:hint="default"/>
                      <w:color w:val="auto"/>
                    </w:rPr>
                    <w:t>噪声</w:t>
                  </w:r>
                </w:p>
              </w:tc>
              <w:tc>
                <w:tcPr>
                  <w:tcW w:w="2715" w:type="pct"/>
                  <w:tcBorders>
                    <w:tl2br w:val="nil"/>
                    <w:tr2bl w:val="nil"/>
                  </w:tcBorders>
                  <w:noWrap w:val="0"/>
                  <w:vAlign w:val="center"/>
                </w:tcPr>
                <w:p w14:paraId="45C6C3B5">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auto"/>
                      <w:lang w:val="en-US" w:eastAsia="zh-CN"/>
                    </w:rPr>
                  </w:pPr>
                  <w:r>
                    <w:rPr>
                      <w:rFonts w:hint="default"/>
                      <w:color w:val="auto"/>
                      <w:lang w:val="en-US" w:eastAsia="zh-CN"/>
                    </w:rPr>
                    <w:t>采用低噪声设备，车辆定期维护保养，</w:t>
                  </w:r>
                  <w:r>
                    <w:rPr>
                      <w:rFonts w:hint="eastAsia"/>
                      <w:color w:val="auto"/>
                      <w:lang w:val="en-US" w:eastAsia="zh-CN"/>
                    </w:rPr>
                    <w:t>危险废物贮存库</w:t>
                  </w:r>
                  <w:r>
                    <w:rPr>
                      <w:rFonts w:hint="default"/>
                      <w:color w:val="auto"/>
                      <w:lang w:val="en-US" w:eastAsia="zh-CN"/>
                    </w:rPr>
                    <w:t>内风机采用隔声、消声器、减振</w:t>
                  </w:r>
                </w:p>
              </w:tc>
              <w:tc>
                <w:tcPr>
                  <w:tcW w:w="1050" w:type="pct"/>
                  <w:vMerge w:val="continue"/>
                  <w:tcBorders>
                    <w:tl2br w:val="nil"/>
                    <w:tr2bl w:val="nil"/>
                  </w:tcBorders>
                  <w:noWrap w:val="0"/>
                  <w:vAlign w:val="center"/>
                </w:tcPr>
                <w:p w14:paraId="3956839F">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auto"/>
                      <w:lang w:val="en-US" w:eastAsia="zh-CN"/>
                    </w:rPr>
                  </w:pPr>
                </w:p>
              </w:tc>
            </w:tr>
            <w:tr w14:paraId="41BC3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458" w:type="pct"/>
                  <w:tcBorders>
                    <w:tl2br w:val="nil"/>
                    <w:tr2bl w:val="nil"/>
                  </w:tcBorders>
                  <w:noWrap w:val="0"/>
                  <w:vAlign w:val="center"/>
                </w:tcPr>
                <w:p w14:paraId="548AB7D1">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auto"/>
                    </w:rPr>
                  </w:pPr>
                  <w:r>
                    <w:rPr>
                      <w:rFonts w:hint="default"/>
                      <w:color w:val="auto"/>
                    </w:rPr>
                    <w:t>固体废物</w:t>
                  </w:r>
                </w:p>
              </w:tc>
              <w:tc>
                <w:tcPr>
                  <w:tcW w:w="774" w:type="pct"/>
                  <w:tcBorders>
                    <w:tl2br w:val="nil"/>
                    <w:tr2bl w:val="nil"/>
                  </w:tcBorders>
                  <w:noWrap w:val="0"/>
                  <w:vAlign w:val="center"/>
                </w:tcPr>
                <w:p w14:paraId="682565A6">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auto"/>
                    </w:rPr>
                  </w:pPr>
                  <w:r>
                    <w:rPr>
                      <w:rFonts w:hint="default"/>
                      <w:color w:val="auto"/>
                    </w:rPr>
                    <w:t>危险废物</w:t>
                  </w:r>
                </w:p>
              </w:tc>
              <w:tc>
                <w:tcPr>
                  <w:tcW w:w="2715" w:type="pct"/>
                  <w:tcBorders>
                    <w:tl2br w:val="nil"/>
                    <w:tr2bl w:val="nil"/>
                  </w:tcBorders>
                  <w:noWrap w:val="0"/>
                  <w:vAlign w:val="center"/>
                </w:tcPr>
                <w:p w14:paraId="715F88C2">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eastAsia="宋体"/>
                      <w:color w:val="auto"/>
                      <w:lang w:val="en-US" w:eastAsia="zh-CN"/>
                    </w:rPr>
                  </w:pPr>
                  <w:r>
                    <w:rPr>
                      <w:rFonts w:hint="default"/>
                      <w:color w:val="auto"/>
                    </w:rPr>
                    <w:t>含油抹布、含油废手套</w:t>
                  </w:r>
                  <w:r>
                    <w:rPr>
                      <w:rFonts w:hint="eastAsia"/>
                      <w:color w:val="auto"/>
                      <w:lang w:val="en-US" w:eastAsia="zh-CN"/>
                    </w:rPr>
                    <w:t>暂存于危险废物暂存库内，定期交由有资质单位进行处置。</w:t>
                  </w:r>
                </w:p>
              </w:tc>
              <w:tc>
                <w:tcPr>
                  <w:tcW w:w="1050" w:type="pct"/>
                  <w:vMerge w:val="continue"/>
                  <w:tcBorders>
                    <w:tl2br w:val="nil"/>
                    <w:tr2bl w:val="nil"/>
                  </w:tcBorders>
                  <w:noWrap w:val="0"/>
                  <w:vAlign w:val="center"/>
                </w:tcPr>
                <w:p w14:paraId="00C157FA">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auto"/>
                      <w:lang w:val="en-US" w:eastAsia="zh-CN"/>
                    </w:rPr>
                  </w:pPr>
                </w:p>
              </w:tc>
            </w:tr>
            <w:tr w14:paraId="192F6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8" w:type="pct"/>
                  <w:tcBorders>
                    <w:tl2br w:val="nil"/>
                    <w:tr2bl w:val="nil"/>
                  </w:tcBorders>
                  <w:noWrap w:val="0"/>
                  <w:vAlign w:val="center"/>
                </w:tcPr>
                <w:p w14:paraId="7BD8970B">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auto"/>
                    </w:rPr>
                  </w:pPr>
                  <w:r>
                    <w:rPr>
                      <w:rFonts w:hint="eastAsia"/>
                      <w:color w:val="auto"/>
                      <w:lang w:val="en-US" w:eastAsia="zh-CN"/>
                    </w:rPr>
                    <w:t>地下水及土壤</w:t>
                  </w:r>
                </w:p>
              </w:tc>
              <w:tc>
                <w:tcPr>
                  <w:tcW w:w="774" w:type="pct"/>
                  <w:tcBorders>
                    <w:tl2br w:val="nil"/>
                    <w:tr2bl w:val="nil"/>
                  </w:tcBorders>
                  <w:noWrap w:val="0"/>
                  <w:vAlign w:val="center"/>
                </w:tcPr>
                <w:p w14:paraId="58219BA6">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lang w:eastAsia="zh-CN"/>
                    </w:rPr>
                  </w:pPr>
                  <w:r>
                    <w:rPr>
                      <w:rFonts w:hint="eastAsia"/>
                      <w:color w:val="auto"/>
                      <w:lang w:eastAsia="zh-CN"/>
                    </w:rPr>
                    <w:t>危险废物贮存库</w:t>
                  </w:r>
                  <w:r>
                    <w:rPr>
                      <w:rFonts w:hint="default"/>
                      <w:color w:val="auto"/>
                    </w:rPr>
                    <w:t>地面</w:t>
                  </w:r>
                  <w:r>
                    <w:rPr>
                      <w:rFonts w:hint="eastAsia"/>
                      <w:color w:val="auto"/>
                      <w:lang w:eastAsia="zh-CN"/>
                    </w:rPr>
                    <w:t>、</w:t>
                  </w:r>
                  <w:r>
                    <w:rPr>
                      <w:rFonts w:hint="eastAsia"/>
                      <w:color w:val="auto"/>
                      <w:lang w:val="en-US" w:eastAsia="zh-CN"/>
                    </w:rPr>
                    <w:t>导流槽、集液池、裙角</w:t>
                  </w:r>
                </w:p>
              </w:tc>
              <w:tc>
                <w:tcPr>
                  <w:tcW w:w="2715" w:type="pct"/>
                  <w:tcBorders>
                    <w:tl2br w:val="nil"/>
                    <w:tr2bl w:val="nil"/>
                  </w:tcBorders>
                  <w:noWrap w:val="0"/>
                  <w:vAlign w:val="center"/>
                </w:tcPr>
                <w:p w14:paraId="30A4210A">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auto"/>
                    </w:rPr>
                  </w:pPr>
                  <w:r>
                    <w:rPr>
                      <w:rFonts w:hint="eastAsia"/>
                      <w:color w:val="auto"/>
                      <w:lang w:eastAsia="zh-CN"/>
                    </w:rPr>
                    <w:t>危险废物贮存库</w:t>
                  </w:r>
                  <w:r>
                    <w:rPr>
                      <w:rFonts w:hint="default"/>
                      <w:color w:val="auto"/>
                    </w:rPr>
                    <w:t>地面</w:t>
                  </w:r>
                  <w:r>
                    <w:rPr>
                      <w:rFonts w:hint="eastAsia"/>
                      <w:color w:val="auto"/>
                      <w:lang w:eastAsia="zh-CN"/>
                    </w:rPr>
                    <w:t>、</w:t>
                  </w:r>
                  <w:r>
                    <w:rPr>
                      <w:rFonts w:hint="eastAsia"/>
                      <w:color w:val="auto"/>
                      <w:lang w:val="en-US" w:eastAsia="zh-CN"/>
                    </w:rPr>
                    <w:t>导流槽</w:t>
                  </w:r>
                  <w:r>
                    <w:rPr>
                      <w:rFonts w:hint="default"/>
                      <w:color w:val="auto"/>
                    </w:rPr>
                    <w:t>及</w:t>
                  </w:r>
                  <w:r>
                    <w:rPr>
                      <w:rFonts w:hint="eastAsia"/>
                      <w:color w:val="auto"/>
                      <w:lang w:val="en-US" w:eastAsia="zh-CN"/>
                    </w:rPr>
                    <w:t>集液池、裙角</w:t>
                  </w:r>
                  <w:r>
                    <w:rPr>
                      <w:rFonts w:hint="default"/>
                      <w:color w:val="auto"/>
                    </w:rPr>
                    <w:t>按照要求进行防渗处理</w:t>
                  </w:r>
                  <w:r>
                    <w:rPr>
                      <w:rFonts w:hint="eastAsia"/>
                      <w:color w:val="auto"/>
                      <w:lang w:eastAsia="zh-CN"/>
                    </w:rPr>
                    <w:t>，</w:t>
                  </w:r>
                  <w:r>
                    <w:rPr>
                      <w:rFonts w:hint="eastAsia"/>
                      <w:color w:val="auto"/>
                      <w:lang w:val="en-US" w:eastAsia="zh-CN"/>
                    </w:rPr>
                    <w:t>防渗层为至少1m厚黏土层（渗透系数≤10</w:t>
                  </w:r>
                  <w:r>
                    <w:rPr>
                      <w:rFonts w:hint="eastAsia"/>
                      <w:color w:val="auto"/>
                      <w:vertAlign w:val="superscript"/>
                      <w:lang w:val="en-US" w:eastAsia="zh-CN"/>
                    </w:rPr>
                    <w:t>-7</w:t>
                  </w:r>
                  <w:r>
                    <w:rPr>
                      <w:rFonts w:hint="eastAsia"/>
                      <w:color w:val="auto"/>
                      <w:lang w:val="en-US" w:eastAsia="zh-CN"/>
                    </w:rPr>
                    <w:t>cm/s），或至少2mm厚高密度聚乙烯膜等人工防渗材料（渗透系数≤10</w:t>
                  </w:r>
                  <w:r>
                    <w:rPr>
                      <w:rFonts w:hint="eastAsia"/>
                      <w:color w:val="auto"/>
                      <w:vertAlign w:val="superscript"/>
                      <w:lang w:val="en-US" w:eastAsia="zh-CN"/>
                    </w:rPr>
                    <w:t>-10</w:t>
                  </w:r>
                  <w:r>
                    <w:rPr>
                      <w:rFonts w:hint="eastAsia"/>
                      <w:color w:val="auto"/>
                      <w:lang w:val="en-US" w:eastAsia="zh-CN"/>
                    </w:rPr>
                    <w:t>cm/s），或其他防渗性能等效的材料</w:t>
                  </w:r>
                  <w:r>
                    <w:rPr>
                      <w:rFonts w:hint="default"/>
                      <w:color w:val="auto"/>
                      <w:lang w:val="en-US" w:eastAsia="zh-CN"/>
                    </w:rPr>
                    <w:t>，</w:t>
                  </w:r>
                  <w:r>
                    <w:rPr>
                      <w:rFonts w:hint="eastAsia"/>
                      <w:color w:val="auto"/>
                      <w:lang w:val="en-US" w:eastAsia="zh-CN"/>
                    </w:rPr>
                    <w:t>并</w:t>
                  </w:r>
                  <w:r>
                    <w:rPr>
                      <w:rFonts w:hint="default"/>
                      <w:color w:val="auto"/>
                    </w:rPr>
                    <w:t>涂刷环氧树脂地坪漆</w:t>
                  </w:r>
                </w:p>
              </w:tc>
              <w:tc>
                <w:tcPr>
                  <w:tcW w:w="1050" w:type="pct"/>
                  <w:vMerge w:val="continue"/>
                  <w:tcBorders>
                    <w:tl2br w:val="nil"/>
                    <w:tr2bl w:val="nil"/>
                  </w:tcBorders>
                  <w:noWrap w:val="0"/>
                  <w:vAlign w:val="center"/>
                </w:tcPr>
                <w:p w14:paraId="315795D3">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auto"/>
                    </w:rPr>
                  </w:pPr>
                </w:p>
              </w:tc>
            </w:tr>
            <w:tr w14:paraId="2C078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33" w:type="pct"/>
                  <w:gridSpan w:val="2"/>
                  <w:tcBorders>
                    <w:tl2br w:val="nil"/>
                    <w:tr2bl w:val="nil"/>
                  </w:tcBorders>
                  <w:noWrap w:val="0"/>
                  <w:vAlign w:val="center"/>
                </w:tcPr>
                <w:p w14:paraId="6287AC13">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auto"/>
                    </w:rPr>
                  </w:pPr>
                  <w:r>
                    <w:rPr>
                      <w:rFonts w:hint="default"/>
                      <w:color w:val="auto"/>
                    </w:rPr>
                    <w:t>风险防范措施</w:t>
                  </w:r>
                </w:p>
              </w:tc>
              <w:tc>
                <w:tcPr>
                  <w:tcW w:w="2715" w:type="pct"/>
                  <w:tcBorders>
                    <w:tl2br w:val="nil"/>
                    <w:tr2bl w:val="nil"/>
                  </w:tcBorders>
                  <w:noWrap w:val="0"/>
                  <w:vAlign w:val="center"/>
                </w:tcPr>
                <w:p w14:paraId="6C27D044">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auto"/>
                      <w:lang w:val="en-US" w:eastAsia="zh-CN"/>
                    </w:rPr>
                  </w:pPr>
                  <w:r>
                    <w:rPr>
                      <w:rFonts w:hint="eastAsia"/>
                      <w:color w:val="auto"/>
                      <w:lang w:val="en-US" w:eastAsia="zh-CN"/>
                    </w:rPr>
                    <w:t>危险废物贮存库四周设置导流槽，导流槽规格为宽200mm，深度200mm</w:t>
                  </w:r>
                  <w:r>
                    <w:rPr>
                      <w:rFonts w:hint="eastAsia"/>
                      <w:color w:val="auto"/>
                      <w:lang w:eastAsia="zh-CN"/>
                    </w:rPr>
                    <w:t>；</w:t>
                  </w:r>
                  <w:r>
                    <w:rPr>
                      <w:rFonts w:hint="eastAsia"/>
                      <w:color w:val="auto"/>
                      <w:lang w:val="en-US" w:eastAsia="zh-CN"/>
                    </w:rPr>
                    <w:t>导流槽</w:t>
                  </w:r>
                  <w:r>
                    <w:rPr>
                      <w:color w:val="auto"/>
                    </w:rPr>
                    <w:t>与</w:t>
                  </w:r>
                  <w:r>
                    <w:rPr>
                      <w:rFonts w:hint="eastAsia"/>
                      <w:color w:val="auto"/>
                      <w:lang w:val="en-US" w:eastAsia="zh-CN"/>
                    </w:rPr>
                    <w:t>集液</w:t>
                  </w:r>
                  <w:r>
                    <w:rPr>
                      <w:color w:val="auto"/>
                    </w:rPr>
                    <w:t>池相连</w:t>
                  </w:r>
                  <w:r>
                    <w:rPr>
                      <w:rFonts w:hint="eastAsia"/>
                      <w:color w:val="auto"/>
                      <w:lang w:eastAsia="zh-CN"/>
                    </w:rPr>
                    <w:t>，</w:t>
                  </w:r>
                  <w:r>
                    <w:rPr>
                      <w:rFonts w:hint="eastAsia"/>
                      <w:color w:val="auto"/>
                      <w:lang w:val="en-US" w:eastAsia="zh-CN"/>
                    </w:rPr>
                    <w:t>集液池位于危险废物贮存库西南角，集液池规格为长1m×宽1m×深1m，容积为1m³</w:t>
                  </w:r>
                  <w:r>
                    <w:rPr>
                      <w:color w:val="auto"/>
                    </w:rPr>
                    <w:t>，主要用于将泄漏的</w:t>
                  </w:r>
                  <w:r>
                    <w:rPr>
                      <w:rFonts w:hint="eastAsia"/>
                      <w:color w:val="auto"/>
                      <w:lang w:val="en-US" w:eastAsia="zh-CN"/>
                    </w:rPr>
                    <w:t>废</w:t>
                  </w:r>
                  <w:r>
                    <w:rPr>
                      <w:color w:val="auto"/>
                    </w:rPr>
                    <w:t>物收集至</w:t>
                  </w:r>
                  <w:r>
                    <w:rPr>
                      <w:rFonts w:hint="eastAsia"/>
                      <w:color w:val="auto"/>
                      <w:lang w:val="en-US" w:eastAsia="zh-CN"/>
                    </w:rPr>
                    <w:t>集液池</w:t>
                  </w:r>
                  <w:r>
                    <w:rPr>
                      <w:rFonts w:hint="eastAsia"/>
                      <w:color w:val="auto"/>
                      <w:lang w:eastAsia="zh-CN"/>
                    </w:rPr>
                    <w:t>。</w:t>
                  </w:r>
                </w:p>
              </w:tc>
              <w:tc>
                <w:tcPr>
                  <w:tcW w:w="1050" w:type="pct"/>
                  <w:vMerge w:val="continue"/>
                  <w:tcBorders>
                    <w:tl2br w:val="nil"/>
                    <w:tr2bl w:val="nil"/>
                  </w:tcBorders>
                  <w:noWrap w:val="0"/>
                  <w:vAlign w:val="center"/>
                </w:tcPr>
                <w:p w14:paraId="5ECF7E55">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auto"/>
                      <w:lang w:val="en-US" w:eastAsia="zh-CN"/>
                    </w:rPr>
                  </w:pPr>
                </w:p>
              </w:tc>
            </w:tr>
            <w:tr w14:paraId="46F53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33" w:type="pct"/>
                  <w:gridSpan w:val="2"/>
                  <w:tcBorders>
                    <w:tl2br w:val="nil"/>
                    <w:tr2bl w:val="nil"/>
                  </w:tcBorders>
                  <w:noWrap w:val="0"/>
                  <w:vAlign w:val="center"/>
                </w:tcPr>
                <w:p w14:paraId="58323802">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auto"/>
                    </w:rPr>
                  </w:pPr>
                  <w:r>
                    <w:rPr>
                      <w:rFonts w:hint="default"/>
                      <w:color w:val="auto"/>
                    </w:rPr>
                    <w:t>其他</w:t>
                  </w:r>
                </w:p>
              </w:tc>
              <w:tc>
                <w:tcPr>
                  <w:tcW w:w="2715" w:type="pct"/>
                  <w:tcBorders>
                    <w:tl2br w:val="nil"/>
                    <w:tr2bl w:val="nil"/>
                  </w:tcBorders>
                  <w:noWrap w:val="0"/>
                  <w:vAlign w:val="center"/>
                </w:tcPr>
                <w:p w14:paraId="1151A3AC">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auto"/>
                    </w:rPr>
                  </w:pPr>
                  <w:r>
                    <w:rPr>
                      <w:rFonts w:hint="default"/>
                      <w:color w:val="auto"/>
                    </w:rPr>
                    <w:t>库房悬挂张贴危废警示标识10块（PVC材质，40cm*40cm），管理制度2块（PVC材质，60cm*90cm），危废标签贴30张（国标）。</w:t>
                  </w:r>
                </w:p>
              </w:tc>
              <w:tc>
                <w:tcPr>
                  <w:tcW w:w="1050" w:type="pct"/>
                  <w:vMerge w:val="continue"/>
                  <w:tcBorders>
                    <w:tl2br w:val="nil"/>
                    <w:tr2bl w:val="nil"/>
                  </w:tcBorders>
                  <w:noWrap w:val="0"/>
                  <w:vAlign w:val="center"/>
                </w:tcPr>
                <w:p w14:paraId="06234D00">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color w:val="auto"/>
                    </w:rPr>
                  </w:pPr>
                </w:p>
              </w:tc>
            </w:tr>
          </w:tbl>
          <w:p w14:paraId="48FA93D8">
            <w:pPr>
              <w:ind w:firstLine="480"/>
              <w:rPr>
                <w:color w:val="auto"/>
                <w:highlight w:val="none"/>
              </w:rPr>
            </w:pPr>
          </w:p>
        </w:tc>
      </w:tr>
    </w:tbl>
    <w:p w14:paraId="35F2CB07">
      <w:pPr>
        <w:adjustRightInd w:val="0"/>
        <w:snapToGrid w:val="0"/>
        <w:ind w:firstLine="562"/>
        <w:rPr>
          <w:b/>
          <w:color w:val="000000" w:themeColor="text1"/>
          <w:kern w:val="0"/>
          <w:sz w:val="28"/>
          <w:szCs w:val="28"/>
          <w:highlight w:val="none"/>
          <w14:textFill>
            <w14:solidFill>
              <w14:schemeClr w14:val="tx1"/>
            </w14:solidFill>
          </w14:textFill>
        </w:rPr>
        <w:sectPr>
          <w:pgSz w:w="11907" w:h="16840"/>
          <w:pgMar w:top="1701" w:right="1531" w:bottom="2127" w:left="1531" w:header="851" w:footer="851" w:gutter="0"/>
          <w:pgNumType w:fmt="numberInDash"/>
          <w:cols w:space="720" w:num="1"/>
          <w:docGrid w:linePitch="312" w:charSpace="0"/>
        </w:sectPr>
      </w:pPr>
    </w:p>
    <w:p w14:paraId="4E9384ED">
      <w:pPr>
        <w:pStyle w:val="12"/>
        <w:ind w:firstLine="600"/>
        <w:jc w:val="center"/>
        <w:outlineLvl w:val="0"/>
        <w:rPr>
          <w:rFonts w:ascii="Times New Roman" w:hAnsi="Times New Roman" w:eastAsia="黑体"/>
          <w:snapToGrid w:val="0"/>
          <w:color w:val="000000" w:themeColor="text1"/>
          <w:sz w:val="30"/>
          <w:szCs w:val="30"/>
          <w:highlight w:val="none"/>
          <w14:textFill>
            <w14:solidFill>
              <w14:schemeClr w14:val="tx1"/>
            </w14:solidFill>
          </w14:textFill>
        </w:rPr>
      </w:pPr>
      <w:r>
        <w:rPr>
          <w:rFonts w:ascii="Times New Roman" w:hAnsi="Times New Roman" w:eastAsia="黑体"/>
          <w:snapToGrid w:val="0"/>
          <w:color w:val="000000" w:themeColor="text1"/>
          <w:sz w:val="30"/>
          <w:szCs w:val="30"/>
          <w:highlight w:val="none"/>
          <w14:textFill>
            <w14:solidFill>
              <w14:schemeClr w14:val="tx1"/>
            </w14:solidFill>
          </w14:textFill>
        </w:rPr>
        <w:t>五、</w:t>
      </w:r>
      <w:bookmarkStart w:id="8" w:name="_Hlk54167917"/>
      <w:r>
        <w:rPr>
          <w:rFonts w:ascii="Times New Roman" w:hAnsi="Times New Roman" w:eastAsia="黑体"/>
          <w:snapToGrid w:val="0"/>
          <w:color w:val="000000" w:themeColor="text1"/>
          <w:sz w:val="30"/>
          <w:szCs w:val="30"/>
          <w:highlight w:val="none"/>
          <w14:textFill>
            <w14:solidFill>
              <w14:schemeClr w14:val="tx1"/>
            </w14:solidFill>
          </w14:textFill>
        </w:rPr>
        <w:t>环境保护措施监督检查清单</w:t>
      </w:r>
      <w:bookmarkEnd w:id="8"/>
    </w:p>
    <w:tbl>
      <w:tblPr>
        <w:tblStyle w:val="1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999"/>
        <w:gridCol w:w="1534"/>
        <w:gridCol w:w="1453"/>
        <w:gridCol w:w="1875"/>
        <w:gridCol w:w="1939"/>
      </w:tblGrid>
      <w:tr w14:paraId="370F50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999" w:type="dxa"/>
            <w:tcBorders>
              <w:tl2br w:val="single" w:color="auto" w:sz="4" w:space="0"/>
            </w:tcBorders>
            <w:noWrap w:val="0"/>
            <w:vAlign w:val="top"/>
          </w:tcPr>
          <w:p w14:paraId="3598ED03">
            <w:pPr>
              <w:adjustRightInd w:val="0"/>
              <w:snapToGrid w:val="0"/>
              <w:spacing w:line="240" w:lineRule="auto"/>
              <w:ind w:firstLine="960" w:firstLineChars="4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内容</w:t>
            </w:r>
          </w:p>
          <w:p w14:paraId="189350D9">
            <w:pPr>
              <w:adjustRightInd w:val="0"/>
              <w:snapToGrid w:val="0"/>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要素</w:t>
            </w:r>
          </w:p>
        </w:tc>
        <w:tc>
          <w:tcPr>
            <w:tcW w:w="1534" w:type="dxa"/>
            <w:noWrap w:val="0"/>
            <w:vAlign w:val="center"/>
          </w:tcPr>
          <w:p w14:paraId="6CB87E9D">
            <w:pPr>
              <w:adjustRightInd w:val="0"/>
              <w:snapToGrid w:val="0"/>
              <w:spacing w:line="240" w:lineRule="auto"/>
              <w:ind w:firstLine="0" w:firstLineChars="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排放口（编号、名称）/污染源</w:t>
            </w:r>
          </w:p>
        </w:tc>
        <w:tc>
          <w:tcPr>
            <w:tcW w:w="1453" w:type="dxa"/>
            <w:noWrap w:val="0"/>
            <w:vAlign w:val="center"/>
          </w:tcPr>
          <w:p w14:paraId="52B45606">
            <w:pPr>
              <w:adjustRightInd w:val="0"/>
              <w:snapToGrid w:val="0"/>
              <w:spacing w:line="240" w:lineRule="auto"/>
              <w:ind w:firstLine="0" w:firstLineChars="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污染物项目</w:t>
            </w:r>
          </w:p>
        </w:tc>
        <w:tc>
          <w:tcPr>
            <w:tcW w:w="1875" w:type="dxa"/>
            <w:noWrap w:val="0"/>
            <w:vAlign w:val="center"/>
          </w:tcPr>
          <w:p w14:paraId="4D7D6401">
            <w:pPr>
              <w:adjustRightInd w:val="0"/>
              <w:snapToGrid w:val="0"/>
              <w:spacing w:line="240" w:lineRule="auto"/>
              <w:ind w:firstLine="0" w:firstLineChars="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环境保护措施</w:t>
            </w:r>
          </w:p>
        </w:tc>
        <w:tc>
          <w:tcPr>
            <w:tcW w:w="1939" w:type="dxa"/>
            <w:noWrap w:val="0"/>
            <w:vAlign w:val="center"/>
          </w:tcPr>
          <w:p w14:paraId="1F17BEA8">
            <w:pPr>
              <w:adjustRightInd w:val="0"/>
              <w:snapToGrid w:val="0"/>
              <w:spacing w:line="240" w:lineRule="auto"/>
              <w:ind w:firstLine="0" w:firstLineChars="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执行标准</w:t>
            </w:r>
          </w:p>
        </w:tc>
      </w:tr>
      <w:tr w14:paraId="1BA7AE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999" w:type="dxa"/>
            <w:noWrap w:val="0"/>
            <w:vAlign w:val="center"/>
          </w:tcPr>
          <w:p w14:paraId="167635E8">
            <w:pPr>
              <w:adjustRightInd w:val="0"/>
              <w:snapToGrid w:val="0"/>
              <w:spacing w:line="240" w:lineRule="auto"/>
              <w:ind w:firstLine="0" w:firstLineChars="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大气环境</w:t>
            </w:r>
          </w:p>
        </w:tc>
        <w:tc>
          <w:tcPr>
            <w:tcW w:w="1534" w:type="dxa"/>
            <w:noWrap w:val="0"/>
            <w:vAlign w:val="center"/>
          </w:tcPr>
          <w:p w14:paraId="0708EF1D">
            <w:pPr>
              <w:adjustRightInd w:val="0"/>
              <w:snapToGrid w:val="0"/>
              <w:spacing w:line="240" w:lineRule="auto"/>
              <w:ind w:firstLine="0" w:firstLineChars="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危险废物贮存库</w:t>
            </w:r>
          </w:p>
        </w:tc>
        <w:tc>
          <w:tcPr>
            <w:tcW w:w="1453" w:type="dxa"/>
            <w:noWrap w:val="0"/>
            <w:vAlign w:val="center"/>
          </w:tcPr>
          <w:p w14:paraId="1E80FC5B">
            <w:pPr>
              <w:adjustRightInd w:val="0"/>
              <w:snapToGrid w:val="0"/>
              <w:spacing w:line="240" w:lineRule="auto"/>
              <w:ind w:firstLine="0" w:firstLineChars="0"/>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非甲烷总烃</w:t>
            </w:r>
          </w:p>
        </w:tc>
        <w:tc>
          <w:tcPr>
            <w:tcW w:w="1875" w:type="dxa"/>
            <w:noWrap w:val="0"/>
            <w:vAlign w:val="center"/>
          </w:tcPr>
          <w:p w14:paraId="29C0D949">
            <w:pPr>
              <w:adjustRightInd w:val="0"/>
              <w:snapToGrid w:val="0"/>
              <w:spacing w:line="240" w:lineRule="auto"/>
              <w:ind w:firstLine="0" w:firstLineChars="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建设</w:t>
            </w:r>
            <w:r>
              <w:rPr>
                <w:rFonts w:hint="eastAsia"/>
                <w:color w:val="000000" w:themeColor="text1"/>
                <w:highlight w:val="none"/>
                <w:lang w:eastAsia="zh-CN"/>
                <w14:textFill>
                  <w14:solidFill>
                    <w14:schemeClr w14:val="tx1"/>
                  </w14:solidFill>
                </w14:textFill>
              </w:rPr>
              <w:t>全封闭</w:t>
            </w:r>
            <w:r>
              <w:rPr>
                <w:rFonts w:hint="eastAsia"/>
                <w:color w:val="000000" w:themeColor="text1"/>
                <w:highlight w:val="none"/>
                <w14:textFill>
                  <w14:solidFill>
                    <w14:schemeClr w14:val="tx1"/>
                  </w14:solidFill>
                </w14:textFill>
              </w:rPr>
              <w:t>危险废物</w:t>
            </w:r>
            <w:r>
              <w:rPr>
                <w:rFonts w:hint="eastAsia"/>
                <w:color w:val="000000" w:themeColor="text1"/>
                <w:highlight w:val="none"/>
                <w:lang w:eastAsia="zh-CN"/>
                <w14:textFill>
                  <w14:solidFill>
                    <w14:schemeClr w14:val="tx1"/>
                  </w14:solidFill>
                </w14:textFill>
              </w:rPr>
              <w:t>贮存库</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废润滑油、废机油、沾染油污的废抹布、废手套使用密封桶存储，废油桶加盖密封，</w:t>
            </w:r>
            <w:r>
              <w:rPr>
                <w:color w:val="000000" w:themeColor="text1"/>
                <w:highlight w:val="none"/>
                <w14:textFill>
                  <w14:solidFill>
                    <w14:schemeClr w14:val="tx1"/>
                  </w14:solidFill>
                </w14:textFill>
              </w:rPr>
              <w:t>及时清运</w:t>
            </w:r>
            <w:r>
              <w:rPr>
                <w:rFonts w:hint="eastAsia"/>
                <w:color w:val="000000" w:themeColor="text1"/>
                <w:highlight w:val="none"/>
                <w:lang w:eastAsia="zh-CN"/>
                <w14:textFill>
                  <w14:solidFill>
                    <w14:schemeClr w14:val="tx1"/>
                  </w14:solidFill>
                </w14:textFill>
              </w:rPr>
              <w:t>。</w:t>
            </w:r>
          </w:p>
        </w:tc>
        <w:tc>
          <w:tcPr>
            <w:tcW w:w="1939" w:type="dxa"/>
            <w:noWrap w:val="0"/>
            <w:vAlign w:val="center"/>
          </w:tcPr>
          <w:p w14:paraId="64108D8F">
            <w:pPr>
              <w:adjustRightInd w:val="0"/>
              <w:snapToGrid w:val="0"/>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《大气污染物综合排放标准》(GB16297-1996)表2中无组织排放监控浓度限值</w:t>
            </w:r>
          </w:p>
        </w:tc>
      </w:tr>
      <w:tr w14:paraId="1B6A18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999" w:type="dxa"/>
            <w:noWrap w:val="0"/>
            <w:vAlign w:val="center"/>
          </w:tcPr>
          <w:p w14:paraId="0A1C6A20">
            <w:pPr>
              <w:adjustRightInd w:val="0"/>
              <w:snapToGrid w:val="0"/>
              <w:spacing w:line="240" w:lineRule="auto"/>
              <w:ind w:firstLine="0" w:firstLineChars="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地表水环境</w:t>
            </w:r>
          </w:p>
        </w:tc>
        <w:tc>
          <w:tcPr>
            <w:tcW w:w="1534" w:type="dxa"/>
            <w:noWrap w:val="0"/>
            <w:vAlign w:val="center"/>
          </w:tcPr>
          <w:p w14:paraId="2667E027">
            <w:pPr>
              <w:adjustRightInd w:val="0"/>
              <w:snapToGrid w:val="0"/>
              <w:spacing w:line="240" w:lineRule="auto"/>
              <w:ind w:firstLine="0" w:firstLineChars="0"/>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c>
          <w:tcPr>
            <w:tcW w:w="1453" w:type="dxa"/>
            <w:noWrap w:val="0"/>
            <w:vAlign w:val="center"/>
          </w:tcPr>
          <w:p w14:paraId="2DFF9EA5">
            <w:pPr>
              <w:adjustRightInd w:val="0"/>
              <w:snapToGrid w:val="0"/>
              <w:spacing w:line="240" w:lineRule="auto"/>
              <w:ind w:firstLine="0" w:firstLineChars="0"/>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c>
          <w:tcPr>
            <w:tcW w:w="1875" w:type="dxa"/>
            <w:noWrap w:val="0"/>
            <w:vAlign w:val="center"/>
          </w:tcPr>
          <w:p w14:paraId="5109E2C9">
            <w:pPr>
              <w:adjustRightInd w:val="0"/>
              <w:snapToGrid w:val="0"/>
              <w:spacing w:line="240" w:lineRule="auto"/>
              <w:ind w:firstLine="0" w:firstLineChars="0"/>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c>
          <w:tcPr>
            <w:tcW w:w="1939" w:type="dxa"/>
            <w:noWrap w:val="0"/>
            <w:vAlign w:val="center"/>
          </w:tcPr>
          <w:p w14:paraId="704E3AEA">
            <w:pPr>
              <w:adjustRightInd w:val="0"/>
              <w:snapToGrid w:val="0"/>
              <w:spacing w:line="240" w:lineRule="auto"/>
              <w:ind w:firstLine="0" w:firstLineChars="0"/>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r>
      <w:tr w14:paraId="5A9F88C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999" w:type="dxa"/>
            <w:noWrap w:val="0"/>
            <w:vAlign w:val="center"/>
          </w:tcPr>
          <w:p w14:paraId="4CEEDE48">
            <w:pPr>
              <w:adjustRightInd w:val="0"/>
              <w:snapToGrid w:val="0"/>
              <w:spacing w:line="240" w:lineRule="auto"/>
              <w:ind w:firstLine="0" w:firstLineChars="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声环境</w:t>
            </w:r>
          </w:p>
        </w:tc>
        <w:tc>
          <w:tcPr>
            <w:tcW w:w="1534" w:type="dxa"/>
            <w:noWrap w:val="0"/>
            <w:vAlign w:val="center"/>
          </w:tcPr>
          <w:p w14:paraId="4F21C7E3">
            <w:pPr>
              <w:adjustRightInd w:val="0"/>
              <w:snapToGrid w:val="0"/>
              <w:spacing w:line="240" w:lineRule="auto"/>
              <w:ind w:firstLine="0" w:firstLineChars="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车辆运输、轴流风机</w:t>
            </w:r>
          </w:p>
        </w:tc>
        <w:tc>
          <w:tcPr>
            <w:tcW w:w="1453" w:type="dxa"/>
            <w:noWrap w:val="0"/>
            <w:vAlign w:val="center"/>
          </w:tcPr>
          <w:p w14:paraId="41BA26E2">
            <w:pPr>
              <w:adjustRightInd w:val="0"/>
              <w:snapToGrid w:val="0"/>
              <w:spacing w:line="240" w:lineRule="auto"/>
              <w:ind w:firstLine="0" w:firstLineChars="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噪声</w:t>
            </w:r>
          </w:p>
        </w:tc>
        <w:tc>
          <w:tcPr>
            <w:tcW w:w="1875" w:type="dxa"/>
            <w:noWrap w:val="0"/>
            <w:vAlign w:val="center"/>
          </w:tcPr>
          <w:p w14:paraId="399E3413">
            <w:pPr>
              <w:adjustRightInd w:val="0"/>
              <w:snapToGrid w:val="0"/>
              <w:spacing w:line="240" w:lineRule="auto"/>
              <w:ind w:firstLine="0" w:firstLineChars="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选用低噪声设备、运输车辆减速慢行、禁止鸣笛。</w:t>
            </w:r>
          </w:p>
        </w:tc>
        <w:tc>
          <w:tcPr>
            <w:tcW w:w="1939" w:type="dxa"/>
            <w:noWrap w:val="0"/>
            <w:vAlign w:val="center"/>
          </w:tcPr>
          <w:p w14:paraId="4E13A92A">
            <w:pPr>
              <w:adjustRightInd w:val="0"/>
              <w:snapToGrid w:val="0"/>
              <w:spacing w:line="240" w:lineRule="auto"/>
              <w:ind w:firstLine="0" w:firstLineChars="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《工业企业厂界环境噪声排放标准》(GB12348-2008)中</w:t>
            </w:r>
            <w:r>
              <w:rPr>
                <w:rFonts w:hint="eastAsia"/>
                <w:color w:val="000000" w:themeColor="text1"/>
                <w:highlight w:val="none"/>
                <w:lang w:val="en-US" w:eastAsia="zh-CN"/>
                <w14:textFill>
                  <w14:solidFill>
                    <w14:schemeClr w14:val="tx1"/>
                  </w14:solidFill>
                </w14:textFill>
              </w:rPr>
              <w:t>2类</w:t>
            </w:r>
            <w:r>
              <w:rPr>
                <w:color w:val="000000" w:themeColor="text1"/>
                <w:highlight w:val="none"/>
                <w14:textFill>
                  <w14:solidFill>
                    <w14:schemeClr w14:val="tx1"/>
                  </w14:solidFill>
                </w14:textFill>
              </w:rPr>
              <w:t>标准</w:t>
            </w:r>
          </w:p>
        </w:tc>
      </w:tr>
      <w:tr w14:paraId="3FE90F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999" w:type="dxa"/>
            <w:noWrap w:val="0"/>
            <w:vAlign w:val="center"/>
          </w:tcPr>
          <w:p w14:paraId="295EA6EB">
            <w:pPr>
              <w:adjustRightInd w:val="0"/>
              <w:snapToGrid w:val="0"/>
              <w:spacing w:line="240" w:lineRule="auto"/>
              <w:ind w:firstLine="0" w:firstLineChars="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电磁辐射</w:t>
            </w:r>
          </w:p>
        </w:tc>
        <w:tc>
          <w:tcPr>
            <w:tcW w:w="1534" w:type="dxa"/>
            <w:noWrap w:val="0"/>
            <w:vAlign w:val="center"/>
          </w:tcPr>
          <w:p w14:paraId="092B1A7C">
            <w:pPr>
              <w:adjustRightInd w:val="0"/>
              <w:snapToGrid w:val="0"/>
              <w:spacing w:line="240" w:lineRule="auto"/>
              <w:ind w:firstLine="0" w:firstLineChars="0"/>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c>
          <w:tcPr>
            <w:tcW w:w="1453" w:type="dxa"/>
            <w:noWrap w:val="0"/>
            <w:vAlign w:val="center"/>
          </w:tcPr>
          <w:p w14:paraId="21B59287">
            <w:pPr>
              <w:adjustRightInd w:val="0"/>
              <w:snapToGrid w:val="0"/>
              <w:spacing w:line="240" w:lineRule="auto"/>
              <w:ind w:firstLine="0" w:firstLineChars="0"/>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c>
          <w:tcPr>
            <w:tcW w:w="1875" w:type="dxa"/>
            <w:noWrap w:val="0"/>
            <w:vAlign w:val="center"/>
          </w:tcPr>
          <w:p w14:paraId="03D32AC9">
            <w:pPr>
              <w:adjustRightInd w:val="0"/>
              <w:snapToGrid w:val="0"/>
              <w:spacing w:line="240" w:lineRule="auto"/>
              <w:ind w:firstLine="0" w:firstLineChars="0"/>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c>
          <w:tcPr>
            <w:tcW w:w="1939" w:type="dxa"/>
            <w:noWrap w:val="0"/>
            <w:vAlign w:val="center"/>
          </w:tcPr>
          <w:p w14:paraId="1B0E34FD">
            <w:pPr>
              <w:adjustRightInd w:val="0"/>
              <w:snapToGrid w:val="0"/>
              <w:spacing w:line="240" w:lineRule="auto"/>
              <w:ind w:firstLine="0" w:firstLineChars="0"/>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tc>
      </w:tr>
      <w:tr w14:paraId="73051A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1999" w:type="dxa"/>
            <w:noWrap w:val="0"/>
            <w:vAlign w:val="center"/>
          </w:tcPr>
          <w:p w14:paraId="517CCA93">
            <w:pPr>
              <w:adjustRightInd w:val="0"/>
              <w:snapToGrid w:val="0"/>
              <w:spacing w:line="240" w:lineRule="auto"/>
              <w:ind w:firstLine="0" w:firstLineChars="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固体废物</w:t>
            </w:r>
          </w:p>
        </w:tc>
        <w:tc>
          <w:tcPr>
            <w:tcW w:w="6801" w:type="dxa"/>
            <w:gridSpan w:val="4"/>
            <w:noWrap w:val="0"/>
            <w:vAlign w:val="center"/>
          </w:tcPr>
          <w:p w14:paraId="0C477AFD">
            <w:pPr>
              <w:adjustRightInd w:val="0"/>
              <w:snapToGrid w:val="0"/>
              <w:spacing w:line="240" w:lineRule="auto"/>
              <w:ind w:firstLine="0" w:firstLineChars="0"/>
              <w:jc w:val="both"/>
              <w:rPr>
                <w:color w:val="000000" w:themeColor="text1"/>
                <w:highlight w:val="none"/>
                <w14:textFill>
                  <w14:solidFill>
                    <w14:schemeClr w14:val="tx1"/>
                  </w14:solidFill>
                </w14:textFill>
              </w:rPr>
            </w:pPr>
            <w:r>
              <w:rPr>
                <w:rFonts w:hint="eastAsia" w:ascii="Times New Roman" w:hAnsi="Times New Roman" w:eastAsia="宋体" w:cs="Times New Roman"/>
                <w:color w:val="000000" w:themeColor="text1"/>
                <w:highlight w:val="none"/>
                <w14:textFill>
                  <w14:solidFill>
                    <w14:schemeClr w14:val="tx1"/>
                  </w14:solidFill>
                </w14:textFill>
              </w:rPr>
              <w:t>项目无新增劳动定员，不新增生活垃圾</w:t>
            </w:r>
            <w:r>
              <w:rPr>
                <w:rFonts w:hint="eastAsia" w:ascii="Times New Roman" w:hAnsi="Times New Roman" w:eastAsia="宋体" w:cs="Times New Roman"/>
                <w:color w:val="000000" w:themeColor="text1"/>
                <w:highlight w:val="none"/>
                <w:lang w:eastAsia="zh-CN"/>
                <w14:textFill>
                  <w14:solidFill>
                    <w14:schemeClr w14:val="tx1"/>
                  </w14:solidFill>
                </w14:textFill>
              </w:rPr>
              <w:t>，</w:t>
            </w:r>
            <w:r>
              <w:rPr>
                <w:rFonts w:hint="eastAsia" w:ascii="Times New Roman" w:hAnsi="Times New Roman" w:eastAsia="宋体" w:cs="Times New Roman"/>
                <w:color w:val="000000" w:themeColor="text1"/>
                <w:highlight w:val="none"/>
                <w:lang w:val="en-US" w:eastAsia="zh-CN"/>
                <w14:textFill>
                  <w14:solidFill>
                    <w14:schemeClr w14:val="tx1"/>
                  </w14:solidFill>
                </w14:textFill>
              </w:rPr>
              <w:t>本项目运营过程中会产生少量含油废抹布、废手套，采取桶装密封的方式贮存在危废暂存间西南角，</w:t>
            </w:r>
            <w:r>
              <w:rPr>
                <w:rFonts w:hint="eastAsia" w:ascii="Times New Roman" w:hAnsi="Times New Roman" w:eastAsia="宋体" w:cs="Times New Roman"/>
                <w:color w:val="000000" w:themeColor="text1"/>
                <w:highlight w:val="none"/>
                <w14:textFill>
                  <w14:solidFill>
                    <w14:schemeClr w14:val="tx1"/>
                  </w14:solidFill>
                </w14:textFill>
              </w:rPr>
              <w:t>定期交由有资质单位</w:t>
            </w:r>
            <w:r>
              <w:rPr>
                <w:rFonts w:hint="eastAsia" w:ascii="Times New Roman" w:hAnsi="Times New Roman" w:eastAsia="宋体" w:cs="Times New Roman"/>
                <w:color w:val="000000" w:themeColor="text1"/>
                <w:highlight w:val="none"/>
                <w:lang w:val="en-US" w:eastAsia="zh-CN"/>
                <w14:textFill>
                  <w14:solidFill>
                    <w14:schemeClr w14:val="tx1"/>
                  </w14:solidFill>
                </w14:textFill>
              </w:rPr>
              <w:t>进行处置</w:t>
            </w:r>
            <w:r>
              <w:rPr>
                <w:rFonts w:hint="eastAsia" w:ascii="Times New Roman" w:hAnsi="Times New Roman" w:eastAsia="宋体" w:cs="Times New Roman"/>
                <w:color w:val="000000" w:themeColor="text1"/>
                <w:highlight w:val="none"/>
                <w:lang w:eastAsia="zh-CN"/>
                <w14:textFill>
                  <w14:solidFill>
                    <w14:schemeClr w14:val="tx1"/>
                  </w14:solidFill>
                </w14:textFill>
              </w:rPr>
              <w:t>。</w:t>
            </w:r>
          </w:p>
        </w:tc>
      </w:tr>
      <w:tr w14:paraId="7B1455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1999" w:type="dxa"/>
            <w:noWrap w:val="0"/>
            <w:vAlign w:val="center"/>
          </w:tcPr>
          <w:p w14:paraId="0CF7AFE1">
            <w:pPr>
              <w:adjustRightInd w:val="0"/>
              <w:snapToGrid w:val="0"/>
              <w:spacing w:line="240" w:lineRule="auto"/>
              <w:ind w:firstLine="0" w:firstLineChars="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土壤及地下水污染防治措施</w:t>
            </w:r>
          </w:p>
        </w:tc>
        <w:tc>
          <w:tcPr>
            <w:tcW w:w="6801" w:type="dxa"/>
            <w:gridSpan w:val="4"/>
            <w:noWrap w:val="0"/>
            <w:vAlign w:val="center"/>
          </w:tcPr>
          <w:p w14:paraId="5122A528">
            <w:pPr>
              <w:adjustRightInd w:val="0"/>
              <w:snapToGrid w:val="0"/>
              <w:spacing w:line="240" w:lineRule="auto"/>
              <w:ind w:firstLine="0" w:firstLineChars="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w:t>
            </w:r>
            <w:r>
              <w:rPr>
                <w:color w:val="000000" w:themeColor="text1"/>
                <w:highlight w:val="none"/>
                <w14:textFill>
                  <w14:solidFill>
                    <w14:schemeClr w14:val="tx1"/>
                  </w14:solidFill>
                </w14:textFill>
              </w:rPr>
              <w:t>地面、</w:t>
            </w:r>
            <w:r>
              <w:rPr>
                <w:rFonts w:hint="eastAsia"/>
                <w:color w:val="000000" w:themeColor="text1"/>
                <w:highlight w:val="none"/>
                <w14:textFill>
                  <w14:solidFill>
                    <w14:schemeClr w14:val="tx1"/>
                  </w14:solidFill>
                </w14:textFill>
              </w:rPr>
              <w:t>导流渠</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集液池</w:t>
            </w:r>
            <w:r>
              <w:rPr>
                <w:color w:val="000000" w:themeColor="text1"/>
                <w:highlight w:val="none"/>
                <w14:textFill>
                  <w14:solidFill>
                    <w14:schemeClr w14:val="tx1"/>
                  </w14:solidFill>
                </w14:textFill>
              </w:rPr>
              <w:t>及裙角采取</w:t>
            </w:r>
            <w:r>
              <w:rPr>
                <w:rFonts w:hint="eastAsia"/>
                <w:color w:val="000000" w:themeColor="text1"/>
                <w:highlight w:val="none"/>
                <w14:textFill>
                  <w14:solidFill>
                    <w14:schemeClr w14:val="tx1"/>
                  </w14:solidFill>
                </w14:textFill>
              </w:rPr>
              <w:t>相同</w:t>
            </w:r>
            <w:r>
              <w:rPr>
                <w:color w:val="000000" w:themeColor="text1"/>
                <w:highlight w:val="none"/>
                <w14:textFill>
                  <w14:solidFill>
                    <w14:schemeClr w14:val="tx1"/>
                  </w14:solidFill>
                </w14:textFill>
              </w:rPr>
              <w:t>防渗措施，具体防渗措施为：</w:t>
            </w:r>
            <w:r>
              <w:rPr>
                <w:rFonts w:hint="eastAsia"/>
                <w:color w:val="000000" w:themeColor="text1"/>
                <w:highlight w:val="none"/>
                <w:lang w:eastAsia="zh-CN"/>
                <w14:textFill>
                  <w14:solidFill>
                    <w14:schemeClr w14:val="tx1"/>
                  </w14:solidFill>
                </w14:textFill>
              </w:rPr>
              <w:t>防渗层为至少1m厚黏土层（渗透系数≤10</w:t>
            </w:r>
            <w:r>
              <w:rPr>
                <w:rFonts w:hint="eastAsia"/>
                <w:color w:val="000000" w:themeColor="text1"/>
                <w:highlight w:val="none"/>
                <w:vertAlign w:val="superscript"/>
                <w:lang w:eastAsia="zh-CN"/>
                <w14:textFill>
                  <w14:solidFill>
                    <w14:schemeClr w14:val="tx1"/>
                  </w14:solidFill>
                </w14:textFill>
              </w:rPr>
              <w:t>-7</w:t>
            </w:r>
            <w:r>
              <w:rPr>
                <w:rFonts w:hint="eastAsia"/>
                <w:color w:val="000000" w:themeColor="text1"/>
                <w:highlight w:val="none"/>
                <w:lang w:eastAsia="zh-CN"/>
                <w14:textFill>
                  <w14:solidFill>
                    <w14:schemeClr w14:val="tx1"/>
                  </w14:solidFill>
                </w14:textFill>
              </w:rPr>
              <w:t>cm/s），或至少2mm厚高密度聚乙烯膜等人工防渗材料（渗透系数≤10</w:t>
            </w:r>
            <w:r>
              <w:rPr>
                <w:rFonts w:hint="eastAsia"/>
                <w:color w:val="000000" w:themeColor="text1"/>
                <w:highlight w:val="none"/>
                <w:vertAlign w:val="superscript"/>
                <w:lang w:eastAsia="zh-CN"/>
                <w14:textFill>
                  <w14:solidFill>
                    <w14:schemeClr w14:val="tx1"/>
                  </w14:solidFill>
                </w14:textFill>
              </w:rPr>
              <w:t>-10</w:t>
            </w:r>
            <w:r>
              <w:rPr>
                <w:rFonts w:hint="eastAsia"/>
                <w:color w:val="000000" w:themeColor="text1"/>
                <w:highlight w:val="none"/>
                <w:lang w:eastAsia="zh-CN"/>
                <w14:textFill>
                  <w14:solidFill>
                    <w14:schemeClr w14:val="tx1"/>
                  </w14:solidFill>
                </w14:textFill>
              </w:rPr>
              <w:t>cm/s），或其他防渗性能等效的材料，并涂刷环氧树脂地坪漆。</w:t>
            </w:r>
            <w:r>
              <w:rPr>
                <w:color w:val="000000" w:themeColor="text1"/>
                <w:highlight w:val="none"/>
                <w14:textFill>
                  <w14:solidFill>
                    <w14:schemeClr w14:val="tx1"/>
                  </w14:solidFill>
                </w14:textFill>
              </w:rPr>
              <w:t>从源头上防止污水进入土壤和地下水含水层之中。</w:t>
            </w:r>
          </w:p>
        </w:tc>
      </w:tr>
      <w:tr w14:paraId="4BE534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999" w:type="dxa"/>
            <w:noWrap w:val="0"/>
            <w:vAlign w:val="center"/>
          </w:tcPr>
          <w:p w14:paraId="11EC1FCA">
            <w:pPr>
              <w:adjustRightInd w:val="0"/>
              <w:snapToGrid w:val="0"/>
              <w:spacing w:line="240" w:lineRule="auto"/>
              <w:ind w:firstLine="0" w:firstLineChars="0"/>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生态保护措施</w:t>
            </w:r>
          </w:p>
        </w:tc>
        <w:tc>
          <w:tcPr>
            <w:tcW w:w="6801" w:type="dxa"/>
            <w:gridSpan w:val="4"/>
            <w:noWrap w:val="0"/>
            <w:vAlign w:val="center"/>
          </w:tcPr>
          <w:p w14:paraId="5CAD98D0">
            <w:pPr>
              <w:adjustRightInd w:val="0"/>
              <w:snapToGrid w:val="0"/>
              <w:spacing w:line="240" w:lineRule="auto"/>
              <w:ind w:firstLine="0" w:firstLineChars="0"/>
              <w:jc w:val="cente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无</w:t>
            </w:r>
          </w:p>
        </w:tc>
      </w:tr>
      <w:tr w14:paraId="394F2B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54" w:hRule="atLeast"/>
          <w:jc w:val="center"/>
        </w:trPr>
        <w:tc>
          <w:tcPr>
            <w:tcW w:w="1999" w:type="dxa"/>
            <w:noWrap w:val="0"/>
            <w:vAlign w:val="center"/>
          </w:tcPr>
          <w:p w14:paraId="49F40CF5">
            <w:pPr>
              <w:adjustRightInd w:val="0"/>
              <w:snapToGrid w:val="0"/>
              <w:spacing w:line="240" w:lineRule="auto"/>
              <w:ind w:firstLine="0" w:firstLineChars="0"/>
              <w:jc w:val="center"/>
              <w:rPr>
                <w:color w:val="000000" w:themeColor="text1"/>
                <w:spacing w:val="-8"/>
                <w:highlight w:val="none"/>
                <w14:textFill>
                  <w14:solidFill>
                    <w14:schemeClr w14:val="tx1"/>
                  </w14:solidFill>
                </w14:textFill>
              </w:rPr>
            </w:pPr>
            <w:r>
              <w:rPr>
                <w:color w:val="000000" w:themeColor="text1"/>
                <w:spacing w:val="-8"/>
                <w:highlight w:val="none"/>
                <w14:textFill>
                  <w14:solidFill>
                    <w14:schemeClr w14:val="tx1"/>
                  </w14:solidFill>
                </w14:textFill>
              </w:rPr>
              <w:t>环境风险</w:t>
            </w:r>
          </w:p>
          <w:p w14:paraId="5D78E3CE">
            <w:pPr>
              <w:adjustRightInd w:val="0"/>
              <w:snapToGrid w:val="0"/>
              <w:spacing w:line="240" w:lineRule="auto"/>
              <w:ind w:firstLine="0" w:firstLineChars="0"/>
              <w:jc w:val="center"/>
              <w:rPr>
                <w:color w:val="000000" w:themeColor="text1"/>
                <w:spacing w:val="-8"/>
                <w:highlight w:val="none"/>
                <w14:textFill>
                  <w14:solidFill>
                    <w14:schemeClr w14:val="tx1"/>
                  </w14:solidFill>
                </w14:textFill>
              </w:rPr>
            </w:pPr>
            <w:r>
              <w:rPr>
                <w:color w:val="000000" w:themeColor="text1"/>
                <w:spacing w:val="-8"/>
                <w:highlight w:val="none"/>
                <w14:textFill>
                  <w14:solidFill>
                    <w14:schemeClr w14:val="tx1"/>
                  </w14:solidFill>
                </w14:textFill>
              </w:rPr>
              <w:t>防范措施</w:t>
            </w:r>
          </w:p>
        </w:tc>
        <w:tc>
          <w:tcPr>
            <w:tcW w:w="6801" w:type="dxa"/>
            <w:gridSpan w:val="4"/>
            <w:noWrap w:val="0"/>
            <w:vAlign w:val="center"/>
          </w:tcPr>
          <w:p w14:paraId="3069DB9D">
            <w:pPr>
              <w:adjustRightInd w:val="0"/>
              <w:snapToGrid w:val="0"/>
              <w:spacing w:line="240" w:lineRule="auto"/>
              <w:ind w:firstLine="0" w:firstLineChars="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①强化管理：</w:t>
            </w:r>
          </w:p>
          <w:p w14:paraId="16C46069">
            <w:pPr>
              <w:adjustRightInd w:val="0"/>
              <w:snapToGrid w:val="0"/>
              <w:spacing w:line="240" w:lineRule="auto"/>
              <w:ind w:firstLine="0" w:firstLineChars="0"/>
              <w:rPr>
                <w:rFonts w:hint="eastAsia"/>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A加强仓库巡查，定时</w:t>
            </w:r>
            <w:r>
              <w:rPr>
                <w:rFonts w:hint="eastAsia"/>
                <w:color w:val="000000" w:themeColor="text1"/>
                <w:highlight w:val="none"/>
                <w:lang w:val="en-US" w:eastAsia="zh-CN"/>
                <w14:textFill>
                  <w14:solidFill>
                    <w14:schemeClr w14:val="tx1"/>
                  </w14:solidFill>
                </w14:textFill>
              </w:rPr>
              <w:t>巡查</w:t>
            </w:r>
            <w:r>
              <w:rPr>
                <w:rFonts w:hint="eastAsia"/>
                <w:color w:val="000000" w:themeColor="text1"/>
                <w:highlight w:val="none"/>
                <w14:textFill>
                  <w14:solidFill>
                    <w14:schemeClr w14:val="tx1"/>
                  </w14:solidFill>
                </w14:textFill>
              </w:rPr>
              <w:t>，主要检查储油桶、防渗层是否破损，若有破损及时进行修补，待防渗层修补好后，方可恢复运营</w:t>
            </w:r>
            <w:r>
              <w:rPr>
                <w:rFonts w:hint="eastAsia"/>
                <w:color w:val="000000" w:themeColor="text1"/>
                <w:highlight w:val="none"/>
                <w:lang w:eastAsia="zh-CN"/>
                <w14:textFill>
                  <w14:solidFill>
                    <w14:schemeClr w14:val="tx1"/>
                  </w14:solidFill>
                </w14:textFill>
              </w:rPr>
              <w:t>。</w:t>
            </w:r>
          </w:p>
          <w:p w14:paraId="36E24452">
            <w:pPr>
              <w:adjustRightInd w:val="0"/>
              <w:snapToGrid w:val="0"/>
              <w:spacing w:line="240" w:lineRule="auto"/>
              <w:ind w:firstLine="0" w:firstLineChars="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B强化管理，加强搬运人员的业务培训，完善各项规章制度</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尽量避免</w:t>
            </w:r>
            <w:r>
              <w:rPr>
                <w:rFonts w:hint="eastAsia"/>
                <w:color w:val="000000" w:themeColor="text1"/>
                <w:highlight w:val="none"/>
                <w:lang w:val="en-US" w:eastAsia="zh-CN"/>
                <w14:textFill>
                  <w14:solidFill>
                    <w14:schemeClr w14:val="tx1"/>
                  </w14:solidFill>
                </w14:textFill>
              </w:rPr>
              <w:t>废润滑油</w:t>
            </w:r>
            <w:r>
              <w:rPr>
                <w:rFonts w:hint="eastAsia"/>
                <w:color w:val="000000" w:themeColor="text1"/>
                <w:highlight w:val="none"/>
                <w14:textFill>
                  <w14:solidFill>
                    <w14:schemeClr w14:val="tx1"/>
                  </w14:solidFill>
                </w14:textFill>
              </w:rPr>
              <w:t>。</w:t>
            </w:r>
          </w:p>
          <w:p w14:paraId="5FC0C046">
            <w:pPr>
              <w:adjustRightInd w:val="0"/>
              <w:snapToGrid w:val="0"/>
              <w:spacing w:line="240" w:lineRule="auto"/>
              <w:ind w:firstLine="0" w:firstLineChars="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C</w:t>
            </w:r>
            <w:r>
              <w:rPr>
                <w:rFonts w:hint="eastAsia"/>
                <w:color w:val="000000" w:themeColor="text1"/>
                <w:highlight w:val="none"/>
                <w:lang w:val="en-US" w:eastAsia="zh-CN"/>
                <w14:textFill>
                  <w14:solidFill>
                    <w14:schemeClr w14:val="tx1"/>
                  </w14:solidFill>
                </w14:textFill>
              </w:rPr>
              <w:t>危险废物贮存库四周</w:t>
            </w:r>
            <w:r>
              <w:rPr>
                <w:rFonts w:hint="eastAsia"/>
                <w:color w:val="000000" w:themeColor="text1"/>
                <w:highlight w:val="none"/>
                <w14:textFill>
                  <w14:solidFill>
                    <w14:schemeClr w14:val="tx1"/>
                  </w14:solidFill>
                </w14:textFill>
              </w:rPr>
              <w:t>设置</w:t>
            </w:r>
            <w:r>
              <w:rPr>
                <w:rFonts w:hint="eastAsia"/>
                <w:color w:val="000000" w:themeColor="text1"/>
                <w:highlight w:val="none"/>
                <w:lang w:val="en-US" w:eastAsia="zh-CN"/>
                <w14:textFill>
                  <w14:solidFill>
                    <w14:schemeClr w14:val="tx1"/>
                  </w14:solidFill>
                </w14:textFill>
              </w:rPr>
              <w:t>导流槽与</w:t>
            </w:r>
            <w:r>
              <w:rPr>
                <w:rFonts w:hint="eastAsia"/>
                <w:color w:val="000000" w:themeColor="text1"/>
                <w:highlight w:val="none"/>
                <w14:textFill>
                  <w14:solidFill>
                    <w14:schemeClr w14:val="tx1"/>
                  </w14:solidFill>
                </w14:textFill>
              </w:rPr>
              <w:t>集液池</w:t>
            </w:r>
            <w:r>
              <w:rPr>
                <w:rFonts w:hint="eastAsia"/>
                <w:color w:val="000000" w:themeColor="text1"/>
                <w:highlight w:val="none"/>
                <w:lang w:val="en-US" w:eastAsia="zh-CN"/>
                <w14:textFill>
                  <w14:solidFill>
                    <w14:schemeClr w14:val="tx1"/>
                  </w14:solidFill>
                </w14:textFill>
              </w:rPr>
              <w:t>相连</w:t>
            </w:r>
            <w:r>
              <w:rPr>
                <w:rFonts w:hint="eastAsia"/>
                <w:color w:val="000000" w:themeColor="text1"/>
                <w:highlight w:val="none"/>
                <w14:textFill>
                  <w14:solidFill>
                    <w14:schemeClr w14:val="tx1"/>
                  </w14:solidFill>
                </w14:textFill>
              </w:rPr>
              <w:t>，对发生泄漏的危险物质进行及时回收，并存储于防腐防渗容器中。</w:t>
            </w:r>
          </w:p>
          <w:p w14:paraId="7E7DBAF4">
            <w:pPr>
              <w:adjustRightInd w:val="0"/>
              <w:snapToGrid w:val="0"/>
              <w:spacing w:line="240" w:lineRule="auto"/>
              <w:ind w:firstLine="0" w:firstLineChars="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②</w:t>
            </w:r>
            <w:r>
              <w:rPr>
                <w:rFonts w:hint="eastAsia"/>
                <w:color w:val="000000" w:themeColor="text1"/>
                <w:highlight w:val="none"/>
                <w14:textFill>
                  <w14:solidFill>
                    <w14:schemeClr w14:val="tx1"/>
                  </w14:solidFill>
                </w14:textFill>
              </w:rPr>
              <w:t>合理布置厂区平面</w:t>
            </w:r>
          </w:p>
          <w:p w14:paraId="269C0994">
            <w:pPr>
              <w:adjustRightInd w:val="0"/>
              <w:snapToGrid w:val="0"/>
              <w:spacing w:line="240" w:lineRule="auto"/>
              <w:ind w:firstLine="0" w:firstLineChars="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A办公生活区应与</w:t>
            </w:r>
            <w:r>
              <w:rPr>
                <w:rFonts w:hint="eastAsia"/>
                <w:color w:val="000000" w:themeColor="text1"/>
                <w:highlight w:val="none"/>
                <w:lang w:eastAsia="zh-CN"/>
                <w14:textFill>
                  <w14:solidFill>
                    <w14:schemeClr w14:val="tx1"/>
                  </w14:solidFill>
                </w14:textFill>
              </w:rPr>
              <w:t>暂存</w:t>
            </w:r>
            <w:r>
              <w:rPr>
                <w:rFonts w:hint="eastAsia"/>
                <w:color w:val="000000" w:themeColor="text1"/>
                <w:highlight w:val="none"/>
                <w14:textFill>
                  <w14:solidFill>
                    <w14:schemeClr w14:val="tx1"/>
                  </w14:solidFill>
                </w14:textFill>
              </w:rPr>
              <w:t>区之间明显分隔；</w:t>
            </w:r>
          </w:p>
          <w:p w14:paraId="44011604">
            <w:pPr>
              <w:adjustRightInd w:val="0"/>
              <w:snapToGrid w:val="0"/>
              <w:spacing w:line="240" w:lineRule="auto"/>
              <w:ind w:firstLine="0" w:firstLineChars="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B合理布置仓库分区，对不同危险废物进行分区存放；</w:t>
            </w:r>
          </w:p>
          <w:p w14:paraId="72C5FCA7">
            <w:pPr>
              <w:adjustRightInd w:val="0"/>
              <w:snapToGrid w:val="0"/>
              <w:spacing w:line="240" w:lineRule="auto"/>
              <w:ind w:firstLine="0" w:firstLineChars="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C该项目应留有足够的消防环形通道，并保证消防、急救车辆到达该区域畅通无阻。道路宽度应符合有关规范要求；</w:t>
            </w:r>
          </w:p>
          <w:p w14:paraId="1A1732AD">
            <w:pPr>
              <w:adjustRightInd w:val="0"/>
              <w:snapToGrid w:val="0"/>
              <w:spacing w:line="240" w:lineRule="auto"/>
              <w:ind w:firstLine="0" w:firstLineChars="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D厂外进入厂区的公用工程干线不应通过危险区；</w:t>
            </w:r>
          </w:p>
          <w:p w14:paraId="66CFA08B">
            <w:pPr>
              <w:adjustRightInd w:val="0"/>
              <w:snapToGrid w:val="0"/>
              <w:spacing w:line="240" w:lineRule="auto"/>
              <w:ind w:firstLine="0" w:firstLineChars="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E按照有关规定考虑消防设施及火灾报警系统的设置；</w:t>
            </w:r>
          </w:p>
          <w:p w14:paraId="191F6987">
            <w:pPr>
              <w:adjustRightInd w:val="0"/>
              <w:snapToGrid w:val="0"/>
              <w:spacing w:line="240" w:lineRule="auto"/>
              <w:ind w:firstLine="0" w:firstLineChars="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F按照有关规定考虑紧急救援站的设置。</w:t>
            </w:r>
          </w:p>
        </w:tc>
      </w:tr>
      <w:tr w14:paraId="2F79DD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1999" w:type="dxa"/>
            <w:noWrap w:val="0"/>
            <w:vAlign w:val="center"/>
          </w:tcPr>
          <w:p w14:paraId="6713216A">
            <w:pPr>
              <w:adjustRightInd w:val="0"/>
              <w:snapToGrid w:val="0"/>
              <w:spacing w:line="240" w:lineRule="auto"/>
              <w:ind w:firstLine="0" w:firstLineChars="0"/>
              <w:jc w:val="center"/>
              <w:rPr>
                <w:color w:val="000000" w:themeColor="text1"/>
                <w:spacing w:val="-8"/>
                <w:highlight w:val="none"/>
                <w14:textFill>
                  <w14:solidFill>
                    <w14:schemeClr w14:val="tx1"/>
                  </w14:solidFill>
                </w14:textFill>
              </w:rPr>
            </w:pPr>
            <w:r>
              <w:rPr>
                <w:color w:val="000000" w:themeColor="text1"/>
                <w:spacing w:val="-8"/>
                <w:highlight w:val="none"/>
                <w14:textFill>
                  <w14:solidFill>
                    <w14:schemeClr w14:val="tx1"/>
                  </w14:solidFill>
                </w14:textFill>
              </w:rPr>
              <w:t>其他环境</w:t>
            </w:r>
          </w:p>
          <w:p w14:paraId="4A5F61F2">
            <w:pPr>
              <w:adjustRightInd w:val="0"/>
              <w:snapToGrid w:val="0"/>
              <w:spacing w:line="240" w:lineRule="auto"/>
              <w:ind w:firstLine="0" w:firstLineChars="0"/>
              <w:jc w:val="center"/>
              <w:rPr>
                <w:color w:val="000000" w:themeColor="text1"/>
                <w:spacing w:val="-8"/>
                <w:highlight w:val="none"/>
                <w14:textFill>
                  <w14:solidFill>
                    <w14:schemeClr w14:val="tx1"/>
                  </w14:solidFill>
                </w14:textFill>
              </w:rPr>
            </w:pPr>
            <w:r>
              <w:rPr>
                <w:color w:val="000000" w:themeColor="text1"/>
                <w:spacing w:val="-8"/>
                <w:highlight w:val="none"/>
                <w14:textFill>
                  <w14:solidFill>
                    <w14:schemeClr w14:val="tx1"/>
                  </w14:solidFill>
                </w14:textFill>
              </w:rPr>
              <w:t>管理要求</w:t>
            </w:r>
          </w:p>
        </w:tc>
        <w:tc>
          <w:tcPr>
            <w:tcW w:w="6801" w:type="dxa"/>
            <w:gridSpan w:val="4"/>
            <w:noWrap w:val="0"/>
            <w:vAlign w:val="center"/>
          </w:tcPr>
          <w:p w14:paraId="53E346C7">
            <w:pPr>
              <w:adjustRightInd w:val="0"/>
              <w:snapToGrid w:val="0"/>
              <w:spacing w:line="240" w:lineRule="auto"/>
              <w:ind w:firstLine="0" w:firstLineChars="0"/>
              <w:rPr>
                <w:rFonts w:hint="eastAsia"/>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定期对危险废物贮存库房内所贮存的危险废物包装容器及贮存设施及盛装容器进行检查，发现破损及时采取措施清理更换</w:t>
            </w:r>
            <w:r>
              <w:rPr>
                <w:rFonts w:hint="eastAsia"/>
                <w:color w:val="000000" w:themeColor="text1"/>
                <w:highlight w:val="none"/>
                <w14:textFill>
                  <w14:solidFill>
                    <w14:schemeClr w14:val="tx1"/>
                  </w14:solidFill>
                </w14:textFill>
              </w:rPr>
              <w:t>。危险废物贮存库中的危险废物粘贴符合《危险废物贮存污染控制标准》（GB18597-2023）相关要求，注明危废入库日期、危废名称、重量、危险特性以及应急安全措施；贮存设施或场所、容器和包装物应按《危险废物识别标志设置技术规范》（HJ1276-2022）要求设置危险废物贮存设施或场所标志、危险废物贮存分区标志和危险废物标签等危险废物识别标志。</w:t>
            </w:r>
          </w:p>
        </w:tc>
      </w:tr>
    </w:tbl>
    <w:p w14:paraId="49F211C4">
      <w:pPr>
        <w:pStyle w:val="12"/>
        <w:ind w:firstLine="480"/>
        <w:jc w:val="center"/>
        <w:outlineLvl w:val="0"/>
        <w:rPr>
          <w:rFonts w:ascii="Times New Roman" w:hAnsi="Times New Roman" w:eastAsia="黑体"/>
          <w:snapToGrid w:val="0"/>
          <w:color w:val="000000" w:themeColor="text1"/>
          <w:sz w:val="30"/>
          <w:szCs w:val="30"/>
          <w:highlight w:val="none"/>
          <w14:textFill>
            <w14:solidFill>
              <w14:schemeClr w14:val="tx1"/>
            </w14:solidFill>
          </w14:textFill>
        </w:rPr>
      </w:pPr>
      <w:r>
        <w:rPr>
          <w:rFonts w:ascii="Times New Roman" w:hAnsi="Times New Roman"/>
          <w:snapToGrid w:val="0"/>
          <w:color w:val="000000" w:themeColor="text1"/>
          <w:highlight w:val="none"/>
          <w14:textFill>
            <w14:solidFill>
              <w14:schemeClr w14:val="tx1"/>
            </w14:solidFill>
          </w14:textFill>
        </w:rPr>
        <w:br w:type="page"/>
      </w:r>
      <w:r>
        <w:rPr>
          <w:rFonts w:ascii="Times New Roman" w:hAnsi="Times New Roman" w:eastAsia="黑体"/>
          <w:snapToGrid w:val="0"/>
          <w:color w:val="000000" w:themeColor="text1"/>
          <w:sz w:val="30"/>
          <w:szCs w:val="30"/>
          <w:highlight w:val="none"/>
          <w14:textFill>
            <w14:solidFill>
              <w14:schemeClr w14:val="tx1"/>
            </w14:solidFill>
          </w14:textFill>
        </w:rPr>
        <w:t>六、结论</w:t>
      </w:r>
    </w:p>
    <w:tbl>
      <w:tblPr>
        <w:tblStyle w:val="1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389D43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center"/>
          </w:tcPr>
          <w:p w14:paraId="7F3288E6">
            <w:pPr>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本项目危险废物贮存库的建设符合国家产业政策，满足区域环境功能区划要求，项目选址可行。本项目在严格落实本报告中提出的施工期和运营期各项污染控制对策和措施后，项目各项污染物可达标排放，对周边环境和居民生活影响较小。评价认为项目建设从环境保护角度分析是可行的。</w:t>
            </w:r>
          </w:p>
        </w:tc>
      </w:tr>
    </w:tbl>
    <w:p w14:paraId="6D9B147A">
      <w:pPr>
        <w:ind w:firstLine="480"/>
        <w:rPr>
          <w:color w:val="000000" w:themeColor="text1"/>
          <w:highlight w:val="none"/>
          <w14:textFill>
            <w14:solidFill>
              <w14:schemeClr w14:val="tx1"/>
            </w14:solidFill>
          </w14:textFill>
        </w:rPr>
        <w:sectPr>
          <w:pgSz w:w="11906" w:h="16838"/>
          <w:pgMar w:top="1701" w:right="1531" w:bottom="1701" w:left="1531" w:header="851" w:footer="851" w:gutter="0"/>
          <w:pgNumType w:fmt="numberInDash"/>
          <w:cols w:space="720" w:num="1"/>
          <w:docGrid w:linePitch="312" w:charSpace="0"/>
        </w:sectPr>
      </w:pPr>
    </w:p>
    <w:p w14:paraId="0FACCF1F">
      <w:pPr>
        <w:pStyle w:val="12"/>
        <w:adjustRightInd w:val="0"/>
        <w:snapToGrid w:val="0"/>
        <w:spacing w:before="0" w:beforeAutospacing="0" w:after="0" w:afterAutospacing="0" w:line="648" w:lineRule="auto"/>
        <w:ind w:firstLine="640"/>
        <w:outlineLvl w:val="0"/>
        <w:rPr>
          <w:rFonts w:ascii="Times New Roman" w:hAnsi="Times New Roman" w:eastAsia="黑体"/>
          <w:snapToGrid w:val="0"/>
          <w:color w:val="000000" w:themeColor="text1"/>
          <w:sz w:val="32"/>
          <w:szCs w:val="32"/>
          <w:highlight w:val="none"/>
          <w14:textFill>
            <w14:solidFill>
              <w14:schemeClr w14:val="tx1"/>
            </w14:solidFill>
          </w14:textFill>
        </w:rPr>
      </w:pPr>
      <w:r>
        <w:rPr>
          <w:rFonts w:ascii="Times New Roman" w:hAnsi="Times New Roman" w:eastAsia="黑体"/>
          <w:snapToGrid w:val="0"/>
          <w:color w:val="000000" w:themeColor="text1"/>
          <w:sz w:val="32"/>
          <w:szCs w:val="32"/>
          <w:highlight w:val="none"/>
          <w14:textFill>
            <w14:solidFill>
              <w14:schemeClr w14:val="tx1"/>
            </w14:solidFill>
          </w14:textFill>
        </w:rPr>
        <w:t>附表</w:t>
      </w:r>
    </w:p>
    <w:p w14:paraId="3D928EB8">
      <w:pPr>
        <w:pStyle w:val="12"/>
        <w:adjustRightInd w:val="0"/>
        <w:snapToGrid w:val="0"/>
        <w:spacing w:before="0" w:beforeAutospacing="0" w:after="0" w:afterAutospacing="0" w:line="552" w:lineRule="auto"/>
        <w:ind w:firstLine="760"/>
        <w:jc w:val="center"/>
        <w:outlineLvl w:val="0"/>
        <w:rPr>
          <w:rFonts w:ascii="Times New Roman" w:hAnsi="Times New Roman" w:eastAsia="方正小标宋_GBK"/>
          <w:snapToGrid w:val="0"/>
          <w:color w:val="000000" w:themeColor="text1"/>
          <w:sz w:val="38"/>
          <w:szCs w:val="38"/>
          <w:highlight w:val="none"/>
          <w14:textFill>
            <w14:solidFill>
              <w14:schemeClr w14:val="tx1"/>
            </w14:solidFill>
          </w14:textFill>
        </w:rPr>
      </w:pPr>
      <w:r>
        <w:rPr>
          <w:rFonts w:ascii="Times New Roman" w:hAnsi="Times New Roman" w:eastAsia="方正小标宋_GBK"/>
          <w:snapToGrid w:val="0"/>
          <w:color w:val="000000" w:themeColor="text1"/>
          <w:sz w:val="38"/>
          <w:szCs w:val="38"/>
          <w:highlight w:val="none"/>
          <w14:textFill>
            <w14:solidFill>
              <w14:schemeClr w14:val="tx1"/>
            </w14:solidFill>
          </w14:textFill>
        </w:rPr>
        <w:t>建设项目污染物排放量汇总表</w:t>
      </w:r>
    </w:p>
    <w:tbl>
      <w:tblPr>
        <w:tblStyle w:val="14"/>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761"/>
        <w:gridCol w:w="1868"/>
        <w:gridCol w:w="917"/>
      </w:tblGrid>
      <w:tr w14:paraId="71D56B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noWrap w:val="0"/>
            <w:tcMar>
              <w:left w:w="28" w:type="dxa"/>
              <w:right w:w="28" w:type="dxa"/>
            </w:tcMar>
            <w:vAlign w:val="center"/>
          </w:tcPr>
          <w:p w14:paraId="7179BF47">
            <w:pPr>
              <w:pStyle w:val="23"/>
              <w:spacing w:beforeLines="0" w:afterLines="0" w:line="240" w:lineRule="auto"/>
              <w:ind w:firstLine="0" w:firstLineChars="0"/>
              <w:jc w:val="right"/>
              <w:rPr>
                <w:rFonts w:ascii="Times New Roman" w:eastAsia="黑体"/>
                <w:snapToGrid w:val="0"/>
                <w:color w:val="000000" w:themeColor="text1"/>
                <w:spacing w:val="-6"/>
                <w:kern w:val="21"/>
                <w:szCs w:val="21"/>
                <w:highlight w:val="none"/>
                <w14:textFill>
                  <w14:solidFill>
                    <w14:schemeClr w14:val="tx1"/>
                  </w14:solidFill>
                </w14:textFill>
              </w:rPr>
            </w:pPr>
            <w:r>
              <w:rPr>
                <w:rFonts w:ascii="Times New Roman" w:eastAsia="黑体"/>
                <w:snapToGrid w:val="0"/>
                <w:color w:val="000000" w:themeColor="text1"/>
                <w:spacing w:val="-6"/>
                <w:kern w:val="21"/>
                <w:szCs w:val="21"/>
                <w:highlight w:val="none"/>
                <w14:textFill>
                  <w14:solidFill>
                    <w14:schemeClr w14:val="tx1"/>
                  </w14:solidFill>
                </w14:textFill>
              </w:rPr>
              <w:t>项目</w:t>
            </w:r>
          </w:p>
          <w:p w14:paraId="72A57C9E">
            <w:pPr>
              <w:pStyle w:val="23"/>
              <w:spacing w:beforeLines="0" w:afterLines="0" w:line="240" w:lineRule="auto"/>
              <w:ind w:firstLine="0" w:firstLineChars="0"/>
              <w:jc w:val="left"/>
              <w:rPr>
                <w:rFonts w:ascii="Times New Roman" w:eastAsia="黑体"/>
                <w:snapToGrid w:val="0"/>
                <w:color w:val="000000" w:themeColor="text1"/>
                <w:spacing w:val="-6"/>
                <w:kern w:val="21"/>
                <w:szCs w:val="21"/>
                <w:highlight w:val="none"/>
                <w14:textFill>
                  <w14:solidFill>
                    <w14:schemeClr w14:val="tx1"/>
                  </w14:solidFill>
                </w14:textFill>
              </w:rPr>
            </w:pPr>
            <w:r>
              <w:rPr>
                <w:rFonts w:ascii="Times New Roman" w:eastAsia="黑体"/>
                <w:snapToGrid w:val="0"/>
                <w:color w:val="000000" w:themeColor="text1"/>
                <w:spacing w:val="-6"/>
                <w:kern w:val="21"/>
                <w:szCs w:val="21"/>
                <w:highlight w:val="none"/>
                <w14:textFill>
                  <w14:solidFill>
                    <w14:schemeClr w14:val="tx1"/>
                  </w14:solidFill>
                </w14:textFill>
              </w:rPr>
              <w:t>分类</w:t>
            </w:r>
          </w:p>
        </w:tc>
        <w:tc>
          <w:tcPr>
            <w:tcW w:w="1417" w:type="dxa"/>
            <w:noWrap w:val="0"/>
            <w:tcMar>
              <w:left w:w="28" w:type="dxa"/>
              <w:right w:w="28" w:type="dxa"/>
            </w:tcMar>
            <w:vAlign w:val="center"/>
          </w:tcPr>
          <w:p w14:paraId="52DF6510">
            <w:pPr>
              <w:pStyle w:val="23"/>
              <w:spacing w:beforeLines="0" w:afterLines="0" w:line="240" w:lineRule="auto"/>
              <w:ind w:firstLine="0" w:firstLineChars="0"/>
              <w:rPr>
                <w:rFonts w:ascii="Times New Roman" w:eastAsia="黑体"/>
                <w:snapToGrid w:val="0"/>
                <w:color w:val="000000" w:themeColor="text1"/>
                <w:spacing w:val="-6"/>
                <w:kern w:val="21"/>
                <w:szCs w:val="21"/>
                <w:highlight w:val="none"/>
                <w14:textFill>
                  <w14:solidFill>
                    <w14:schemeClr w14:val="tx1"/>
                  </w14:solidFill>
                </w14:textFill>
              </w:rPr>
            </w:pPr>
            <w:r>
              <w:rPr>
                <w:rFonts w:ascii="Times New Roman" w:eastAsia="黑体"/>
                <w:snapToGrid w:val="0"/>
                <w:color w:val="000000" w:themeColor="text1"/>
                <w:spacing w:val="-6"/>
                <w:kern w:val="21"/>
                <w:szCs w:val="21"/>
                <w:highlight w:val="none"/>
                <w14:textFill>
                  <w14:solidFill>
                    <w14:schemeClr w14:val="tx1"/>
                  </w14:solidFill>
                </w14:textFill>
              </w:rPr>
              <w:t>污染物名称</w:t>
            </w:r>
          </w:p>
        </w:tc>
        <w:tc>
          <w:tcPr>
            <w:tcW w:w="1701" w:type="dxa"/>
            <w:noWrap w:val="0"/>
            <w:tcMar>
              <w:left w:w="28" w:type="dxa"/>
              <w:right w:w="28" w:type="dxa"/>
            </w:tcMar>
            <w:vAlign w:val="center"/>
          </w:tcPr>
          <w:p w14:paraId="570A21BD">
            <w:pPr>
              <w:pStyle w:val="23"/>
              <w:spacing w:beforeLines="0" w:afterLines="0" w:line="240" w:lineRule="auto"/>
              <w:ind w:firstLine="0" w:firstLineChars="0"/>
              <w:rPr>
                <w:rFonts w:ascii="Times New Roman" w:eastAsia="黑体"/>
                <w:snapToGrid w:val="0"/>
                <w:color w:val="000000" w:themeColor="text1"/>
                <w:spacing w:val="-6"/>
                <w:kern w:val="21"/>
                <w:szCs w:val="21"/>
                <w:highlight w:val="none"/>
                <w14:textFill>
                  <w14:solidFill>
                    <w14:schemeClr w14:val="tx1"/>
                  </w14:solidFill>
                </w14:textFill>
              </w:rPr>
            </w:pPr>
            <w:r>
              <w:rPr>
                <w:rFonts w:ascii="Times New Roman" w:eastAsia="黑体"/>
                <w:snapToGrid w:val="0"/>
                <w:color w:val="000000" w:themeColor="text1"/>
                <w:spacing w:val="-6"/>
                <w:kern w:val="21"/>
                <w:szCs w:val="21"/>
                <w:highlight w:val="none"/>
                <w14:textFill>
                  <w14:solidFill>
                    <w14:schemeClr w14:val="tx1"/>
                  </w14:solidFill>
                </w14:textFill>
              </w:rPr>
              <w:t>现有工程</w:t>
            </w:r>
          </w:p>
          <w:p w14:paraId="783F6C39">
            <w:pPr>
              <w:pStyle w:val="23"/>
              <w:spacing w:beforeLines="0" w:afterLines="0" w:line="240" w:lineRule="auto"/>
              <w:ind w:firstLine="0" w:firstLineChars="0"/>
              <w:rPr>
                <w:rFonts w:ascii="Times New Roman" w:eastAsia="黑体"/>
                <w:snapToGrid w:val="0"/>
                <w:color w:val="000000" w:themeColor="text1"/>
                <w:spacing w:val="-6"/>
                <w:kern w:val="21"/>
                <w:szCs w:val="21"/>
                <w:highlight w:val="none"/>
                <w14:textFill>
                  <w14:solidFill>
                    <w14:schemeClr w14:val="tx1"/>
                  </w14:solidFill>
                </w14:textFill>
              </w:rPr>
            </w:pPr>
            <w:r>
              <w:rPr>
                <w:rFonts w:ascii="Times New Roman" w:eastAsia="黑体"/>
                <w:snapToGrid w:val="0"/>
                <w:color w:val="000000" w:themeColor="text1"/>
                <w:spacing w:val="-6"/>
                <w:kern w:val="21"/>
                <w:szCs w:val="21"/>
                <w:highlight w:val="none"/>
                <w14:textFill>
                  <w14:solidFill>
                    <w14:schemeClr w14:val="tx1"/>
                  </w14:solidFill>
                </w14:textFill>
              </w:rPr>
              <w:t>排放量（固体废物产生量）</w:t>
            </w:r>
            <w:r>
              <w:rPr>
                <w:rFonts w:ascii="Times New Roman" w:eastAsia="黑体"/>
                <w:snapToGrid w:val="0"/>
                <w:color w:val="000000" w:themeColor="text1"/>
                <w:spacing w:val="-6"/>
                <w:kern w:val="21"/>
                <w:szCs w:val="21"/>
                <w:highlight w:val="none"/>
                <w14:textFill>
                  <w14:solidFill>
                    <w14:schemeClr w14:val="tx1"/>
                  </w14:solidFill>
                </w14:textFill>
              </w:rPr>
              <w:fldChar w:fldCharType="begin"/>
            </w:r>
            <w:r>
              <w:rPr>
                <w:rFonts w:ascii="Times New Roman" w:eastAsia="黑体"/>
                <w:snapToGrid w:val="0"/>
                <w:color w:val="000000" w:themeColor="text1"/>
                <w:spacing w:val="-6"/>
                <w:kern w:val="21"/>
                <w:szCs w:val="21"/>
                <w:highlight w:val="none"/>
                <w14:textFill>
                  <w14:solidFill>
                    <w14:schemeClr w14:val="tx1"/>
                  </w14:solidFill>
                </w14:textFill>
              </w:rPr>
              <w:instrText xml:space="preserve"> = 1 \* GB3 \* MERGEFORMAT </w:instrText>
            </w:r>
            <w:r>
              <w:rPr>
                <w:rFonts w:ascii="Times New Roman" w:eastAsia="黑体"/>
                <w:snapToGrid w:val="0"/>
                <w:color w:val="000000" w:themeColor="text1"/>
                <w:spacing w:val="-6"/>
                <w:kern w:val="21"/>
                <w:szCs w:val="21"/>
                <w:highlight w:val="none"/>
                <w14:textFill>
                  <w14:solidFill>
                    <w14:schemeClr w14:val="tx1"/>
                  </w14:solidFill>
                </w14:textFill>
              </w:rPr>
              <w:fldChar w:fldCharType="separate"/>
            </w:r>
            <w:r>
              <w:rPr>
                <w:rFonts w:ascii="Times New Roman" w:eastAsia="黑体"/>
                <w:color w:val="000000" w:themeColor="text1"/>
                <w:kern w:val="2"/>
                <w:szCs w:val="21"/>
                <w:highlight w:val="none"/>
                <w14:textFill>
                  <w14:solidFill>
                    <w14:schemeClr w14:val="tx1"/>
                  </w14:solidFill>
                </w14:textFill>
              </w:rPr>
              <w:t>①</w:t>
            </w:r>
            <w:r>
              <w:rPr>
                <w:rFonts w:ascii="Times New Roman" w:eastAsia="黑体"/>
                <w:snapToGrid w:val="0"/>
                <w:color w:val="000000" w:themeColor="text1"/>
                <w:spacing w:val="-6"/>
                <w:kern w:val="21"/>
                <w:szCs w:val="21"/>
                <w:highlight w:val="none"/>
                <w14:textFill>
                  <w14:solidFill>
                    <w14:schemeClr w14:val="tx1"/>
                  </w14:solidFill>
                </w14:textFill>
              </w:rPr>
              <w:fldChar w:fldCharType="end"/>
            </w:r>
          </w:p>
        </w:tc>
        <w:tc>
          <w:tcPr>
            <w:tcW w:w="1276" w:type="dxa"/>
            <w:noWrap w:val="0"/>
            <w:tcMar>
              <w:left w:w="28" w:type="dxa"/>
              <w:right w:w="28" w:type="dxa"/>
            </w:tcMar>
            <w:vAlign w:val="center"/>
          </w:tcPr>
          <w:p w14:paraId="5E886076">
            <w:pPr>
              <w:pStyle w:val="23"/>
              <w:spacing w:beforeLines="0" w:afterLines="0" w:line="240" w:lineRule="auto"/>
              <w:ind w:firstLine="0" w:firstLineChars="0"/>
              <w:rPr>
                <w:rFonts w:ascii="Times New Roman" w:eastAsia="黑体"/>
                <w:snapToGrid w:val="0"/>
                <w:color w:val="000000" w:themeColor="text1"/>
                <w:spacing w:val="-6"/>
                <w:kern w:val="21"/>
                <w:szCs w:val="21"/>
                <w:highlight w:val="none"/>
                <w14:textFill>
                  <w14:solidFill>
                    <w14:schemeClr w14:val="tx1"/>
                  </w14:solidFill>
                </w14:textFill>
              </w:rPr>
            </w:pPr>
            <w:r>
              <w:rPr>
                <w:rFonts w:ascii="Times New Roman" w:eastAsia="黑体"/>
                <w:snapToGrid w:val="0"/>
                <w:color w:val="000000" w:themeColor="text1"/>
                <w:spacing w:val="-6"/>
                <w:kern w:val="21"/>
                <w:szCs w:val="21"/>
                <w:highlight w:val="none"/>
                <w14:textFill>
                  <w14:solidFill>
                    <w14:schemeClr w14:val="tx1"/>
                  </w14:solidFill>
                </w14:textFill>
              </w:rPr>
              <w:t>现有工程</w:t>
            </w:r>
          </w:p>
          <w:p w14:paraId="6EE6C5C3">
            <w:pPr>
              <w:pStyle w:val="23"/>
              <w:spacing w:beforeLines="0" w:afterLines="0" w:line="240" w:lineRule="auto"/>
              <w:ind w:firstLine="0" w:firstLineChars="0"/>
              <w:rPr>
                <w:rFonts w:ascii="Times New Roman" w:eastAsia="黑体"/>
                <w:snapToGrid w:val="0"/>
                <w:color w:val="000000" w:themeColor="text1"/>
                <w:spacing w:val="-6"/>
                <w:kern w:val="21"/>
                <w:szCs w:val="21"/>
                <w:highlight w:val="none"/>
                <w14:textFill>
                  <w14:solidFill>
                    <w14:schemeClr w14:val="tx1"/>
                  </w14:solidFill>
                </w14:textFill>
              </w:rPr>
            </w:pPr>
            <w:r>
              <w:rPr>
                <w:rFonts w:ascii="Times New Roman" w:eastAsia="黑体"/>
                <w:snapToGrid w:val="0"/>
                <w:color w:val="000000" w:themeColor="text1"/>
                <w:spacing w:val="-6"/>
                <w:kern w:val="21"/>
                <w:szCs w:val="21"/>
                <w:highlight w:val="none"/>
                <w14:textFill>
                  <w14:solidFill>
                    <w14:schemeClr w14:val="tx1"/>
                  </w14:solidFill>
                </w14:textFill>
              </w:rPr>
              <w:t>许可排放量</w:t>
            </w:r>
          </w:p>
          <w:p w14:paraId="40C421C1">
            <w:pPr>
              <w:pStyle w:val="23"/>
              <w:spacing w:beforeLines="0" w:afterLines="0"/>
              <w:ind w:firstLine="0" w:firstLineChars="0"/>
              <w:rPr>
                <w:rFonts w:ascii="Times New Roman" w:eastAsia="黑体"/>
                <w:snapToGrid w:val="0"/>
                <w:color w:val="000000" w:themeColor="text1"/>
                <w:spacing w:val="-6"/>
                <w:kern w:val="21"/>
                <w:szCs w:val="21"/>
                <w:highlight w:val="none"/>
                <w14:textFill>
                  <w14:solidFill>
                    <w14:schemeClr w14:val="tx1"/>
                  </w14:solidFill>
                </w14:textFill>
              </w:rPr>
            </w:pPr>
            <w:r>
              <w:rPr>
                <w:rFonts w:ascii="Times New Roman" w:eastAsia="黑体"/>
                <w:snapToGrid w:val="0"/>
                <w:color w:val="000000" w:themeColor="text1"/>
                <w:spacing w:val="-6"/>
                <w:kern w:val="21"/>
                <w:szCs w:val="21"/>
                <w:highlight w:val="none"/>
                <w14:textFill>
                  <w14:solidFill>
                    <w14:schemeClr w14:val="tx1"/>
                  </w14:solidFill>
                </w14:textFill>
              </w:rPr>
              <w:fldChar w:fldCharType="begin"/>
            </w:r>
            <w:r>
              <w:rPr>
                <w:rFonts w:ascii="Times New Roman" w:eastAsia="黑体"/>
                <w:snapToGrid w:val="0"/>
                <w:color w:val="000000" w:themeColor="text1"/>
                <w:spacing w:val="-6"/>
                <w:kern w:val="21"/>
                <w:szCs w:val="21"/>
                <w:highlight w:val="none"/>
                <w14:textFill>
                  <w14:solidFill>
                    <w14:schemeClr w14:val="tx1"/>
                  </w14:solidFill>
                </w14:textFill>
              </w:rPr>
              <w:instrText xml:space="preserve"> = 2 \* GB3 \* MERGEFORMAT </w:instrText>
            </w:r>
            <w:r>
              <w:rPr>
                <w:rFonts w:ascii="Times New Roman" w:eastAsia="黑体"/>
                <w:snapToGrid w:val="0"/>
                <w:color w:val="000000" w:themeColor="text1"/>
                <w:spacing w:val="-6"/>
                <w:kern w:val="21"/>
                <w:szCs w:val="21"/>
                <w:highlight w:val="none"/>
                <w14:textFill>
                  <w14:solidFill>
                    <w14:schemeClr w14:val="tx1"/>
                  </w14:solidFill>
                </w14:textFill>
              </w:rPr>
              <w:fldChar w:fldCharType="separate"/>
            </w:r>
            <w:r>
              <w:rPr>
                <w:rFonts w:ascii="Times New Roman" w:eastAsia="黑体"/>
                <w:snapToGrid w:val="0"/>
                <w:color w:val="000000" w:themeColor="text1"/>
                <w:spacing w:val="-6"/>
                <w:kern w:val="21"/>
                <w:szCs w:val="21"/>
                <w:highlight w:val="none"/>
                <w14:textFill>
                  <w14:solidFill>
                    <w14:schemeClr w14:val="tx1"/>
                  </w14:solidFill>
                </w14:textFill>
              </w:rPr>
              <w:t>②</w:t>
            </w:r>
            <w:r>
              <w:rPr>
                <w:rFonts w:ascii="Times New Roman" w:eastAsia="黑体"/>
                <w:snapToGrid w:val="0"/>
                <w:color w:val="000000" w:themeColor="text1"/>
                <w:spacing w:val="-6"/>
                <w:kern w:val="21"/>
                <w:szCs w:val="21"/>
                <w:highlight w:val="none"/>
                <w14:textFill>
                  <w14:solidFill>
                    <w14:schemeClr w14:val="tx1"/>
                  </w14:solidFill>
                </w14:textFill>
              </w:rPr>
              <w:fldChar w:fldCharType="end"/>
            </w:r>
          </w:p>
        </w:tc>
        <w:tc>
          <w:tcPr>
            <w:tcW w:w="1701" w:type="dxa"/>
            <w:noWrap w:val="0"/>
            <w:tcMar>
              <w:left w:w="28" w:type="dxa"/>
              <w:right w:w="28" w:type="dxa"/>
            </w:tcMar>
            <w:vAlign w:val="center"/>
          </w:tcPr>
          <w:p w14:paraId="431811D4">
            <w:pPr>
              <w:pStyle w:val="23"/>
              <w:spacing w:beforeLines="0" w:afterLines="0" w:line="240" w:lineRule="auto"/>
              <w:ind w:firstLine="0" w:firstLineChars="0"/>
              <w:rPr>
                <w:rFonts w:ascii="Times New Roman" w:eastAsia="黑体"/>
                <w:snapToGrid w:val="0"/>
                <w:color w:val="000000" w:themeColor="text1"/>
                <w:spacing w:val="-6"/>
                <w:kern w:val="21"/>
                <w:szCs w:val="21"/>
                <w:highlight w:val="none"/>
                <w14:textFill>
                  <w14:solidFill>
                    <w14:schemeClr w14:val="tx1"/>
                  </w14:solidFill>
                </w14:textFill>
              </w:rPr>
            </w:pPr>
            <w:r>
              <w:rPr>
                <w:rFonts w:ascii="Times New Roman" w:eastAsia="黑体"/>
                <w:snapToGrid w:val="0"/>
                <w:color w:val="000000" w:themeColor="text1"/>
                <w:spacing w:val="-6"/>
                <w:kern w:val="21"/>
                <w:szCs w:val="21"/>
                <w:highlight w:val="none"/>
                <w14:textFill>
                  <w14:solidFill>
                    <w14:schemeClr w14:val="tx1"/>
                  </w14:solidFill>
                </w14:textFill>
              </w:rPr>
              <w:t>在建工程</w:t>
            </w:r>
          </w:p>
          <w:p w14:paraId="4F760B27">
            <w:pPr>
              <w:pStyle w:val="23"/>
              <w:spacing w:beforeLines="0" w:afterLines="0" w:line="240" w:lineRule="auto"/>
              <w:ind w:firstLine="0" w:firstLineChars="0"/>
              <w:rPr>
                <w:rFonts w:ascii="Times New Roman" w:eastAsia="黑体"/>
                <w:snapToGrid w:val="0"/>
                <w:color w:val="000000" w:themeColor="text1"/>
                <w:spacing w:val="-6"/>
                <w:kern w:val="21"/>
                <w:szCs w:val="21"/>
                <w:highlight w:val="none"/>
                <w14:textFill>
                  <w14:solidFill>
                    <w14:schemeClr w14:val="tx1"/>
                  </w14:solidFill>
                </w14:textFill>
              </w:rPr>
            </w:pPr>
            <w:r>
              <w:rPr>
                <w:rFonts w:ascii="Times New Roman" w:eastAsia="黑体"/>
                <w:snapToGrid w:val="0"/>
                <w:color w:val="000000" w:themeColor="text1"/>
                <w:spacing w:val="-6"/>
                <w:kern w:val="21"/>
                <w:szCs w:val="21"/>
                <w:highlight w:val="none"/>
                <w14:textFill>
                  <w14:solidFill>
                    <w14:schemeClr w14:val="tx1"/>
                  </w14:solidFill>
                </w14:textFill>
              </w:rPr>
              <w:t>排放量（固体废物产生量）</w:t>
            </w:r>
            <w:r>
              <w:rPr>
                <w:rFonts w:ascii="Times New Roman" w:eastAsia="黑体"/>
                <w:snapToGrid w:val="0"/>
                <w:color w:val="000000" w:themeColor="text1"/>
                <w:spacing w:val="-6"/>
                <w:kern w:val="21"/>
                <w:szCs w:val="21"/>
                <w:highlight w:val="none"/>
                <w14:textFill>
                  <w14:solidFill>
                    <w14:schemeClr w14:val="tx1"/>
                  </w14:solidFill>
                </w14:textFill>
              </w:rPr>
              <w:fldChar w:fldCharType="begin"/>
            </w:r>
            <w:r>
              <w:rPr>
                <w:rFonts w:ascii="Times New Roman" w:eastAsia="黑体"/>
                <w:snapToGrid w:val="0"/>
                <w:color w:val="000000" w:themeColor="text1"/>
                <w:spacing w:val="-6"/>
                <w:kern w:val="21"/>
                <w:szCs w:val="21"/>
                <w:highlight w:val="none"/>
                <w14:textFill>
                  <w14:solidFill>
                    <w14:schemeClr w14:val="tx1"/>
                  </w14:solidFill>
                </w14:textFill>
              </w:rPr>
              <w:instrText xml:space="preserve"> = 3 \* GB3 \* MERGEFORMAT </w:instrText>
            </w:r>
            <w:r>
              <w:rPr>
                <w:rFonts w:ascii="Times New Roman" w:eastAsia="黑体"/>
                <w:snapToGrid w:val="0"/>
                <w:color w:val="000000" w:themeColor="text1"/>
                <w:spacing w:val="-6"/>
                <w:kern w:val="21"/>
                <w:szCs w:val="21"/>
                <w:highlight w:val="none"/>
                <w14:textFill>
                  <w14:solidFill>
                    <w14:schemeClr w14:val="tx1"/>
                  </w14:solidFill>
                </w14:textFill>
              </w:rPr>
              <w:fldChar w:fldCharType="separate"/>
            </w:r>
            <w:r>
              <w:rPr>
                <w:rFonts w:ascii="Times New Roman" w:eastAsia="黑体"/>
                <w:color w:val="000000" w:themeColor="text1"/>
                <w:kern w:val="2"/>
                <w:szCs w:val="21"/>
                <w:highlight w:val="none"/>
                <w14:textFill>
                  <w14:solidFill>
                    <w14:schemeClr w14:val="tx1"/>
                  </w14:solidFill>
                </w14:textFill>
              </w:rPr>
              <w:t>③</w:t>
            </w:r>
            <w:r>
              <w:rPr>
                <w:rFonts w:ascii="Times New Roman" w:eastAsia="黑体"/>
                <w:snapToGrid w:val="0"/>
                <w:color w:val="000000" w:themeColor="text1"/>
                <w:spacing w:val="-6"/>
                <w:kern w:val="21"/>
                <w:szCs w:val="21"/>
                <w:highlight w:val="none"/>
                <w14:textFill>
                  <w14:solidFill>
                    <w14:schemeClr w14:val="tx1"/>
                  </w14:solidFill>
                </w14:textFill>
              </w:rPr>
              <w:fldChar w:fldCharType="end"/>
            </w:r>
          </w:p>
        </w:tc>
        <w:tc>
          <w:tcPr>
            <w:tcW w:w="1559" w:type="dxa"/>
            <w:noWrap w:val="0"/>
            <w:tcMar>
              <w:left w:w="28" w:type="dxa"/>
              <w:right w:w="28" w:type="dxa"/>
            </w:tcMar>
            <w:vAlign w:val="center"/>
          </w:tcPr>
          <w:p w14:paraId="6E5CC634">
            <w:pPr>
              <w:pStyle w:val="23"/>
              <w:spacing w:beforeLines="0" w:afterLines="0" w:line="240" w:lineRule="auto"/>
              <w:ind w:firstLine="0" w:firstLineChars="0"/>
              <w:rPr>
                <w:rFonts w:ascii="Times New Roman" w:eastAsia="黑体"/>
                <w:snapToGrid w:val="0"/>
                <w:color w:val="000000" w:themeColor="text1"/>
                <w:spacing w:val="-6"/>
                <w:kern w:val="21"/>
                <w:szCs w:val="21"/>
                <w:highlight w:val="none"/>
                <w14:textFill>
                  <w14:solidFill>
                    <w14:schemeClr w14:val="tx1"/>
                  </w14:solidFill>
                </w14:textFill>
              </w:rPr>
            </w:pPr>
            <w:r>
              <w:rPr>
                <w:rFonts w:ascii="Times New Roman" w:eastAsia="黑体"/>
                <w:snapToGrid w:val="0"/>
                <w:color w:val="000000" w:themeColor="text1"/>
                <w:spacing w:val="-6"/>
                <w:kern w:val="21"/>
                <w:szCs w:val="21"/>
                <w:highlight w:val="none"/>
                <w14:textFill>
                  <w14:solidFill>
                    <w14:schemeClr w14:val="tx1"/>
                  </w14:solidFill>
                </w14:textFill>
              </w:rPr>
              <w:t>本项目</w:t>
            </w:r>
          </w:p>
          <w:p w14:paraId="368796E2">
            <w:pPr>
              <w:pStyle w:val="23"/>
              <w:spacing w:beforeLines="0" w:afterLines="0" w:line="240" w:lineRule="auto"/>
              <w:ind w:firstLine="0" w:firstLineChars="0"/>
              <w:rPr>
                <w:rFonts w:ascii="Times New Roman" w:eastAsia="黑体"/>
                <w:snapToGrid w:val="0"/>
                <w:color w:val="000000" w:themeColor="text1"/>
                <w:spacing w:val="-6"/>
                <w:kern w:val="21"/>
                <w:szCs w:val="21"/>
                <w:highlight w:val="none"/>
                <w14:textFill>
                  <w14:solidFill>
                    <w14:schemeClr w14:val="tx1"/>
                  </w14:solidFill>
                </w14:textFill>
              </w:rPr>
            </w:pPr>
            <w:r>
              <w:rPr>
                <w:rFonts w:ascii="Times New Roman" w:eastAsia="黑体"/>
                <w:snapToGrid w:val="0"/>
                <w:color w:val="000000" w:themeColor="text1"/>
                <w:spacing w:val="-6"/>
                <w:kern w:val="21"/>
                <w:szCs w:val="21"/>
                <w:highlight w:val="none"/>
                <w14:textFill>
                  <w14:solidFill>
                    <w14:schemeClr w14:val="tx1"/>
                  </w14:solidFill>
                </w14:textFill>
              </w:rPr>
              <w:t>排放量（固体废物产生量）</w:t>
            </w:r>
            <w:r>
              <w:rPr>
                <w:rFonts w:ascii="Times New Roman" w:eastAsia="黑体"/>
                <w:snapToGrid w:val="0"/>
                <w:color w:val="000000" w:themeColor="text1"/>
                <w:spacing w:val="-6"/>
                <w:kern w:val="21"/>
                <w:szCs w:val="21"/>
                <w:highlight w:val="none"/>
                <w14:textFill>
                  <w14:solidFill>
                    <w14:schemeClr w14:val="tx1"/>
                  </w14:solidFill>
                </w14:textFill>
              </w:rPr>
              <w:fldChar w:fldCharType="begin"/>
            </w:r>
            <w:r>
              <w:rPr>
                <w:rFonts w:ascii="Times New Roman" w:eastAsia="黑体"/>
                <w:snapToGrid w:val="0"/>
                <w:color w:val="000000" w:themeColor="text1"/>
                <w:spacing w:val="-6"/>
                <w:kern w:val="21"/>
                <w:szCs w:val="21"/>
                <w:highlight w:val="none"/>
                <w14:textFill>
                  <w14:solidFill>
                    <w14:schemeClr w14:val="tx1"/>
                  </w14:solidFill>
                </w14:textFill>
              </w:rPr>
              <w:instrText xml:space="preserve"> = 4 \* GB3 \* MERGEFORMAT </w:instrText>
            </w:r>
            <w:r>
              <w:rPr>
                <w:rFonts w:ascii="Times New Roman" w:eastAsia="黑体"/>
                <w:snapToGrid w:val="0"/>
                <w:color w:val="000000" w:themeColor="text1"/>
                <w:spacing w:val="-6"/>
                <w:kern w:val="21"/>
                <w:szCs w:val="21"/>
                <w:highlight w:val="none"/>
                <w14:textFill>
                  <w14:solidFill>
                    <w14:schemeClr w14:val="tx1"/>
                  </w14:solidFill>
                </w14:textFill>
              </w:rPr>
              <w:fldChar w:fldCharType="separate"/>
            </w:r>
            <w:r>
              <w:rPr>
                <w:rFonts w:ascii="Times New Roman" w:eastAsia="黑体"/>
                <w:color w:val="000000" w:themeColor="text1"/>
                <w:kern w:val="2"/>
                <w:szCs w:val="21"/>
                <w:highlight w:val="none"/>
                <w14:textFill>
                  <w14:solidFill>
                    <w14:schemeClr w14:val="tx1"/>
                  </w14:solidFill>
                </w14:textFill>
              </w:rPr>
              <w:t>④</w:t>
            </w:r>
            <w:r>
              <w:rPr>
                <w:rFonts w:ascii="Times New Roman" w:eastAsia="黑体"/>
                <w:snapToGrid w:val="0"/>
                <w:color w:val="000000" w:themeColor="text1"/>
                <w:spacing w:val="-6"/>
                <w:kern w:val="21"/>
                <w:szCs w:val="21"/>
                <w:highlight w:val="none"/>
                <w14:textFill>
                  <w14:solidFill>
                    <w14:schemeClr w14:val="tx1"/>
                  </w14:solidFill>
                </w14:textFill>
              </w:rPr>
              <w:fldChar w:fldCharType="end"/>
            </w:r>
          </w:p>
        </w:tc>
        <w:tc>
          <w:tcPr>
            <w:tcW w:w="1761" w:type="dxa"/>
            <w:noWrap w:val="0"/>
            <w:tcMar>
              <w:left w:w="28" w:type="dxa"/>
              <w:right w:w="28" w:type="dxa"/>
            </w:tcMar>
            <w:vAlign w:val="center"/>
          </w:tcPr>
          <w:p w14:paraId="503E8F06">
            <w:pPr>
              <w:pStyle w:val="23"/>
              <w:spacing w:beforeLines="0" w:afterLines="0" w:line="240" w:lineRule="auto"/>
              <w:ind w:firstLine="0" w:firstLineChars="0"/>
              <w:rPr>
                <w:rFonts w:ascii="Times New Roman" w:eastAsia="黑体"/>
                <w:snapToGrid w:val="0"/>
                <w:color w:val="000000" w:themeColor="text1"/>
                <w:spacing w:val="-16"/>
                <w:kern w:val="21"/>
                <w:szCs w:val="21"/>
                <w:highlight w:val="none"/>
                <w14:textFill>
                  <w14:solidFill>
                    <w14:schemeClr w14:val="tx1"/>
                  </w14:solidFill>
                </w14:textFill>
              </w:rPr>
            </w:pPr>
            <w:r>
              <w:rPr>
                <w:rFonts w:ascii="Times New Roman" w:eastAsia="黑体"/>
                <w:snapToGrid w:val="0"/>
                <w:color w:val="000000" w:themeColor="text1"/>
                <w:spacing w:val="-16"/>
                <w:kern w:val="21"/>
                <w:szCs w:val="21"/>
                <w:highlight w:val="none"/>
                <w14:textFill>
                  <w14:solidFill>
                    <w14:schemeClr w14:val="tx1"/>
                  </w14:solidFill>
                </w14:textFill>
              </w:rPr>
              <w:t>以新带老削减量</w:t>
            </w:r>
          </w:p>
          <w:p w14:paraId="07D828B7">
            <w:pPr>
              <w:pStyle w:val="23"/>
              <w:spacing w:beforeLines="0" w:afterLines="0" w:line="240" w:lineRule="auto"/>
              <w:ind w:firstLine="0" w:firstLineChars="0"/>
              <w:rPr>
                <w:rFonts w:ascii="Times New Roman" w:eastAsia="黑体"/>
                <w:snapToGrid w:val="0"/>
                <w:color w:val="000000" w:themeColor="text1"/>
                <w:spacing w:val="-16"/>
                <w:kern w:val="21"/>
                <w:szCs w:val="21"/>
                <w:highlight w:val="none"/>
                <w14:textFill>
                  <w14:solidFill>
                    <w14:schemeClr w14:val="tx1"/>
                  </w14:solidFill>
                </w14:textFill>
              </w:rPr>
            </w:pPr>
            <w:r>
              <w:rPr>
                <w:rFonts w:ascii="Times New Roman" w:eastAsia="黑体"/>
                <w:snapToGrid w:val="0"/>
                <w:color w:val="000000" w:themeColor="text1"/>
                <w:spacing w:val="-16"/>
                <w:kern w:val="21"/>
                <w:szCs w:val="21"/>
                <w:highlight w:val="none"/>
                <w14:textFill>
                  <w14:solidFill>
                    <w14:schemeClr w14:val="tx1"/>
                  </w14:solidFill>
                </w14:textFill>
              </w:rPr>
              <w:t>（新建项目不填）</w:t>
            </w:r>
            <w:r>
              <w:rPr>
                <w:rFonts w:ascii="Times New Roman" w:eastAsia="黑体"/>
                <w:snapToGrid w:val="0"/>
                <w:color w:val="000000" w:themeColor="text1"/>
                <w:spacing w:val="-16"/>
                <w:kern w:val="21"/>
                <w:szCs w:val="21"/>
                <w:highlight w:val="none"/>
                <w14:textFill>
                  <w14:solidFill>
                    <w14:schemeClr w14:val="tx1"/>
                  </w14:solidFill>
                </w14:textFill>
              </w:rPr>
              <w:fldChar w:fldCharType="begin"/>
            </w:r>
            <w:r>
              <w:rPr>
                <w:rFonts w:ascii="Times New Roman" w:eastAsia="黑体"/>
                <w:snapToGrid w:val="0"/>
                <w:color w:val="000000" w:themeColor="text1"/>
                <w:spacing w:val="-16"/>
                <w:kern w:val="21"/>
                <w:szCs w:val="21"/>
                <w:highlight w:val="none"/>
                <w14:textFill>
                  <w14:solidFill>
                    <w14:schemeClr w14:val="tx1"/>
                  </w14:solidFill>
                </w14:textFill>
              </w:rPr>
              <w:instrText xml:space="preserve"> = 5 \* GB3 \* MERGEFORMAT </w:instrText>
            </w:r>
            <w:r>
              <w:rPr>
                <w:rFonts w:ascii="Times New Roman" w:eastAsia="黑体"/>
                <w:snapToGrid w:val="0"/>
                <w:color w:val="000000" w:themeColor="text1"/>
                <w:spacing w:val="-16"/>
                <w:kern w:val="21"/>
                <w:szCs w:val="21"/>
                <w:highlight w:val="none"/>
                <w14:textFill>
                  <w14:solidFill>
                    <w14:schemeClr w14:val="tx1"/>
                  </w14:solidFill>
                </w14:textFill>
              </w:rPr>
              <w:fldChar w:fldCharType="separate"/>
            </w:r>
            <w:r>
              <w:rPr>
                <w:rFonts w:ascii="Times New Roman" w:eastAsia="黑体"/>
                <w:color w:val="000000" w:themeColor="text1"/>
                <w:kern w:val="2"/>
                <w:szCs w:val="21"/>
                <w:highlight w:val="none"/>
                <w14:textFill>
                  <w14:solidFill>
                    <w14:schemeClr w14:val="tx1"/>
                  </w14:solidFill>
                </w14:textFill>
              </w:rPr>
              <w:t>⑤</w:t>
            </w:r>
            <w:r>
              <w:rPr>
                <w:rFonts w:ascii="Times New Roman" w:eastAsia="黑体"/>
                <w:snapToGrid w:val="0"/>
                <w:color w:val="000000" w:themeColor="text1"/>
                <w:spacing w:val="-16"/>
                <w:kern w:val="21"/>
                <w:szCs w:val="21"/>
                <w:highlight w:val="none"/>
                <w14:textFill>
                  <w14:solidFill>
                    <w14:schemeClr w14:val="tx1"/>
                  </w14:solidFill>
                </w14:textFill>
              </w:rPr>
              <w:fldChar w:fldCharType="end"/>
            </w:r>
          </w:p>
        </w:tc>
        <w:tc>
          <w:tcPr>
            <w:tcW w:w="1868" w:type="dxa"/>
            <w:noWrap w:val="0"/>
            <w:tcMar>
              <w:left w:w="28" w:type="dxa"/>
              <w:right w:w="28" w:type="dxa"/>
            </w:tcMar>
            <w:vAlign w:val="center"/>
          </w:tcPr>
          <w:p w14:paraId="2D642261">
            <w:pPr>
              <w:pStyle w:val="23"/>
              <w:spacing w:beforeLines="0" w:afterLines="0" w:line="240" w:lineRule="auto"/>
              <w:ind w:firstLine="0" w:firstLineChars="0"/>
              <w:rPr>
                <w:rFonts w:ascii="Times New Roman" w:eastAsia="黑体"/>
                <w:snapToGrid w:val="0"/>
                <w:color w:val="000000" w:themeColor="text1"/>
                <w:spacing w:val="-16"/>
                <w:kern w:val="21"/>
                <w:szCs w:val="21"/>
                <w:highlight w:val="none"/>
                <w14:textFill>
                  <w14:solidFill>
                    <w14:schemeClr w14:val="tx1"/>
                  </w14:solidFill>
                </w14:textFill>
              </w:rPr>
            </w:pPr>
            <w:r>
              <w:rPr>
                <w:rFonts w:ascii="Times New Roman" w:eastAsia="黑体"/>
                <w:snapToGrid w:val="0"/>
                <w:color w:val="000000" w:themeColor="text1"/>
                <w:spacing w:val="-16"/>
                <w:kern w:val="21"/>
                <w:szCs w:val="21"/>
                <w:highlight w:val="none"/>
                <w14:textFill>
                  <w14:solidFill>
                    <w14:schemeClr w14:val="tx1"/>
                  </w14:solidFill>
                </w14:textFill>
              </w:rPr>
              <w:t>本项目建成后</w:t>
            </w:r>
          </w:p>
          <w:p w14:paraId="6F53DE20">
            <w:pPr>
              <w:pStyle w:val="23"/>
              <w:spacing w:beforeLines="0" w:afterLines="0" w:line="240" w:lineRule="auto"/>
              <w:ind w:firstLine="0" w:firstLineChars="0"/>
              <w:rPr>
                <w:rFonts w:ascii="Times New Roman" w:eastAsia="黑体"/>
                <w:snapToGrid w:val="0"/>
                <w:color w:val="000000" w:themeColor="text1"/>
                <w:spacing w:val="-16"/>
                <w:kern w:val="21"/>
                <w:szCs w:val="21"/>
                <w:highlight w:val="none"/>
                <w14:textFill>
                  <w14:solidFill>
                    <w14:schemeClr w14:val="tx1"/>
                  </w14:solidFill>
                </w14:textFill>
              </w:rPr>
            </w:pPr>
            <w:r>
              <w:rPr>
                <w:rFonts w:ascii="Times New Roman" w:eastAsia="黑体"/>
                <w:snapToGrid w:val="0"/>
                <w:color w:val="000000" w:themeColor="text1"/>
                <w:spacing w:val="-16"/>
                <w:kern w:val="21"/>
                <w:szCs w:val="21"/>
                <w:highlight w:val="none"/>
                <w14:textFill>
                  <w14:solidFill>
                    <w14:schemeClr w14:val="tx1"/>
                  </w14:solidFill>
                </w14:textFill>
              </w:rPr>
              <w:t>全厂排放量（固体废物产生量）</w:t>
            </w:r>
            <w:r>
              <w:rPr>
                <w:rFonts w:ascii="Times New Roman" w:eastAsia="黑体"/>
                <w:snapToGrid w:val="0"/>
                <w:color w:val="000000" w:themeColor="text1"/>
                <w:spacing w:val="-16"/>
                <w:kern w:val="21"/>
                <w:szCs w:val="21"/>
                <w:highlight w:val="none"/>
                <w14:textFill>
                  <w14:solidFill>
                    <w14:schemeClr w14:val="tx1"/>
                  </w14:solidFill>
                </w14:textFill>
              </w:rPr>
              <w:fldChar w:fldCharType="begin"/>
            </w:r>
            <w:r>
              <w:rPr>
                <w:rFonts w:ascii="Times New Roman" w:eastAsia="黑体"/>
                <w:snapToGrid w:val="0"/>
                <w:color w:val="000000" w:themeColor="text1"/>
                <w:spacing w:val="-16"/>
                <w:kern w:val="21"/>
                <w:szCs w:val="21"/>
                <w:highlight w:val="none"/>
                <w14:textFill>
                  <w14:solidFill>
                    <w14:schemeClr w14:val="tx1"/>
                  </w14:solidFill>
                </w14:textFill>
              </w:rPr>
              <w:instrText xml:space="preserve"> = 6 \* GB3 \* MERGEFORMAT </w:instrText>
            </w:r>
            <w:r>
              <w:rPr>
                <w:rFonts w:ascii="Times New Roman" w:eastAsia="黑体"/>
                <w:snapToGrid w:val="0"/>
                <w:color w:val="000000" w:themeColor="text1"/>
                <w:spacing w:val="-16"/>
                <w:kern w:val="21"/>
                <w:szCs w:val="21"/>
                <w:highlight w:val="none"/>
                <w14:textFill>
                  <w14:solidFill>
                    <w14:schemeClr w14:val="tx1"/>
                  </w14:solidFill>
                </w14:textFill>
              </w:rPr>
              <w:fldChar w:fldCharType="separate"/>
            </w:r>
            <w:r>
              <w:rPr>
                <w:rFonts w:ascii="Times New Roman" w:eastAsia="黑体"/>
                <w:color w:val="000000" w:themeColor="text1"/>
                <w:kern w:val="2"/>
                <w:szCs w:val="21"/>
                <w:highlight w:val="none"/>
                <w14:textFill>
                  <w14:solidFill>
                    <w14:schemeClr w14:val="tx1"/>
                  </w14:solidFill>
                </w14:textFill>
              </w:rPr>
              <w:t>⑥</w:t>
            </w:r>
            <w:r>
              <w:rPr>
                <w:rFonts w:ascii="Times New Roman" w:eastAsia="黑体"/>
                <w:snapToGrid w:val="0"/>
                <w:color w:val="000000" w:themeColor="text1"/>
                <w:spacing w:val="-16"/>
                <w:kern w:val="21"/>
                <w:szCs w:val="21"/>
                <w:highlight w:val="none"/>
                <w14:textFill>
                  <w14:solidFill>
                    <w14:schemeClr w14:val="tx1"/>
                  </w14:solidFill>
                </w14:textFill>
              </w:rPr>
              <w:fldChar w:fldCharType="end"/>
            </w:r>
          </w:p>
        </w:tc>
        <w:tc>
          <w:tcPr>
            <w:tcW w:w="917" w:type="dxa"/>
            <w:noWrap w:val="0"/>
            <w:tcMar>
              <w:left w:w="28" w:type="dxa"/>
              <w:right w:w="28" w:type="dxa"/>
            </w:tcMar>
            <w:vAlign w:val="center"/>
          </w:tcPr>
          <w:p w14:paraId="7E7FFED2">
            <w:pPr>
              <w:pStyle w:val="23"/>
              <w:spacing w:beforeLines="0" w:afterLines="0" w:line="240" w:lineRule="auto"/>
              <w:ind w:firstLine="0" w:firstLineChars="0"/>
              <w:rPr>
                <w:rFonts w:ascii="Times New Roman" w:eastAsia="黑体"/>
                <w:snapToGrid w:val="0"/>
                <w:color w:val="000000" w:themeColor="text1"/>
                <w:spacing w:val="-6"/>
                <w:kern w:val="21"/>
                <w:szCs w:val="21"/>
                <w:highlight w:val="none"/>
                <w14:textFill>
                  <w14:solidFill>
                    <w14:schemeClr w14:val="tx1"/>
                  </w14:solidFill>
                </w14:textFill>
              </w:rPr>
            </w:pPr>
            <w:r>
              <w:rPr>
                <w:rFonts w:ascii="Times New Roman" w:eastAsia="黑体"/>
                <w:snapToGrid w:val="0"/>
                <w:color w:val="000000" w:themeColor="text1"/>
                <w:spacing w:val="-6"/>
                <w:kern w:val="21"/>
                <w:szCs w:val="21"/>
                <w:highlight w:val="none"/>
                <w14:textFill>
                  <w14:solidFill>
                    <w14:schemeClr w14:val="tx1"/>
                  </w14:solidFill>
                </w14:textFill>
              </w:rPr>
              <w:t>变化量</w:t>
            </w:r>
          </w:p>
          <w:p w14:paraId="4B9525CF">
            <w:pPr>
              <w:pStyle w:val="23"/>
              <w:spacing w:beforeLines="0" w:afterLines="0" w:line="240" w:lineRule="auto"/>
              <w:ind w:firstLine="0" w:firstLineChars="0"/>
              <w:rPr>
                <w:rFonts w:ascii="Times New Roman" w:eastAsia="黑体"/>
                <w:snapToGrid w:val="0"/>
                <w:color w:val="000000" w:themeColor="text1"/>
                <w:spacing w:val="-6"/>
                <w:kern w:val="21"/>
                <w:szCs w:val="21"/>
                <w:highlight w:val="none"/>
                <w14:textFill>
                  <w14:solidFill>
                    <w14:schemeClr w14:val="tx1"/>
                  </w14:solidFill>
                </w14:textFill>
              </w:rPr>
            </w:pPr>
            <w:r>
              <w:rPr>
                <w:rFonts w:ascii="Times New Roman" w:eastAsia="黑体"/>
                <w:snapToGrid w:val="0"/>
                <w:color w:val="000000" w:themeColor="text1"/>
                <w:spacing w:val="-6"/>
                <w:kern w:val="21"/>
                <w:szCs w:val="21"/>
                <w:highlight w:val="none"/>
                <w14:textFill>
                  <w14:solidFill>
                    <w14:schemeClr w14:val="tx1"/>
                  </w14:solidFill>
                </w14:textFill>
              </w:rPr>
              <w:fldChar w:fldCharType="begin"/>
            </w:r>
            <w:r>
              <w:rPr>
                <w:rFonts w:ascii="Times New Roman" w:eastAsia="黑体"/>
                <w:snapToGrid w:val="0"/>
                <w:color w:val="000000" w:themeColor="text1"/>
                <w:spacing w:val="-6"/>
                <w:kern w:val="21"/>
                <w:szCs w:val="21"/>
                <w:highlight w:val="none"/>
                <w14:textFill>
                  <w14:solidFill>
                    <w14:schemeClr w14:val="tx1"/>
                  </w14:solidFill>
                </w14:textFill>
              </w:rPr>
              <w:instrText xml:space="preserve"> = 7 \* GB3 \* MERGEFORMAT </w:instrText>
            </w:r>
            <w:r>
              <w:rPr>
                <w:rFonts w:ascii="Times New Roman" w:eastAsia="黑体"/>
                <w:snapToGrid w:val="0"/>
                <w:color w:val="000000" w:themeColor="text1"/>
                <w:spacing w:val="-6"/>
                <w:kern w:val="21"/>
                <w:szCs w:val="21"/>
                <w:highlight w:val="none"/>
                <w14:textFill>
                  <w14:solidFill>
                    <w14:schemeClr w14:val="tx1"/>
                  </w14:solidFill>
                </w14:textFill>
              </w:rPr>
              <w:fldChar w:fldCharType="separate"/>
            </w:r>
            <w:r>
              <w:rPr>
                <w:rFonts w:ascii="Times New Roman" w:eastAsia="黑体"/>
                <w:color w:val="000000" w:themeColor="text1"/>
                <w:kern w:val="2"/>
                <w:szCs w:val="21"/>
                <w:highlight w:val="none"/>
                <w14:textFill>
                  <w14:solidFill>
                    <w14:schemeClr w14:val="tx1"/>
                  </w14:solidFill>
                </w14:textFill>
              </w:rPr>
              <w:t>⑦</w:t>
            </w:r>
            <w:r>
              <w:rPr>
                <w:rFonts w:ascii="Times New Roman" w:eastAsia="黑体"/>
                <w:snapToGrid w:val="0"/>
                <w:color w:val="000000" w:themeColor="text1"/>
                <w:spacing w:val="-6"/>
                <w:kern w:val="21"/>
                <w:szCs w:val="21"/>
                <w:highlight w:val="none"/>
                <w14:textFill>
                  <w14:solidFill>
                    <w14:schemeClr w14:val="tx1"/>
                  </w14:solidFill>
                </w14:textFill>
              </w:rPr>
              <w:fldChar w:fldCharType="end"/>
            </w:r>
          </w:p>
        </w:tc>
      </w:tr>
      <w:tr w14:paraId="11BD41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noWrap w:val="0"/>
            <w:vAlign w:val="center"/>
          </w:tcPr>
          <w:p w14:paraId="6C19A63E">
            <w:pPr>
              <w:pStyle w:val="23"/>
              <w:spacing w:beforeLines="0" w:afterLines="0" w:line="240" w:lineRule="auto"/>
              <w:ind w:firstLine="0" w:firstLineChars="0"/>
              <w:rPr>
                <w:rFonts w:ascii="Times New Roman"/>
                <w:snapToGrid w:val="0"/>
                <w:color w:val="000000" w:themeColor="text1"/>
                <w:kern w:val="21"/>
                <w:szCs w:val="21"/>
                <w:highlight w:val="none"/>
                <w14:textFill>
                  <w14:solidFill>
                    <w14:schemeClr w14:val="tx1"/>
                  </w14:solidFill>
                </w14:textFill>
              </w:rPr>
            </w:pPr>
            <w:r>
              <w:rPr>
                <w:rFonts w:ascii="Times New Roman"/>
                <w:snapToGrid w:val="0"/>
                <w:color w:val="000000" w:themeColor="text1"/>
                <w:kern w:val="21"/>
                <w:szCs w:val="21"/>
                <w:highlight w:val="none"/>
                <w14:textFill>
                  <w14:solidFill>
                    <w14:schemeClr w14:val="tx1"/>
                  </w14:solidFill>
                </w14:textFill>
              </w:rPr>
              <w:t>废气</w:t>
            </w:r>
          </w:p>
        </w:tc>
        <w:tc>
          <w:tcPr>
            <w:tcW w:w="1417" w:type="dxa"/>
            <w:noWrap w:val="0"/>
            <w:vAlign w:val="center"/>
          </w:tcPr>
          <w:p w14:paraId="791E3F48">
            <w:pPr>
              <w:pStyle w:val="23"/>
              <w:spacing w:beforeLines="0" w:afterLines="0" w:line="240" w:lineRule="auto"/>
              <w:ind w:firstLine="0" w:firstLineChars="0"/>
              <w:rPr>
                <w:rFonts w:hint="eastAsia" w:ascii="Times New Roman" w:hAnsi="Times New Roman" w:eastAsia="宋体" w:cs="Times New Roman"/>
                <w:snapToGrid w:val="0"/>
                <w:color w:val="000000" w:themeColor="text1"/>
                <w:kern w:val="21"/>
                <w:szCs w:val="21"/>
                <w:highlight w:val="none"/>
                <w14:textFill>
                  <w14:solidFill>
                    <w14:schemeClr w14:val="tx1"/>
                  </w14:solidFill>
                </w14:textFill>
              </w:rPr>
            </w:pPr>
            <w:r>
              <w:rPr>
                <w:rFonts w:hint="eastAsia" w:ascii="Times New Roman" w:hAnsi="Times New Roman" w:eastAsia="宋体" w:cs="Times New Roman"/>
                <w:snapToGrid w:val="0"/>
                <w:color w:val="000000" w:themeColor="text1"/>
                <w:kern w:val="21"/>
                <w:szCs w:val="21"/>
                <w:highlight w:val="none"/>
                <w14:textFill>
                  <w14:solidFill>
                    <w14:schemeClr w14:val="tx1"/>
                  </w14:solidFill>
                </w14:textFill>
              </w:rPr>
              <w:t>非甲烷总烃</w:t>
            </w:r>
          </w:p>
        </w:tc>
        <w:tc>
          <w:tcPr>
            <w:tcW w:w="1701" w:type="dxa"/>
            <w:noWrap w:val="0"/>
            <w:vAlign w:val="center"/>
          </w:tcPr>
          <w:p w14:paraId="019309DA">
            <w:pPr>
              <w:pStyle w:val="23"/>
              <w:spacing w:beforeLines="0" w:afterLines="0" w:line="240" w:lineRule="auto"/>
              <w:ind w:firstLine="0" w:firstLineChars="0"/>
              <w:rPr>
                <w:rFonts w:hint="eastAsia" w:ascii="Times New Roman" w:hAnsi="Times New Roman" w:eastAsia="宋体" w:cs="Times New Roman"/>
                <w:snapToGrid w:val="0"/>
                <w:color w:val="000000" w:themeColor="text1"/>
                <w:kern w:val="21"/>
                <w:szCs w:val="21"/>
                <w:highlight w:val="none"/>
                <w14:textFill>
                  <w14:solidFill>
                    <w14:schemeClr w14:val="tx1"/>
                  </w14:solidFill>
                </w14:textFill>
              </w:rPr>
            </w:pPr>
          </w:p>
        </w:tc>
        <w:tc>
          <w:tcPr>
            <w:tcW w:w="1276" w:type="dxa"/>
            <w:noWrap w:val="0"/>
            <w:vAlign w:val="center"/>
          </w:tcPr>
          <w:p w14:paraId="00999CDF">
            <w:pPr>
              <w:pStyle w:val="23"/>
              <w:spacing w:beforeLines="0" w:afterLines="0" w:line="240" w:lineRule="auto"/>
              <w:ind w:firstLine="0" w:firstLineChars="0"/>
              <w:rPr>
                <w:rFonts w:hint="eastAsia" w:ascii="Times New Roman" w:hAnsi="Times New Roman" w:eastAsia="宋体" w:cs="Times New Roman"/>
                <w:snapToGrid w:val="0"/>
                <w:color w:val="000000" w:themeColor="text1"/>
                <w:kern w:val="21"/>
                <w:szCs w:val="21"/>
                <w:highlight w:val="none"/>
                <w14:textFill>
                  <w14:solidFill>
                    <w14:schemeClr w14:val="tx1"/>
                  </w14:solidFill>
                </w14:textFill>
              </w:rPr>
            </w:pPr>
          </w:p>
        </w:tc>
        <w:tc>
          <w:tcPr>
            <w:tcW w:w="1701" w:type="dxa"/>
            <w:noWrap w:val="0"/>
            <w:vAlign w:val="center"/>
          </w:tcPr>
          <w:p w14:paraId="02105F29">
            <w:pPr>
              <w:pStyle w:val="23"/>
              <w:spacing w:beforeLines="0" w:afterLines="0" w:line="240" w:lineRule="auto"/>
              <w:ind w:firstLine="0" w:firstLineChars="0"/>
              <w:rPr>
                <w:rFonts w:hint="eastAsia" w:ascii="Times New Roman" w:hAnsi="Times New Roman" w:eastAsia="宋体" w:cs="Times New Roman"/>
                <w:snapToGrid w:val="0"/>
                <w:color w:val="000000" w:themeColor="text1"/>
                <w:kern w:val="21"/>
                <w:szCs w:val="21"/>
                <w:highlight w:val="none"/>
                <w14:textFill>
                  <w14:solidFill>
                    <w14:schemeClr w14:val="tx1"/>
                  </w14:solidFill>
                </w14:textFill>
              </w:rPr>
            </w:pPr>
          </w:p>
        </w:tc>
        <w:tc>
          <w:tcPr>
            <w:tcW w:w="1559" w:type="dxa"/>
            <w:noWrap w:val="0"/>
            <w:vAlign w:val="center"/>
          </w:tcPr>
          <w:p w14:paraId="41F20930">
            <w:pPr>
              <w:pStyle w:val="23"/>
              <w:spacing w:beforeLines="0" w:afterLines="0" w:line="240" w:lineRule="auto"/>
              <w:ind w:firstLine="0" w:firstLineChars="0"/>
              <w:rPr>
                <w:rFonts w:hint="eastAsia" w:ascii="Times New Roman" w:hAnsi="Times New Roman" w:eastAsia="宋体" w:cs="Times New Roman"/>
                <w:snapToGrid w:val="0"/>
                <w:color w:val="000000" w:themeColor="text1"/>
                <w:kern w:val="21"/>
                <w:szCs w:val="21"/>
                <w:highlight w:val="none"/>
                <w14:textFill>
                  <w14:solidFill>
                    <w14:schemeClr w14:val="tx1"/>
                  </w14:solidFill>
                </w14:textFill>
              </w:rPr>
            </w:pPr>
            <w:r>
              <w:rPr>
                <w:rFonts w:hint="eastAsia" w:ascii="Times New Roman" w:hAnsi="Times New Roman" w:eastAsia="宋体" w:cs="Times New Roman"/>
                <w:snapToGrid w:val="0"/>
                <w:color w:val="000000" w:themeColor="text1"/>
                <w:kern w:val="21"/>
                <w:szCs w:val="21"/>
                <w:highlight w:val="none"/>
                <w:lang w:eastAsia="zh-CN"/>
                <w14:textFill>
                  <w14:solidFill>
                    <w14:schemeClr w14:val="tx1"/>
                  </w14:solidFill>
                </w14:textFill>
              </w:rPr>
              <w:t>0.0007</w:t>
            </w:r>
            <w:r>
              <w:rPr>
                <w:rFonts w:hint="eastAsia"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t>t</w:t>
            </w:r>
            <w:r>
              <w:rPr>
                <w:rFonts w:hint="eastAsia" w:ascii="Times New Roman" w:hAnsi="Times New Roman" w:eastAsia="宋体" w:cs="Times New Roman"/>
                <w:snapToGrid w:val="0"/>
                <w:color w:val="000000" w:themeColor="text1"/>
                <w:kern w:val="21"/>
                <w:szCs w:val="21"/>
                <w:highlight w:val="none"/>
                <w14:textFill>
                  <w14:solidFill>
                    <w14:schemeClr w14:val="tx1"/>
                  </w14:solidFill>
                </w14:textFill>
              </w:rPr>
              <w:t>/a</w:t>
            </w:r>
          </w:p>
        </w:tc>
        <w:tc>
          <w:tcPr>
            <w:tcW w:w="1761" w:type="dxa"/>
            <w:noWrap w:val="0"/>
            <w:vAlign w:val="center"/>
          </w:tcPr>
          <w:p w14:paraId="316B2957">
            <w:pPr>
              <w:pStyle w:val="23"/>
              <w:spacing w:beforeLines="0" w:afterLines="0" w:line="240" w:lineRule="auto"/>
              <w:ind w:firstLine="0" w:firstLineChars="0"/>
              <w:rPr>
                <w:rFonts w:hint="eastAsia" w:ascii="Times New Roman" w:hAnsi="Times New Roman" w:eastAsia="宋体" w:cs="Times New Roman"/>
                <w:snapToGrid w:val="0"/>
                <w:color w:val="000000" w:themeColor="text1"/>
                <w:kern w:val="21"/>
                <w:szCs w:val="21"/>
                <w:highlight w:val="none"/>
                <w14:textFill>
                  <w14:solidFill>
                    <w14:schemeClr w14:val="tx1"/>
                  </w14:solidFill>
                </w14:textFill>
              </w:rPr>
            </w:pPr>
          </w:p>
        </w:tc>
        <w:tc>
          <w:tcPr>
            <w:tcW w:w="1868" w:type="dxa"/>
            <w:noWrap w:val="0"/>
            <w:vAlign w:val="center"/>
          </w:tcPr>
          <w:p w14:paraId="72D87E01">
            <w:pPr>
              <w:pStyle w:val="23"/>
              <w:spacing w:beforeLines="0" w:afterLines="0" w:line="240" w:lineRule="auto"/>
              <w:ind w:firstLine="0" w:firstLineChars="0"/>
              <w:rPr>
                <w:rFonts w:hint="eastAsia" w:ascii="Times New Roman" w:hAnsi="Times New Roman" w:eastAsia="宋体" w:cs="Times New Roman"/>
                <w:snapToGrid w:val="0"/>
                <w:color w:val="000000" w:themeColor="text1"/>
                <w:kern w:val="21"/>
                <w:szCs w:val="21"/>
                <w:highlight w:val="none"/>
                <w14:textFill>
                  <w14:solidFill>
                    <w14:schemeClr w14:val="tx1"/>
                  </w14:solidFill>
                </w14:textFill>
              </w:rPr>
            </w:pPr>
            <w:r>
              <w:rPr>
                <w:rFonts w:hint="eastAsia" w:ascii="Times New Roman" w:hAnsi="Times New Roman" w:eastAsia="宋体" w:cs="Times New Roman"/>
                <w:snapToGrid w:val="0"/>
                <w:color w:val="000000" w:themeColor="text1"/>
                <w:kern w:val="21"/>
                <w:szCs w:val="21"/>
                <w:highlight w:val="none"/>
                <w:lang w:eastAsia="zh-CN"/>
                <w14:textFill>
                  <w14:solidFill>
                    <w14:schemeClr w14:val="tx1"/>
                  </w14:solidFill>
                </w14:textFill>
              </w:rPr>
              <w:t>0.0007</w:t>
            </w:r>
            <w:r>
              <w:rPr>
                <w:rFonts w:hint="eastAsia"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t>t</w:t>
            </w:r>
            <w:r>
              <w:rPr>
                <w:rFonts w:hint="eastAsia" w:ascii="Times New Roman" w:hAnsi="Times New Roman" w:eastAsia="宋体" w:cs="Times New Roman"/>
                <w:snapToGrid w:val="0"/>
                <w:color w:val="000000" w:themeColor="text1"/>
                <w:kern w:val="21"/>
                <w:szCs w:val="21"/>
                <w:highlight w:val="none"/>
                <w14:textFill>
                  <w14:solidFill>
                    <w14:schemeClr w14:val="tx1"/>
                  </w14:solidFill>
                </w14:textFill>
              </w:rPr>
              <w:t>/a</w:t>
            </w:r>
          </w:p>
        </w:tc>
        <w:tc>
          <w:tcPr>
            <w:tcW w:w="917" w:type="dxa"/>
            <w:noWrap w:val="0"/>
            <w:vAlign w:val="center"/>
          </w:tcPr>
          <w:p w14:paraId="08926AA8">
            <w:pPr>
              <w:pStyle w:val="23"/>
              <w:spacing w:beforeLines="0" w:afterLines="0" w:line="240" w:lineRule="auto"/>
              <w:ind w:firstLine="0" w:firstLineChars="0"/>
              <w:rPr>
                <w:rFonts w:hint="eastAsia" w:ascii="Times New Roman" w:hAnsi="Times New Roman" w:eastAsia="宋体" w:cs="Times New Roman"/>
                <w:snapToGrid w:val="0"/>
                <w:color w:val="000000" w:themeColor="text1"/>
                <w:kern w:val="21"/>
                <w:szCs w:val="21"/>
                <w:highlight w:val="none"/>
                <w14:textFill>
                  <w14:solidFill>
                    <w14:schemeClr w14:val="tx1"/>
                  </w14:solidFill>
                </w14:textFill>
              </w:rPr>
            </w:pPr>
            <w:r>
              <w:rPr>
                <w:rFonts w:hint="eastAsia" w:ascii="Times New Roman" w:hAnsi="Times New Roman" w:eastAsia="宋体" w:cs="Times New Roman"/>
                <w:snapToGrid w:val="0"/>
                <w:color w:val="000000" w:themeColor="text1"/>
                <w:kern w:val="21"/>
                <w:szCs w:val="21"/>
                <w:highlight w:val="none"/>
                <w:lang w:eastAsia="zh-CN"/>
                <w14:textFill>
                  <w14:solidFill>
                    <w14:schemeClr w14:val="tx1"/>
                  </w14:solidFill>
                </w14:textFill>
              </w:rPr>
              <w:t>0.0007</w:t>
            </w:r>
            <w:r>
              <w:rPr>
                <w:rFonts w:hint="eastAsia"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t>t</w:t>
            </w:r>
            <w:r>
              <w:rPr>
                <w:rFonts w:hint="eastAsia" w:ascii="Times New Roman" w:hAnsi="Times New Roman" w:eastAsia="宋体" w:cs="Times New Roman"/>
                <w:snapToGrid w:val="0"/>
                <w:color w:val="000000" w:themeColor="text1"/>
                <w:kern w:val="21"/>
                <w:szCs w:val="21"/>
                <w:highlight w:val="none"/>
                <w14:textFill>
                  <w14:solidFill>
                    <w14:schemeClr w14:val="tx1"/>
                  </w14:solidFill>
                </w14:textFill>
              </w:rPr>
              <w:t>/a</w:t>
            </w:r>
          </w:p>
        </w:tc>
      </w:tr>
      <w:tr w14:paraId="46CE63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noWrap w:val="0"/>
            <w:vAlign w:val="center"/>
          </w:tcPr>
          <w:p w14:paraId="637E5D8A">
            <w:pPr>
              <w:pStyle w:val="23"/>
              <w:spacing w:beforeLines="0" w:afterLines="0" w:line="240" w:lineRule="auto"/>
              <w:ind w:firstLine="0" w:firstLineChars="0"/>
              <w:rPr>
                <w:rFonts w:ascii="Times New Roman"/>
                <w:snapToGrid w:val="0"/>
                <w:color w:val="000000" w:themeColor="text1"/>
                <w:kern w:val="21"/>
                <w:szCs w:val="21"/>
                <w:highlight w:val="none"/>
                <w14:textFill>
                  <w14:solidFill>
                    <w14:schemeClr w14:val="tx1"/>
                  </w14:solidFill>
                </w14:textFill>
              </w:rPr>
            </w:pPr>
            <w:r>
              <w:rPr>
                <w:rFonts w:ascii="Times New Roman"/>
                <w:snapToGrid w:val="0"/>
                <w:color w:val="000000" w:themeColor="text1"/>
                <w:kern w:val="21"/>
                <w:szCs w:val="21"/>
                <w:highlight w:val="none"/>
                <w14:textFill>
                  <w14:solidFill>
                    <w14:schemeClr w14:val="tx1"/>
                  </w14:solidFill>
                </w14:textFill>
              </w:rPr>
              <w:t>废水</w:t>
            </w:r>
          </w:p>
        </w:tc>
        <w:tc>
          <w:tcPr>
            <w:tcW w:w="1417" w:type="dxa"/>
            <w:noWrap w:val="0"/>
            <w:vAlign w:val="center"/>
          </w:tcPr>
          <w:p w14:paraId="06CD6B0E">
            <w:pPr>
              <w:pStyle w:val="23"/>
              <w:spacing w:beforeLines="0" w:afterLines="0" w:line="240" w:lineRule="auto"/>
              <w:ind w:firstLine="0" w:firstLineChars="0"/>
              <w:rPr>
                <w:rFonts w:hint="eastAsia"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t>/</w:t>
            </w:r>
          </w:p>
        </w:tc>
        <w:tc>
          <w:tcPr>
            <w:tcW w:w="1701" w:type="dxa"/>
            <w:noWrap w:val="0"/>
            <w:vAlign w:val="center"/>
          </w:tcPr>
          <w:p w14:paraId="20A4AC11">
            <w:pPr>
              <w:pStyle w:val="23"/>
              <w:spacing w:beforeLines="0" w:afterLines="0" w:line="240" w:lineRule="auto"/>
              <w:ind w:firstLine="0" w:firstLineChars="0"/>
              <w:rPr>
                <w:rFonts w:hint="eastAsia" w:ascii="Times New Roman" w:hAnsi="Times New Roman" w:eastAsia="宋体" w:cs="Times New Roman"/>
                <w:snapToGrid w:val="0"/>
                <w:color w:val="000000" w:themeColor="text1"/>
                <w:kern w:val="21"/>
                <w:szCs w:val="21"/>
                <w:highlight w:val="none"/>
                <w14:textFill>
                  <w14:solidFill>
                    <w14:schemeClr w14:val="tx1"/>
                  </w14:solidFill>
                </w14:textFill>
              </w:rPr>
            </w:pPr>
          </w:p>
        </w:tc>
        <w:tc>
          <w:tcPr>
            <w:tcW w:w="1276" w:type="dxa"/>
            <w:noWrap w:val="0"/>
            <w:vAlign w:val="center"/>
          </w:tcPr>
          <w:p w14:paraId="558EC878">
            <w:pPr>
              <w:pStyle w:val="23"/>
              <w:spacing w:beforeLines="0" w:afterLines="0" w:line="240" w:lineRule="auto"/>
              <w:ind w:firstLine="0" w:firstLineChars="0"/>
              <w:rPr>
                <w:rFonts w:hint="eastAsia" w:ascii="Times New Roman" w:hAnsi="Times New Roman" w:eastAsia="宋体" w:cs="Times New Roman"/>
                <w:snapToGrid w:val="0"/>
                <w:color w:val="000000" w:themeColor="text1"/>
                <w:kern w:val="21"/>
                <w:szCs w:val="21"/>
                <w:highlight w:val="none"/>
                <w14:textFill>
                  <w14:solidFill>
                    <w14:schemeClr w14:val="tx1"/>
                  </w14:solidFill>
                </w14:textFill>
              </w:rPr>
            </w:pPr>
          </w:p>
        </w:tc>
        <w:tc>
          <w:tcPr>
            <w:tcW w:w="1701" w:type="dxa"/>
            <w:noWrap w:val="0"/>
            <w:vAlign w:val="center"/>
          </w:tcPr>
          <w:p w14:paraId="0EB3EDDB">
            <w:pPr>
              <w:pStyle w:val="23"/>
              <w:spacing w:beforeLines="0" w:afterLines="0" w:line="240" w:lineRule="auto"/>
              <w:ind w:firstLine="0" w:firstLineChars="0"/>
              <w:rPr>
                <w:rFonts w:hint="eastAsia" w:ascii="Times New Roman" w:hAnsi="Times New Roman" w:eastAsia="宋体" w:cs="Times New Roman"/>
                <w:snapToGrid w:val="0"/>
                <w:color w:val="000000" w:themeColor="text1"/>
                <w:kern w:val="21"/>
                <w:szCs w:val="21"/>
                <w:highlight w:val="none"/>
                <w14:textFill>
                  <w14:solidFill>
                    <w14:schemeClr w14:val="tx1"/>
                  </w14:solidFill>
                </w14:textFill>
              </w:rPr>
            </w:pPr>
          </w:p>
        </w:tc>
        <w:tc>
          <w:tcPr>
            <w:tcW w:w="1559" w:type="dxa"/>
            <w:noWrap w:val="0"/>
            <w:vAlign w:val="center"/>
          </w:tcPr>
          <w:p w14:paraId="2B729A88">
            <w:pPr>
              <w:pStyle w:val="23"/>
              <w:spacing w:beforeLines="0" w:afterLines="0" w:line="240" w:lineRule="auto"/>
              <w:ind w:firstLine="0" w:firstLineChars="0"/>
              <w:rPr>
                <w:rFonts w:hint="eastAsia"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t>/</w:t>
            </w:r>
          </w:p>
        </w:tc>
        <w:tc>
          <w:tcPr>
            <w:tcW w:w="1761" w:type="dxa"/>
            <w:noWrap w:val="0"/>
            <w:vAlign w:val="center"/>
          </w:tcPr>
          <w:p w14:paraId="2E67711E">
            <w:pPr>
              <w:pStyle w:val="23"/>
              <w:spacing w:beforeLines="0" w:afterLines="0" w:line="240" w:lineRule="auto"/>
              <w:ind w:firstLine="0" w:firstLineChars="0"/>
              <w:rPr>
                <w:rFonts w:hint="eastAsia" w:ascii="Times New Roman" w:hAnsi="Times New Roman" w:eastAsia="宋体" w:cs="Times New Roman"/>
                <w:snapToGrid w:val="0"/>
                <w:color w:val="000000" w:themeColor="text1"/>
                <w:kern w:val="21"/>
                <w:szCs w:val="21"/>
                <w:highlight w:val="none"/>
                <w14:textFill>
                  <w14:solidFill>
                    <w14:schemeClr w14:val="tx1"/>
                  </w14:solidFill>
                </w14:textFill>
              </w:rPr>
            </w:pPr>
          </w:p>
        </w:tc>
        <w:tc>
          <w:tcPr>
            <w:tcW w:w="1868" w:type="dxa"/>
            <w:noWrap w:val="0"/>
            <w:vAlign w:val="center"/>
          </w:tcPr>
          <w:p w14:paraId="30517C45">
            <w:pPr>
              <w:pStyle w:val="23"/>
              <w:spacing w:beforeLines="0" w:afterLines="0" w:line="240" w:lineRule="auto"/>
              <w:ind w:firstLine="0" w:firstLineChars="0"/>
              <w:rPr>
                <w:rFonts w:hint="eastAsia"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t>/</w:t>
            </w:r>
          </w:p>
        </w:tc>
        <w:tc>
          <w:tcPr>
            <w:tcW w:w="917" w:type="dxa"/>
            <w:noWrap w:val="0"/>
            <w:vAlign w:val="center"/>
          </w:tcPr>
          <w:p w14:paraId="0B7B4B60">
            <w:pPr>
              <w:pStyle w:val="23"/>
              <w:spacing w:beforeLines="0" w:afterLines="0" w:line="240" w:lineRule="auto"/>
              <w:ind w:firstLine="0" w:firstLineChars="0"/>
              <w:rPr>
                <w:rFonts w:hint="eastAsia"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t>/</w:t>
            </w:r>
          </w:p>
        </w:tc>
      </w:tr>
      <w:tr w14:paraId="67C5C3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noWrap w:val="0"/>
            <w:vAlign w:val="center"/>
          </w:tcPr>
          <w:p w14:paraId="2C4E413D">
            <w:pPr>
              <w:pStyle w:val="23"/>
              <w:spacing w:beforeLines="0" w:afterLines="0" w:line="240" w:lineRule="auto"/>
              <w:ind w:firstLine="0" w:firstLineChars="0"/>
              <w:rPr>
                <w:rFonts w:ascii="Times New Roman"/>
                <w:snapToGrid w:val="0"/>
                <w:color w:val="000000" w:themeColor="text1"/>
                <w:kern w:val="21"/>
                <w:szCs w:val="21"/>
                <w:highlight w:val="none"/>
                <w14:textFill>
                  <w14:solidFill>
                    <w14:schemeClr w14:val="tx1"/>
                  </w14:solidFill>
                </w14:textFill>
              </w:rPr>
            </w:pPr>
            <w:r>
              <w:rPr>
                <w:rFonts w:ascii="Times New Roman"/>
                <w:snapToGrid w:val="0"/>
                <w:color w:val="000000" w:themeColor="text1"/>
                <w:kern w:val="21"/>
                <w:szCs w:val="21"/>
                <w:highlight w:val="none"/>
                <w14:textFill>
                  <w14:solidFill>
                    <w14:schemeClr w14:val="tx1"/>
                  </w14:solidFill>
                </w14:textFill>
              </w:rPr>
              <w:t>一般工业</w:t>
            </w:r>
          </w:p>
          <w:p w14:paraId="2A6D2E3A">
            <w:pPr>
              <w:pStyle w:val="23"/>
              <w:spacing w:beforeLines="0" w:afterLines="0" w:line="240" w:lineRule="auto"/>
              <w:ind w:firstLine="0" w:firstLineChars="0"/>
              <w:rPr>
                <w:rFonts w:ascii="Times New Roman"/>
                <w:snapToGrid w:val="0"/>
                <w:color w:val="000000" w:themeColor="text1"/>
                <w:kern w:val="21"/>
                <w:szCs w:val="21"/>
                <w:highlight w:val="none"/>
                <w14:textFill>
                  <w14:solidFill>
                    <w14:schemeClr w14:val="tx1"/>
                  </w14:solidFill>
                </w14:textFill>
              </w:rPr>
            </w:pPr>
            <w:r>
              <w:rPr>
                <w:rFonts w:ascii="Times New Roman"/>
                <w:snapToGrid w:val="0"/>
                <w:color w:val="000000" w:themeColor="text1"/>
                <w:kern w:val="21"/>
                <w:szCs w:val="21"/>
                <w:highlight w:val="none"/>
                <w14:textFill>
                  <w14:solidFill>
                    <w14:schemeClr w14:val="tx1"/>
                  </w14:solidFill>
                </w14:textFill>
              </w:rPr>
              <w:t>固体废物</w:t>
            </w:r>
          </w:p>
        </w:tc>
        <w:tc>
          <w:tcPr>
            <w:tcW w:w="1417" w:type="dxa"/>
            <w:shd w:val="clear" w:color="auto" w:fill="auto"/>
            <w:noWrap w:val="0"/>
            <w:vAlign w:val="center"/>
          </w:tcPr>
          <w:p w14:paraId="4F1448DD">
            <w:pPr>
              <w:pStyle w:val="23"/>
              <w:spacing w:beforeLines="0" w:afterLines="0" w:line="240" w:lineRule="auto"/>
              <w:ind w:firstLine="0" w:firstLineChars="0"/>
              <w:rPr>
                <w:rFonts w:hint="eastAsia"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p>
        </w:tc>
        <w:tc>
          <w:tcPr>
            <w:tcW w:w="1701" w:type="dxa"/>
            <w:shd w:val="clear" w:color="auto" w:fill="auto"/>
            <w:noWrap w:val="0"/>
            <w:vAlign w:val="center"/>
          </w:tcPr>
          <w:p w14:paraId="6DFC6E8B">
            <w:pPr>
              <w:pStyle w:val="23"/>
              <w:spacing w:beforeLines="0" w:afterLines="0" w:line="240" w:lineRule="auto"/>
              <w:ind w:firstLine="0" w:firstLineChars="0"/>
              <w:rPr>
                <w:rFonts w:hint="eastAsia"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p>
        </w:tc>
        <w:tc>
          <w:tcPr>
            <w:tcW w:w="1276" w:type="dxa"/>
            <w:shd w:val="clear" w:color="auto" w:fill="auto"/>
            <w:noWrap w:val="0"/>
            <w:vAlign w:val="center"/>
          </w:tcPr>
          <w:p w14:paraId="79D84301">
            <w:pPr>
              <w:pStyle w:val="23"/>
              <w:spacing w:beforeLines="0" w:afterLines="0" w:line="240" w:lineRule="auto"/>
              <w:ind w:firstLine="0" w:firstLineChars="0"/>
              <w:rPr>
                <w:rFonts w:hint="eastAsia"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p>
        </w:tc>
        <w:tc>
          <w:tcPr>
            <w:tcW w:w="1701" w:type="dxa"/>
            <w:shd w:val="clear" w:color="auto" w:fill="auto"/>
            <w:noWrap w:val="0"/>
            <w:vAlign w:val="center"/>
          </w:tcPr>
          <w:p w14:paraId="5C7CD0CB">
            <w:pPr>
              <w:pStyle w:val="23"/>
              <w:spacing w:beforeLines="0" w:afterLines="0" w:line="240" w:lineRule="auto"/>
              <w:ind w:firstLine="0" w:firstLineChars="0"/>
              <w:rPr>
                <w:rFonts w:hint="eastAsia"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p>
        </w:tc>
        <w:tc>
          <w:tcPr>
            <w:tcW w:w="1559" w:type="dxa"/>
            <w:shd w:val="clear" w:color="auto" w:fill="auto"/>
            <w:noWrap w:val="0"/>
            <w:vAlign w:val="center"/>
          </w:tcPr>
          <w:p w14:paraId="2A095D81">
            <w:pPr>
              <w:pStyle w:val="23"/>
              <w:spacing w:beforeLines="0" w:afterLines="0" w:line="240" w:lineRule="auto"/>
              <w:ind w:firstLine="0" w:firstLineChars="0"/>
              <w:rPr>
                <w:rFonts w:hint="eastAsia"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p>
        </w:tc>
        <w:tc>
          <w:tcPr>
            <w:tcW w:w="1761" w:type="dxa"/>
            <w:shd w:val="clear" w:color="auto" w:fill="auto"/>
            <w:noWrap w:val="0"/>
            <w:vAlign w:val="center"/>
          </w:tcPr>
          <w:p w14:paraId="17018B49">
            <w:pPr>
              <w:pStyle w:val="23"/>
              <w:spacing w:beforeLines="0" w:afterLines="0" w:line="240" w:lineRule="auto"/>
              <w:ind w:firstLine="0" w:firstLineChars="0"/>
              <w:rPr>
                <w:rFonts w:hint="eastAsia"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p>
        </w:tc>
        <w:tc>
          <w:tcPr>
            <w:tcW w:w="1868" w:type="dxa"/>
            <w:shd w:val="clear" w:color="auto" w:fill="auto"/>
            <w:noWrap w:val="0"/>
            <w:vAlign w:val="center"/>
          </w:tcPr>
          <w:p w14:paraId="6CC9A65A">
            <w:pPr>
              <w:pStyle w:val="23"/>
              <w:spacing w:beforeLines="0" w:afterLines="0" w:line="240" w:lineRule="auto"/>
              <w:ind w:firstLine="0" w:firstLineChars="0"/>
              <w:rPr>
                <w:rFonts w:hint="eastAsia"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p>
        </w:tc>
        <w:tc>
          <w:tcPr>
            <w:tcW w:w="917" w:type="dxa"/>
            <w:shd w:val="clear" w:color="auto" w:fill="auto"/>
            <w:noWrap w:val="0"/>
            <w:vAlign w:val="center"/>
          </w:tcPr>
          <w:p w14:paraId="2DFF8ECA">
            <w:pPr>
              <w:pStyle w:val="23"/>
              <w:spacing w:beforeLines="0" w:afterLines="0" w:line="240" w:lineRule="auto"/>
              <w:ind w:firstLine="0" w:firstLineChars="0"/>
              <w:rPr>
                <w:rFonts w:hint="eastAsia"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p>
        </w:tc>
      </w:tr>
      <w:tr w14:paraId="260C2F0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386E5AD6">
            <w:pPr>
              <w:pStyle w:val="23"/>
              <w:spacing w:beforeLines="0" w:afterLines="0" w:line="240" w:lineRule="auto"/>
              <w:ind w:firstLine="0" w:firstLineChars="0"/>
              <w:rPr>
                <w:rFonts w:ascii="Times New Roman"/>
                <w:snapToGrid w:val="0"/>
                <w:color w:val="000000" w:themeColor="text1"/>
                <w:kern w:val="21"/>
                <w:szCs w:val="21"/>
                <w:highlight w:val="none"/>
                <w14:textFill>
                  <w14:solidFill>
                    <w14:schemeClr w14:val="tx1"/>
                  </w14:solidFill>
                </w14:textFill>
              </w:rPr>
            </w:pPr>
          </w:p>
        </w:tc>
        <w:tc>
          <w:tcPr>
            <w:tcW w:w="1417" w:type="dxa"/>
            <w:noWrap w:val="0"/>
            <w:vAlign w:val="center"/>
          </w:tcPr>
          <w:p w14:paraId="09FB2A29">
            <w:pPr>
              <w:pStyle w:val="23"/>
              <w:spacing w:beforeLines="0" w:afterLines="0" w:line="240" w:lineRule="auto"/>
              <w:ind w:firstLine="0" w:firstLineChars="0"/>
              <w:rPr>
                <w:rFonts w:hint="eastAsia" w:ascii="Times New Roman" w:hAnsi="Times New Roman" w:eastAsia="宋体" w:cs="Times New Roman"/>
                <w:snapToGrid w:val="0"/>
                <w:color w:val="000000" w:themeColor="text1"/>
                <w:kern w:val="21"/>
                <w:szCs w:val="21"/>
                <w:highlight w:val="none"/>
                <w14:textFill>
                  <w14:solidFill>
                    <w14:schemeClr w14:val="tx1"/>
                  </w14:solidFill>
                </w14:textFill>
              </w:rPr>
            </w:pPr>
          </w:p>
        </w:tc>
        <w:tc>
          <w:tcPr>
            <w:tcW w:w="1701" w:type="dxa"/>
            <w:noWrap w:val="0"/>
            <w:vAlign w:val="center"/>
          </w:tcPr>
          <w:p w14:paraId="666A125C">
            <w:pPr>
              <w:pStyle w:val="23"/>
              <w:spacing w:beforeLines="0" w:afterLines="0" w:line="240" w:lineRule="auto"/>
              <w:ind w:firstLine="0" w:firstLineChars="0"/>
              <w:rPr>
                <w:rFonts w:hint="eastAsia" w:ascii="Times New Roman" w:hAnsi="Times New Roman" w:eastAsia="宋体" w:cs="Times New Roman"/>
                <w:snapToGrid w:val="0"/>
                <w:color w:val="000000" w:themeColor="text1"/>
                <w:kern w:val="21"/>
                <w:szCs w:val="21"/>
                <w:highlight w:val="none"/>
                <w14:textFill>
                  <w14:solidFill>
                    <w14:schemeClr w14:val="tx1"/>
                  </w14:solidFill>
                </w14:textFill>
              </w:rPr>
            </w:pPr>
          </w:p>
        </w:tc>
        <w:tc>
          <w:tcPr>
            <w:tcW w:w="1276" w:type="dxa"/>
            <w:noWrap w:val="0"/>
            <w:vAlign w:val="center"/>
          </w:tcPr>
          <w:p w14:paraId="1BFCAD01">
            <w:pPr>
              <w:pStyle w:val="23"/>
              <w:spacing w:beforeLines="0" w:afterLines="0" w:line="240" w:lineRule="auto"/>
              <w:ind w:firstLine="0" w:firstLineChars="0"/>
              <w:rPr>
                <w:rFonts w:hint="eastAsia" w:ascii="Times New Roman" w:hAnsi="Times New Roman" w:eastAsia="宋体" w:cs="Times New Roman"/>
                <w:snapToGrid w:val="0"/>
                <w:color w:val="000000" w:themeColor="text1"/>
                <w:kern w:val="21"/>
                <w:szCs w:val="21"/>
                <w:highlight w:val="none"/>
                <w14:textFill>
                  <w14:solidFill>
                    <w14:schemeClr w14:val="tx1"/>
                  </w14:solidFill>
                </w14:textFill>
              </w:rPr>
            </w:pPr>
          </w:p>
        </w:tc>
        <w:tc>
          <w:tcPr>
            <w:tcW w:w="1701" w:type="dxa"/>
            <w:noWrap w:val="0"/>
            <w:vAlign w:val="center"/>
          </w:tcPr>
          <w:p w14:paraId="052BBEE0">
            <w:pPr>
              <w:pStyle w:val="23"/>
              <w:spacing w:beforeLines="0" w:afterLines="0" w:line="240" w:lineRule="auto"/>
              <w:ind w:firstLine="0" w:firstLineChars="0"/>
              <w:rPr>
                <w:rFonts w:hint="eastAsia" w:ascii="Times New Roman" w:hAnsi="Times New Roman" w:eastAsia="宋体" w:cs="Times New Roman"/>
                <w:snapToGrid w:val="0"/>
                <w:color w:val="000000" w:themeColor="text1"/>
                <w:kern w:val="21"/>
                <w:szCs w:val="21"/>
                <w:highlight w:val="none"/>
                <w14:textFill>
                  <w14:solidFill>
                    <w14:schemeClr w14:val="tx1"/>
                  </w14:solidFill>
                </w14:textFill>
              </w:rPr>
            </w:pPr>
          </w:p>
        </w:tc>
        <w:tc>
          <w:tcPr>
            <w:tcW w:w="1559" w:type="dxa"/>
            <w:noWrap w:val="0"/>
            <w:vAlign w:val="center"/>
          </w:tcPr>
          <w:p w14:paraId="0C3D061D">
            <w:pPr>
              <w:pStyle w:val="23"/>
              <w:spacing w:beforeLines="0" w:afterLines="0" w:line="240" w:lineRule="auto"/>
              <w:ind w:firstLine="0" w:firstLineChars="0"/>
              <w:rPr>
                <w:rFonts w:hint="eastAsia" w:ascii="Times New Roman" w:hAnsi="Times New Roman" w:eastAsia="宋体" w:cs="Times New Roman"/>
                <w:snapToGrid w:val="0"/>
                <w:color w:val="000000" w:themeColor="text1"/>
                <w:kern w:val="21"/>
                <w:szCs w:val="21"/>
                <w:highlight w:val="none"/>
                <w14:textFill>
                  <w14:solidFill>
                    <w14:schemeClr w14:val="tx1"/>
                  </w14:solidFill>
                </w14:textFill>
              </w:rPr>
            </w:pPr>
          </w:p>
        </w:tc>
        <w:tc>
          <w:tcPr>
            <w:tcW w:w="1761" w:type="dxa"/>
            <w:noWrap w:val="0"/>
            <w:vAlign w:val="center"/>
          </w:tcPr>
          <w:p w14:paraId="4F24482A">
            <w:pPr>
              <w:pStyle w:val="23"/>
              <w:spacing w:beforeLines="0" w:afterLines="0" w:line="240" w:lineRule="auto"/>
              <w:ind w:firstLine="0" w:firstLineChars="0"/>
              <w:rPr>
                <w:rFonts w:hint="eastAsia" w:ascii="Times New Roman" w:hAnsi="Times New Roman" w:eastAsia="宋体" w:cs="Times New Roman"/>
                <w:snapToGrid w:val="0"/>
                <w:color w:val="000000" w:themeColor="text1"/>
                <w:kern w:val="21"/>
                <w:szCs w:val="21"/>
                <w:highlight w:val="none"/>
                <w14:textFill>
                  <w14:solidFill>
                    <w14:schemeClr w14:val="tx1"/>
                  </w14:solidFill>
                </w14:textFill>
              </w:rPr>
            </w:pPr>
          </w:p>
        </w:tc>
        <w:tc>
          <w:tcPr>
            <w:tcW w:w="1868" w:type="dxa"/>
            <w:noWrap w:val="0"/>
            <w:vAlign w:val="center"/>
          </w:tcPr>
          <w:p w14:paraId="3564B84D">
            <w:pPr>
              <w:pStyle w:val="23"/>
              <w:spacing w:beforeLines="0" w:afterLines="0" w:line="240" w:lineRule="auto"/>
              <w:ind w:firstLine="0" w:firstLineChars="0"/>
              <w:rPr>
                <w:rFonts w:hint="eastAsia" w:ascii="Times New Roman" w:hAnsi="Times New Roman" w:eastAsia="宋体" w:cs="Times New Roman"/>
                <w:snapToGrid w:val="0"/>
                <w:color w:val="000000" w:themeColor="text1"/>
                <w:kern w:val="21"/>
                <w:szCs w:val="21"/>
                <w:highlight w:val="none"/>
                <w14:textFill>
                  <w14:solidFill>
                    <w14:schemeClr w14:val="tx1"/>
                  </w14:solidFill>
                </w14:textFill>
              </w:rPr>
            </w:pPr>
          </w:p>
        </w:tc>
        <w:tc>
          <w:tcPr>
            <w:tcW w:w="917" w:type="dxa"/>
            <w:noWrap w:val="0"/>
            <w:vAlign w:val="center"/>
          </w:tcPr>
          <w:p w14:paraId="42EB4F62">
            <w:pPr>
              <w:pStyle w:val="23"/>
              <w:spacing w:beforeLines="0" w:afterLines="0" w:line="240" w:lineRule="auto"/>
              <w:ind w:firstLine="0" w:firstLineChars="0"/>
              <w:rPr>
                <w:rFonts w:hint="eastAsia" w:ascii="Times New Roman" w:hAnsi="Times New Roman" w:eastAsia="宋体" w:cs="Times New Roman"/>
                <w:snapToGrid w:val="0"/>
                <w:color w:val="000000" w:themeColor="text1"/>
                <w:kern w:val="21"/>
                <w:szCs w:val="21"/>
                <w:highlight w:val="none"/>
                <w14:textFill>
                  <w14:solidFill>
                    <w14:schemeClr w14:val="tx1"/>
                  </w14:solidFill>
                </w14:textFill>
              </w:rPr>
            </w:pPr>
          </w:p>
        </w:tc>
      </w:tr>
      <w:tr w14:paraId="2DF161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noWrap w:val="0"/>
            <w:vAlign w:val="center"/>
          </w:tcPr>
          <w:p w14:paraId="721E1E93">
            <w:pPr>
              <w:pStyle w:val="23"/>
              <w:spacing w:beforeLines="0" w:afterLines="0" w:line="240" w:lineRule="auto"/>
              <w:ind w:firstLine="0" w:firstLineChars="0"/>
              <w:rPr>
                <w:rFonts w:ascii="Times New Roman"/>
                <w:snapToGrid w:val="0"/>
                <w:color w:val="000000" w:themeColor="text1"/>
                <w:kern w:val="21"/>
                <w:szCs w:val="21"/>
                <w:highlight w:val="none"/>
                <w14:textFill>
                  <w14:solidFill>
                    <w14:schemeClr w14:val="tx1"/>
                  </w14:solidFill>
                </w14:textFill>
              </w:rPr>
            </w:pPr>
            <w:r>
              <w:rPr>
                <w:rFonts w:ascii="Times New Roman"/>
                <w:snapToGrid w:val="0"/>
                <w:color w:val="000000" w:themeColor="text1"/>
                <w:kern w:val="21"/>
                <w:szCs w:val="21"/>
                <w:highlight w:val="none"/>
                <w14:textFill>
                  <w14:solidFill>
                    <w14:schemeClr w14:val="tx1"/>
                  </w14:solidFill>
                </w14:textFill>
              </w:rPr>
              <w:t>危险废物</w:t>
            </w:r>
          </w:p>
        </w:tc>
        <w:tc>
          <w:tcPr>
            <w:tcW w:w="1417" w:type="dxa"/>
            <w:noWrap w:val="0"/>
            <w:vAlign w:val="center"/>
          </w:tcPr>
          <w:p w14:paraId="5CEBAE0E">
            <w:pPr>
              <w:pStyle w:val="23"/>
              <w:spacing w:beforeLines="0" w:afterLines="0" w:line="240" w:lineRule="auto"/>
              <w:ind w:firstLine="0" w:firstLineChars="0"/>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t>含油废抹布、废手套</w:t>
            </w:r>
          </w:p>
        </w:tc>
        <w:tc>
          <w:tcPr>
            <w:tcW w:w="1701" w:type="dxa"/>
            <w:noWrap w:val="0"/>
            <w:vAlign w:val="center"/>
          </w:tcPr>
          <w:p w14:paraId="6587FFC7">
            <w:pPr>
              <w:pStyle w:val="23"/>
              <w:spacing w:beforeLines="0" w:afterLines="0" w:line="240" w:lineRule="auto"/>
              <w:ind w:firstLine="0" w:firstLineChars="0"/>
              <w:rPr>
                <w:rFonts w:hint="eastAsia" w:ascii="Times New Roman" w:hAnsi="Times New Roman" w:eastAsia="宋体" w:cs="Times New Roman"/>
                <w:snapToGrid w:val="0"/>
                <w:color w:val="000000" w:themeColor="text1"/>
                <w:kern w:val="21"/>
                <w:szCs w:val="21"/>
                <w:highlight w:val="none"/>
                <w14:textFill>
                  <w14:solidFill>
                    <w14:schemeClr w14:val="tx1"/>
                  </w14:solidFill>
                </w14:textFill>
              </w:rPr>
            </w:pPr>
          </w:p>
        </w:tc>
        <w:tc>
          <w:tcPr>
            <w:tcW w:w="1276" w:type="dxa"/>
            <w:noWrap w:val="0"/>
            <w:vAlign w:val="center"/>
          </w:tcPr>
          <w:p w14:paraId="5618671B">
            <w:pPr>
              <w:pStyle w:val="23"/>
              <w:spacing w:beforeLines="0" w:afterLines="0" w:line="240" w:lineRule="auto"/>
              <w:ind w:firstLine="0" w:firstLineChars="0"/>
              <w:rPr>
                <w:rFonts w:hint="eastAsia" w:ascii="Times New Roman" w:hAnsi="Times New Roman" w:eastAsia="宋体" w:cs="Times New Roman"/>
                <w:snapToGrid w:val="0"/>
                <w:color w:val="000000" w:themeColor="text1"/>
                <w:kern w:val="21"/>
                <w:szCs w:val="21"/>
                <w:highlight w:val="none"/>
                <w14:textFill>
                  <w14:solidFill>
                    <w14:schemeClr w14:val="tx1"/>
                  </w14:solidFill>
                </w14:textFill>
              </w:rPr>
            </w:pPr>
          </w:p>
        </w:tc>
        <w:tc>
          <w:tcPr>
            <w:tcW w:w="1701" w:type="dxa"/>
            <w:noWrap w:val="0"/>
            <w:vAlign w:val="center"/>
          </w:tcPr>
          <w:p w14:paraId="109DFA4B">
            <w:pPr>
              <w:pStyle w:val="23"/>
              <w:spacing w:beforeLines="0" w:afterLines="0" w:line="240" w:lineRule="auto"/>
              <w:ind w:firstLine="0" w:firstLineChars="0"/>
              <w:rPr>
                <w:rFonts w:hint="eastAsia" w:ascii="Times New Roman" w:hAnsi="Times New Roman" w:eastAsia="宋体" w:cs="Times New Roman"/>
                <w:snapToGrid w:val="0"/>
                <w:color w:val="000000" w:themeColor="text1"/>
                <w:kern w:val="21"/>
                <w:szCs w:val="21"/>
                <w:highlight w:val="none"/>
                <w14:textFill>
                  <w14:solidFill>
                    <w14:schemeClr w14:val="tx1"/>
                  </w14:solidFill>
                </w14:textFill>
              </w:rPr>
            </w:pPr>
          </w:p>
        </w:tc>
        <w:tc>
          <w:tcPr>
            <w:tcW w:w="1559" w:type="dxa"/>
            <w:noWrap w:val="0"/>
            <w:vAlign w:val="center"/>
          </w:tcPr>
          <w:p w14:paraId="4A6B9267">
            <w:pPr>
              <w:pStyle w:val="23"/>
              <w:spacing w:beforeLines="0" w:afterLines="0" w:line="240" w:lineRule="auto"/>
              <w:ind w:firstLine="0" w:firstLineChars="0"/>
              <w:rPr>
                <w:rFonts w:hint="default"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pPr>
            <w:r>
              <w:rPr>
                <w:rFonts w:hint="eastAsia"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t>0.01t/a</w:t>
            </w:r>
          </w:p>
        </w:tc>
        <w:tc>
          <w:tcPr>
            <w:tcW w:w="1761" w:type="dxa"/>
            <w:noWrap w:val="0"/>
            <w:vAlign w:val="center"/>
          </w:tcPr>
          <w:p w14:paraId="4E08A691">
            <w:pPr>
              <w:pStyle w:val="23"/>
              <w:spacing w:beforeLines="0" w:afterLines="0" w:line="240" w:lineRule="auto"/>
              <w:ind w:firstLine="0" w:firstLineChars="0"/>
              <w:rPr>
                <w:rFonts w:hint="eastAsia" w:ascii="Times New Roman" w:hAnsi="Times New Roman" w:eastAsia="宋体" w:cs="Times New Roman"/>
                <w:snapToGrid w:val="0"/>
                <w:color w:val="000000" w:themeColor="text1"/>
                <w:kern w:val="21"/>
                <w:szCs w:val="21"/>
                <w:highlight w:val="none"/>
                <w14:textFill>
                  <w14:solidFill>
                    <w14:schemeClr w14:val="tx1"/>
                  </w14:solidFill>
                </w14:textFill>
              </w:rPr>
            </w:pPr>
          </w:p>
        </w:tc>
        <w:tc>
          <w:tcPr>
            <w:tcW w:w="1868" w:type="dxa"/>
            <w:noWrap w:val="0"/>
            <w:vAlign w:val="center"/>
          </w:tcPr>
          <w:p w14:paraId="157023C2">
            <w:pPr>
              <w:pStyle w:val="23"/>
              <w:spacing w:beforeLines="0" w:afterLines="0" w:line="240" w:lineRule="auto"/>
              <w:ind w:firstLine="0" w:firstLineChars="0"/>
              <w:rPr>
                <w:rFonts w:hint="eastAsia" w:ascii="Times New Roman" w:hAnsi="Times New Roman" w:eastAsia="宋体" w:cs="Times New Roman"/>
                <w:snapToGrid w:val="0"/>
                <w:color w:val="000000" w:themeColor="text1"/>
                <w:kern w:val="21"/>
                <w:szCs w:val="21"/>
                <w:highlight w:val="none"/>
                <w:lang w:eastAsia="zh-CN"/>
                <w14:textFill>
                  <w14:solidFill>
                    <w14:schemeClr w14:val="tx1"/>
                  </w14:solidFill>
                </w14:textFill>
              </w:rPr>
            </w:pPr>
            <w:r>
              <w:rPr>
                <w:rFonts w:hint="eastAsia"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t>0.01t/a</w:t>
            </w:r>
          </w:p>
        </w:tc>
        <w:tc>
          <w:tcPr>
            <w:tcW w:w="917" w:type="dxa"/>
            <w:noWrap w:val="0"/>
            <w:vAlign w:val="center"/>
          </w:tcPr>
          <w:p w14:paraId="4A9B01A5">
            <w:pPr>
              <w:pStyle w:val="23"/>
              <w:spacing w:beforeLines="0" w:afterLines="0" w:line="240" w:lineRule="auto"/>
              <w:ind w:firstLine="0" w:firstLineChars="0"/>
              <w:rPr>
                <w:rFonts w:hint="eastAsia" w:ascii="Times New Roman" w:hAnsi="Times New Roman" w:eastAsia="宋体" w:cs="Times New Roman"/>
                <w:snapToGrid w:val="0"/>
                <w:color w:val="000000" w:themeColor="text1"/>
                <w:kern w:val="21"/>
                <w:szCs w:val="21"/>
                <w:highlight w:val="none"/>
                <w:lang w:eastAsia="zh-CN"/>
                <w14:textFill>
                  <w14:solidFill>
                    <w14:schemeClr w14:val="tx1"/>
                  </w14:solidFill>
                </w14:textFill>
              </w:rPr>
            </w:pPr>
            <w:r>
              <w:rPr>
                <w:rFonts w:hint="eastAsia" w:ascii="Times New Roman" w:hAnsi="Times New Roman" w:eastAsia="宋体" w:cs="Times New Roman"/>
                <w:snapToGrid w:val="0"/>
                <w:color w:val="000000" w:themeColor="text1"/>
                <w:kern w:val="21"/>
                <w:szCs w:val="21"/>
                <w:highlight w:val="none"/>
                <w:lang w:val="en-US" w:eastAsia="zh-CN"/>
                <w14:textFill>
                  <w14:solidFill>
                    <w14:schemeClr w14:val="tx1"/>
                  </w14:solidFill>
                </w14:textFill>
              </w:rPr>
              <w:t>0.01t/a</w:t>
            </w:r>
          </w:p>
        </w:tc>
      </w:tr>
    </w:tbl>
    <w:p w14:paraId="7C73D91C">
      <w:pPr>
        <w:pStyle w:val="23"/>
        <w:spacing w:before="192" w:beforeLines="80" w:after="24"/>
        <w:ind w:firstLine="480"/>
        <w:jc w:val="left"/>
        <w:rPr>
          <w:rFonts w:ascii="Times New Roman"/>
          <w:snapToGrid w:val="0"/>
          <w:color w:val="000000" w:themeColor="text1"/>
          <w:spacing w:val="-6"/>
          <w:kern w:val="21"/>
          <w:szCs w:val="21"/>
          <w:highlight w:val="none"/>
          <w14:textFill>
            <w14:solidFill>
              <w14:schemeClr w14:val="tx1"/>
            </w14:solidFill>
          </w14:textFill>
        </w:rPr>
      </w:pPr>
      <w:r>
        <w:rPr>
          <w:rFonts w:ascii="Times New Roman"/>
          <w:snapToGrid w:val="0"/>
          <w:color w:val="000000" w:themeColor="text1"/>
          <w:kern w:val="21"/>
          <w:szCs w:val="21"/>
          <w:highlight w:val="none"/>
          <w14:textFill>
            <w14:solidFill>
              <w14:schemeClr w14:val="tx1"/>
            </w14:solidFill>
          </w14:textFill>
        </w:rPr>
        <w:t>注：</w:t>
      </w:r>
      <w:r>
        <w:rPr>
          <w:rFonts w:ascii="Times New Roman"/>
          <w:snapToGrid w:val="0"/>
          <w:color w:val="000000" w:themeColor="text1"/>
          <w:spacing w:val="-16"/>
          <w:kern w:val="21"/>
          <w:szCs w:val="21"/>
          <w:highlight w:val="none"/>
          <w14:textFill>
            <w14:solidFill>
              <w14:schemeClr w14:val="tx1"/>
            </w14:solidFill>
          </w14:textFill>
        </w:rPr>
        <w:fldChar w:fldCharType="begin"/>
      </w:r>
      <w:r>
        <w:rPr>
          <w:rFonts w:ascii="Times New Roman"/>
          <w:snapToGrid w:val="0"/>
          <w:color w:val="000000" w:themeColor="text1"/>
          <w:spacing w:val="-16"/>
          <w:kern w:val="21"/>
          <w:szCs w:val="21"/>
          <w:highlight w:val="none"/>
          <w14:textFill>
            <w14:solidFill>
              <w14:schemeClr w14:val="tx1"/>
            </w14:solidFill>
          </w14:textFill>
        </w:rPr>
        <w:instrText xml:space="preserve"> = 6 \* GB3 \* MERGEFORMAT </w:instrText>
      </w:r>
      <w:r>
        <w:rPr>
          <w:rFonts w:ascii="Times New Roman"/>
          <w:snapToGrid w:val="0"/>
          <w:color w:val="000000" w:themeColor="text1"/>
          <w:spacing w:val="-16"/>
          <w:kern w:val="21"/>
          <w:szCs w:val="21"/>
          <w:highlight w:val="none"/>
          <w14:textFill>
            <w14:solidFill>
              <w14:schemeClr w14:val="tx1"/>
            </w14:solidFill>
          </w14:textFill>
        </w:rPr>
        <w:fldChar w:fldCharType="separate"/>
      </w:r>
      <w:r>
        <w:rPr>
          <w:rFonts w:ascii="Times New Roman"/>
          <w:color w:val="000000" w:themeColor="text1"/>
          <w:szCs w:val="21"/>
          <w:highlight w:val="none"/>
          <w14:textFill>
            <w14:solidFill>
              <w14:schemeClr w14:val="tx1"/>
            </w14:solidFill>
          </w14:textFill>
        </w:rPr>
        <w:t>⑥</w:t>
      </w:r>
      <w:r>
        <w:rPr>
          <w:rFonts w:ascii="Times New Roman"/>
          <w:snapToGrid w:val="0"/>
          <w:color w:val="000000" w:themeColor="text1"/>
          <w:spacing w:val="-16"/>
          <w:kern w:val="21"/>
          <w:szCs w:val="21"/>
          <w:highlight w:val="none"/>
          <w14:textFill>
            <w14:solidFill>
              <w14:schemeClr w14:val="tx1"/>
            </w14:solidFill>
          </w14:textFill>
        </w:rPr>
        <w:fldChar w:fldCharType="end"/>
      </w:r>
      <w:r>
        <w:rPr>
          <w:rFonts w:ascii="Times New Roman"/>
          <w:snapToGrid w:val="0"/>
          <w:color w:val="000000" w:themeColor="text1"/>
          <w:spacing w:val="-16"/>
          <w:kern w:val="21"/>
          <w:szCs w:val="21"/>
          <w:highlight w:val="none"/>
          <w14:textFill>
            <w14:solidFill>
              <w14:schemeClr w14:val="tx1"/>
            </w14:solidFill>
          </w14:textFill>
        </w:rPr>
        <w:t>=</w:t>
      </w:r>
      <w:r>
        <w:rPr>
          <w:rFonts w:ascii="Times New Roman"/>
          <w:snapToGrid w:val="0"/>
          <w:color w:val="000000" w:themeColor="text1"/>
          <w:spacing w:val="-6"/>
          <w:kern w:val="21"/>
          <w:szCs w:val="21"/>
          <w:highlight w:val="none"/>
          <w14:textFill>
            <w14:solidFill>
              <w14:schemeClr w14:val="tx1"/>
            </w14:solidFill>
          </w14:textFill>
        </w:rPr>
        <w:fldChar w:fldCharType="begin"/>
      </w:r>
      <w:r>
        <w:rPr>
          <w:rFonts w:ascii="Times New Roman"/>
          <w:snapToGrid w:val="0"/>
          <w:color w:val="000000" w:themeColor="text1"/>
          <w:spacing w:val="-6"/>
          <w:kern w:val="21"/>
          <w:szCs w:val="21"/>
          <w:highlight w:val="none"/>
          <w14:textFill>
            <w14:solidFill>
              <w14:schemeClr w14:val="tx1"/>
            </w14:solidFill>
          </w14:textFill>
        </w:rPr>
        <w:instrText xml:space="preserve"> = 1 \* GB3 \* MERGEFORMAT </w:instrText>
      </w:r>
      <w:r>
        <w:rPr>
          <w:rFonts w:ascii="Times New Roman"/>
          <w:snapToGrid w:val="0"/>
          <w:color w:val="000000" w:themeColor="text1"/>
          <w:spacing w:val="-6"/>
          <w:kern w:val="21"/>
          <w:szCs w:val="21"/>
          <w:highlight w:val="none"/>
          <w14:textFill>
            <w14:solidFill>
              <w14:schemeClr w14:val="tx1"/>
            </w14:solidFill>
          </w14:textFill>
        </w:rPr>
        <w:fldChar w:fldCharType="separate"/>
      </w:r>
      <w:r>
        <w:rPr>
          <w:rFonts w:ascii="Times New Roman"/>
          <w:color w:val="000000" w:themeColor="text1"/>
          <w:szCs w:val="21"/>
          <w:highlight w:val="none"/>
          <w14:textFill>
            <w14:solidFill>
              <w14:schemeClr w14:val="tx1"/>
            </w14:solidFill>
          </w14:textFill>
        </w:rPr>
        <w:t>①</w:t>
      </w:r>
      <w:r>
        <w:rPr>
          <w:rFonts w:ascii="Times New Roman"/>
          <w:snapToGrid w:val="0"/>
          <w:color w:val="000000" w:themeColor="text1"/>
          <w:spacing w:val="-6"/>
          <w:kern w:val="21"/>
          <w:szCs w:val="21"/>
          <w:highlight w:val="none"/>
          <w14:textFill>
            <w14:solidFill>
              <w14:schemeClr w14:val="tx1"/>
            </w14:solidFill>
          </w14:textFill>
        </w:rPr>
        <w:fldChar w:fldCharType="end"/>
      </w:r>
      <w:r>
        <w:rPr>
          <w:rFonts w:ascii="Times New Roman"/>
          <w:snapToGrid w:val="0"/>
          <w:color w:val="000000" w:themeColor="text1"/>
          <w:spacing w:val="-6"/>
          <w:kern w:val="21"/>
          <w:szCs w:val="21"/>
          <w:highlight w:val="none"/>
          <w14:textFill>
            <w14:solidFill>
              <w14:schemeClr w14:val="tx1"/>
            </w14:solidFill>
          </w14:textFill>
        </w:rPr>
        <w:t>+</w:t>
      </w:r>
      <w:r>
        <w:rPr>
          <w:rFonts w:ascii="Times New Roman"/>
          <w:snapToGrid w:val="0"/>
          <w:color w:val="000000" w:themeColor="text1"/>
          <w:spacing w:val="-6"/>
          <w:kern w:val="21"/>
          <w:szCs w:val="21"/>
          <w:highlight w:val="none"/>
          <w14:textFill>
            <w14:solidFill>
              <w14:schemeClr w14:val="tx1"/>
            </w14:solidFill>
          </w14:textFill>
        </w:rPr>
        <w:fldChar w:fldCharType="begin"/>
      </w:r>
      <w:r>
        <w:rPr>
          <w:rFonts w:ascii="Times New Roman"/>
          <w:snapToGrid w:val="0"/>
          <w:color w:val="000000" w:themeColor="text1"/>
          <w:spacing w:val="-6"/>
          <w:kern w:val="21"/>
          <w:szCs w:val="21"/>
          <w:highlight w:val="none"/>
          <w14:textFill>
            <w14:solidFill>
              <w14:schemeClr w14:val="tx1"/>
            </w14:solidFill>
          </w14:textFill>
        </w:rPr>
        <w:instrText xml:space="preserve"> = 3 \* GB3 \* MERGEFORMAT </w:instrText>
      </w:r>
      <w:r>
        <w:rPr>
          <w:rFonts w:ascii="Times New Roman"/>
          <w:snapToGrid w:val="0"/>
          <w:color w:val="000000" w:themeColor="text1"/>
          <w:spacing w:val="-6"/>
          <w:kern w:val="21"/>
          <w:szCs w:val="21"/>
          <w:highlight w:val="none"/>
          <w14:textFill>
            <w14:solidFill>
              <w14:schemeClr w14:val="tx1"/>
            </w14:solidFill>
          </w14:textFill>
        </w:rPr>
        <w:fldChar w:fldCharType="separate"/>
      </w:r>
      <w:r>
        <w:rPr>
          <w:rFonts w:ascii="Times New Roman"/>
          <w:color w:val="000000" w:themeColor="text1"/>
          <w:szCs w:val="21"/>
          <w:highlight w:val="none"/>
          <w14:textFill>
            <w14:solidFill>
              <w14:schemeClr w14:val="tx1"/>
            </w14:solidFill>
          </w14:textFill>
        </w:rPr>
        <w:t>③</w:t>
      </w:r>
      <w:r>
        <w:rPr>
          <w:rFonts w:ascii="Times New Roman"/>
          <w:snapToGrid w:val="0"/>
          <w:color w:val="000000" w:themeColor="text1"/>
          <w:spacing w:val="-6"/>
          <w:kern w:val="21"/>
          <w:szCs w:val="21"/>
          <w:highlight w:val="none"/>
          <w14:textFill>
            <w14:solidFill>
              <w14:schemeClr w14:val="tx1"/>
            </w14:solidFill>
          </w14:textFill>
        </w:rPr>
        <w:fldChar w:fldCharType="end"/>
      </w:r>
      <w:r>
        <w:rPr>
          <w:rFonts w:ascii="Times New Roman"/>
          <w:snapToGrid w:val="0"/>
          <w:color w:val="000000" w:themeColor="text1"/>
          <w:spacing w:val="-6"/>
          <w:kern w:val="21"/>
          <w:szCs w:val="21"/>
          <w:highlight w:val="none"/>
          <w14:textFill>
            <w14:solidFill>
              <w14:schemeClr w14:val="tx1"/>
            </w14:solidFill>
          </w14:textFill>
        </w:rPr>
        <w:t>+</w:t>
      </w:r>
      <w:r>
        <w:rPr>
          <w:rFonts w:ascii="Times New Roman"/>
          <w:snapToGrid w:val="0"/>
          <w:color w:val="000000" w:themeColor="text1"/>
          <w:spacing w:val="-6"/>
          <w:kern w:val="21"/>
          <w:szCs w:val="21"/>
          <w:highlight w:val="none"/>
          <w14:textFill>
            <w14:solidFill>
              <w14:schemeClr w14:val="tx1"/>
            </w14:solidFill>
          </w14:textFill>
        </w:rPr>
        <w:fldChar w:fldCharType="begin"/>
      </w:r>
      <w:r>
        <w:rPr>
          <w:rFonts w:ascii="Times New Roman"/>
          <w:snapToGrid w:val="0"/>
          <w:color w:val="000000" w:themeColor="text1"/>
          <w:spacing w:val="-6"/>
          <w:kern w:val="21"/>
          <w:szCs w:val="21"/>
          <w:highlight w:val="none"/>
          <w14:textFill>
            <w14:solidFill>
              <w14:schemeClr w14:val="tx1"/>
            </w14:solidFill>
          </w14:textFill>
        </w:rPr>
        <w:instrText xml:space="preserve"> = 4 \* GB3 \* MERGEFORMAT </w:instrText>
      </w:r>
      <w:r>
        <w:rPr>
          <w:rFonts w:ascii="Times New Roman"/>
          <w:snapToGrid w:val="0"/>
          <w:color w:val="000000" w:themeColor="text1"/>
          <w:spacing w:val="-6"/>
          <w:kern w:val="21"/>
          <w:szCs w:val="21"/>
          <w:highlight w:val="none"/>
          <w14:textFill>
            <w14:solidFill>
              <w14:schemeClr w14:val="tx1"/>
            </w14:solidFill>
          </w14:textFill>
        </w:rPr>
        <w:fldChar w:fldCharType="separate"/>
      </w:r>
      <w:r>
        <w:rPr>
          <w:rFonts w:ascii="Times New Roman"/>
          <w:color w:val="000000" w:themeColor="text1"/>
          <w:szCs w:val="21"/>
          <w:highlight w:val="none"/>
          <w14:textFill>
            <w14:solidFill>
              <w14:schemeClr w14:val="tx1"/>
            </w14:solidFill>
          </w14:textFill>
        </w:rPr>
        <w:t>④</w:t>
      </w:r>
      <w:r>
        <w:rPr>
          <w:rFonts w:ascii="Times New Roman"/>
          <w:snapToGrid w:val="0"/>
          <w:color w:val="000000" w:themeColor="text1"/>
          <w:spacing w:val="-6"/>
          <w:kern w:val="21"/>
          <w:szCs w:val="21"/>
          <w:highlight w:val="none"/>
          <w14:textFill>
            <w14:solidFill>
              <w14:schemeClr w14:val="tx1"/>
            </w14:solidFill>
          </w14:textFill>
        </w:rPr>
        <w:fldChar w:fldCharType="end"/>
      </w:r>
      <w:r>
        <w:rPr>
          <w:rFonts w:ascii="Times New Roman"/>
          <w:snapToGrid w:val="0"/>
          <w:color w:val="000000" w:themeColor="text1"/>
          <w:spacing w:val="-6"/>
          <w:kern w:val="21"/>
          <w:szCs w:val="21"/>
          <w:highlight w:val="none"/>
          <w14:textFill>
            <w14:solidFill>
              <w14:schemeClr w14:val="tx1"/>
            </w14:solidFill>
          </w14:textFill>
        </w:rPr>
        <w:t>-</w:t>
      </w:r>
      <w:r>
        <w:rPr>
          <w:rFonts w:ascii="Times New Roman"/>
          <w:snapToGrid w:val="0"/>
          <w:color w:val="000000" w:themeColor="text1"/>
          <w:spacing w:val="-16"/>
          <w:kern w:val="21"/>
          <w:szCs w:val="21"/>
          <w:highlight w:val="none"/>
          <w14:textFill>
            <w14:solidFill>
              <w14:schemeClr w14:val="tx1"/>
            </w14:solidFill>
          </w14:textFill>
        </w:rPr>
        <w:fldChar w:fldCharType="begin"/>
      </w:r>
      <w:r>
        <w:rPr>
          <w:rFonts w:ascii="Times New Roman"/>
          <w:snapToGrid w:val="0"/>
          <w:color w:val="000000" w:themeColor="text1"/>
          <w:spacing w:val="-16"/>
          <w:kern w:val="21"/>
          <w:szCs w:val="21"/>
          <w:highlight w:val="none"/>
          <w14:textFill>
            <w14:solidFill>
              <w14:schemeClr w14:val="tx1"/>
            </w14:solidFill>
          </w14:textFill>
        </w:rPr>
        <w:instrText xml:space="preserve"> = 5 \* GB3 \* MERGEFORMAT </w:instrText>
      </w:r>
      <w:r>
        <w:rPr>
          <w:rFonts w:ascii="Times New Roman"/>
          <w:snapToGrid w:val="0"/>
          <w:color w:val="000000" w:themeColor="text1"/>
          <w:spacing w:val="-16"/>
          <w:kern w:val="21"/>
          <w:szCs w:val="21"/>
          <w:highlight w:val="none"/>
          <w14:textFill>
            <w14:solidFill>
              <w14:schemeClr w14:val="tx1"/>
            </w14:solidFill>
          </w14:textFill>
        </w:rPr>
        <w:fldChar w:fldCharType="separate"/>
      </w:r>
      <w:r>
        <w:rPr>
          <w:rFonts w:ascii="Times New Roman"/>
          <w:color w:val="000000" w:themeColor="text1"/>
          <w:szCs w:val="21"/>
          <w:highlight w:val="none"/>
          <w14:textFill>
            <w14:solidFill>
              <w14:schemeClr w14:val="tx1"/>
            </w14:solidFill>
          </w14:textFill>
        </w:rPr>
        <w:t>⑤</w:t>
      </w:r>
      <w:r>
        <w:rPr>
          <w:rFonts w:ascii="Times New Roman"/>
          <w:snapToGrid w:val="0"/>
          <w:color w:val="000000" w:themeColor="text1"/>
          <w:spacing w:val="-16"/>
          <w:kern w:val="21"/>
          <w:szCs w:val="21"/>
          <w:highlight w:val="none"/>
          <w14:textFill>
            <w14:solidFill>
              <w14:schemeClr w14:val="tx1"/>
            </w14:solidFill>
          </w14:textFill>
        </w:rPr>
        <w:fldChar w:fldCharType="end"/>
      </w:r>
      <w:r>
        <w:rPr>
          <w:rFonts w:ascii="Times New Roman"/>
          <w:snapToGrid w:val="0"/>
          <w:color w:val="000000" w:themeColor="text1"/>
          <w:spacing w:val="-16"/>
          <w:kern w:val="21"/>
          <w:szCs w:val="21"/>
          <w:highlight w:val="none"/>
          <w14:textFill>
            <w14:solidFill>
              <w14:schemeClr w14:val="tx1"/>
            </w14:solidFill>
          </w14:textFill>
        </w:rPr>
        <w:t>；</w:t>
      </w:r>
      <w:r>
        <w:rPr>
          <w:rFonts w:ascii="Times New Roman"/>
          <w:snapToGrid w:val="0"/>
          <w:color w:val="000000" w:themeColor="text1"/>
          <w:spacing w:val="-6"/>
          <w:kern w:val="21"/>
          <w:szCs w:val="21"/>
          <w:highlight w:val="none"/>
          <w14:textFill>
            <w14:solidFill>
              <w14:schemeClr w14:val="tx1"/>
            </w14:solidFill>
          </w14:textFill>
        </w:rPr>
        <w:fldChar w:fldCharType="begin"/>
      </w:r>
      <w:r>
        <w:rPr>
          <w:rFonts w:ascii="Times New Roman"/>
          <w:snapToGrid w:val="0"/>
          <w:color w:val="000000" w:themeColor="text1"/>
          <w:spacing w:val="-6"/>
          <w:kern w:val="21"/>
          <w:szCs w:val="21"/>
          <w:highlight w:val="none"/>
          <w14:textFill>
            <w14:solidFill>
              <w14:schemeClr w14:val="tx1"/>
            </w14:solidFill>
          </w14:textFill>
        </w:rPr>
        <w:instrText xml:space="preserve"> = 7 \* GB3 \* MERGEFORMAT </w:instrText>
      </w:r>
      <w:r>
        <w:rPr>
          <w:rFonts w:ascii="Times New Roman"/>
          <w:snapToGrid w:val="0"/>
          <w:color w:val="000000" w:themeColor="text1"/>
          <w:spacing w:val="-6"/>
          <w:kern w:val="21"/>
          <w:szCs w:val="21"/>
          <w:highlight w:val="none"/>
          <w14:textFill>
            <w14:solidFill>
              <w14:schemeClr w14:val="tx1"/>
            </w14:solidFill>
          </w14:textFill>
        </w:rPr>
        <w:fldChar w:fldCharType="separate"/>
      </w:r>
      <w:r>
        <w:rPr>
          <w:rFonts w:ascii="Times New Roman"/>
          <w:color w:val="000000" w:themeColor="text1"/>
          <w:szCs w:val="21"/>
          <w:highlight w:val="none"/>
          <w14:textFill>
            <w14:solidFill>
              <w14:schemeClr w14:val="tx1"/>
            </w14:solidFill>
          </w14:textFill>
        </w:rPr>
        <w:t>⑦</w:t>
      </w:r>
      <w:r>
        <w:rPr>
          <w:rFonts w:ascii="Times New Roman"/>
          <w:snapToGrid w:val="0"/>
          <w:color w:val="000000" w:themeColor="text1"/>
          <w:spacing w:val="-6"/>
          <w:kern w:val="21"/>
          <w:szCs w:val="21"/>
          <w:highlight w:val="none"/>
          <w14:textFill>
            <w14:solidFill>
              <w14:schemeClr w14:val="tx1"/>
            </w14:solidFill>
          </w14:textFill>
        </w:rPr>
        <w:fldChar w:fldCharType="end"/>
      </w:r>
      <w:r>
        <w:rPr>
          <w:rFonts w:ascii="Times New Roman"/>
          <w:snapToGrid w:val="0"/>
          <w:color w:val="000000" w:themeColor="text1"/>
          <w:spacing w:val="-6"/>
          <w:kern w:val="21"/>
          <w:szCs w:val="21"/>
          <w:highlight w:val="none"/>
          <w14:textFill>
            <w14:solidFill>
              <w14:schemeClr w14:val="tx1"/>
            </w14:solidFill>
          </w14:textFill>
        </w:rPr>
        <w:t>=</w:t>
      </w:r>
      <w:r>
        <w:rPr>
          <w:rFonts w:ascii="Times New Roman"/>
          <w:snapToGrid w:val="0"/>
          <w:color w:val="000000" w:themeColor="text1"/>
          <w:spacing w:val="-16"/>
          <w:kern w:val="21"/>
          <w:szCs w:val="21"/>
          <w:highlight w:val="none"/>
          <w14:textFill>
            <w14:solidFill>
              <w14:schemeClr w14:val="tx1"/>
            </w14:solidFill>
          </w14:textFill>
        </w:rPr>
        <w:fldChar w:fldCharType="begin"/>
      </w:r>
      <w:r>
        <w:rPr>
          <w:rFonts w:ascii="Times New Roman"/>
          <w:snapToGrid w:val="0"/>
          <w:color w:val="000000" w:themeColor="text1"/>
          <w:spacing w:val="-16"/>
          <w:kern w:val="21"/>
          <w:szCs w:val="21"/>
          <w:highlight w:val="none"/>
          <w14:textFill>
            <w14:solidFill>
              <w14:schemeClr w14:val="tx1"/>
            </w14:solidFill>
          </w14:textFill>
        </w:rPr>
        <w:instrText xml:space="preserve"> = 6 \* GB3 \* MERGEFORMAT </w:instrText>
      </w:r>
      <w:r>
        <w:rPr>
          <w:rFonts w:ascii="Times New Roman"/>
          <w:snapToGrid w:val="0"/>
          <w:color w:val="000000" w:themeColor="text1"/>
          <w:spacing w:val="-16"/>
          <w:kern w:val="21"/>
          <w:szCs w:val="21"/>
          <w:highlight w:val="none"/>
          <w14:textFill>
            <w14:solidFill>
              <w14:schemeClr w14:val="tx1"/>
            </w14:solidFill>
          </w14:textFill>
        </w:rPr>
        <w:fldChar w:fldCharType="separate"/>
      </w:r>
      <w:r>
        <w:rPr>
          <w:rFonts w:ascii="Times New Roman"/>
          <w:color w:val="000000" w:themeColor="text1"/>
          <w:szCs w:val="21"/>
          <w:highlight w:val="none"/>
          <w14:textFill>
            <w14:solidFill>
              <w14:schemeClr w14:val="tx1"/>
            </w14:solidFill>
          </w14:textFill>
        </w:rPr>
        <w:t>⑥</w:t>
      </w:r>
      <w:r>
        <w:rPr>
          <w:rFonts w:ascii="Times New Roman"/>
          <w:snapToGrid w:val="0"/>
          <w:color w:val="000000" w:themeColor="text1"/>
          <w:spacing w:val="-16"/>
          <w:kern w:val="21"/>
          <w:szCs w:val="21"/>
          <w:highlight w:val="none"/>
          <w14:textFill>
            <w14:solidFill>
              <w14:schemeClr w14:val="tx1"/>
            </w14:solidFill>
          </w14:textFill>
        </w:rPr>
        <w:fldChar w:fldCharType="end"/>
      </w:r>
      <w:r>
        <w:rPr>
          <w:rFonts w:ascii="Times New Roman"/>
          <w:snapToGrid w:val="0"/>
          <w:color w:val="000000" w:themeColor="text1"/>
          <w:spacing w:val="-16"/>
          <w:kern w:val="21"/>
          <w:szCs w:val="21"/>
          <w:highlight w:val="none"/>
          <w14:textFill>
            <w14:solidFill>
              <w14:schemeClr w14:val="tx1"/>
            </w14:solidFill>
          </w14:textFill>
        </w:rPr>
        <w:t>-</w:t>
      </w:r>
      <w:r>
        <w:rPr>
          <w:rFonts w:ascii="Times New Roman"/>
          <w:snapToGrid w:val="0"/>
          <w:color w:val="000000" w:themeColor="text1"/>
          <w:spacing w:val="-6"/>
          <w:kern w:val="21"/>
          <w:szCs w:val="21"/>
          <w:highlight w:val="none"/>
          <w14:textFill>
            <w14:solidFill>
              <w14:schemeClr w14:val="tx1"/>
            </w14:solidFill>
          </w14:textFill>
        </w:rPr>
        <w:fldChar w:fldCharType="begin"/>
      </w:r>
      <w:r>
        <w:rPr>
          <w:rFonts w:ascii="Times New Roman"/>
          <w:snapToGrid w:val="0"/>
          <w:color w:val="000000" w:themeColor="text1"/>
          <w:spacing w:val="-6"/>
          <w:kern w:val="21"/>
          <w:szCs w:val="21"/>
          <w:highlight w:val="none"/>
          <w14:textFill>
            <w14:solidFill>
              <w14:schemeClr w14:val="tx1"/>
            </w14:solidFill>
          </w14:textFill>
        </w:rPr>
        <w:instrText xml:space="preserve"> = 1 \* GB3 \* MERGEFORMAT </w:instrText>
      </w:r>
      <w:r>
        <w:rPr>
          <w:rFonts w:ascii="Times New Roman"/>
          <w:snapToGrid w:val="0"/>
          <w:color w:val="000000" w:themeColor="text1"/>
          <w:spacing w:val="-6"/>
          <w:kern w:val="21"/>
          <w:szCs w:val="21"/>
          <w:highlight w:val="none"/>
          <w14:textFill>
            <w14:solidFill>
              <w14:schemeClr w14:val="tx1"/>
            </w14:solidFill>
          </w14:textFill>
        </w:rPr>
        <w:fldChar w:fldCharType="separate"/>
      </w:r>
      <w:r>
        <w:rPr>
          <w:rFonts w:ascii="Times New Roman"/>
          <w:color w:val="000000" w:themeColor="text1"/>
          <w:szCs w:val="21"/>
          <w:highlight w:val="none"/>
          <w14:textFill>
            <w14:solidFill>
              <w14:schemeClr w14:val="tx1"/>
            </w14:solidFill>
          </w14:textFill>
        </w:rPr>
        <w:t>①</w:t>
      </w:r>
      <w:r>
        <w:rPr>
          <w:rFonts w:ascii="Times New Roman"/>
          <w:snapToGrid w:val="0"/>
          <w:color w:val="000000" w:themeColor="text1"/>
          <w:spacing w:val="-6"/>
          <w:kern w:val="21"/>
          <w:szCs w:val="21"/>
          <w:highlight w:val="none"/>
          <w14:textFill>
            <w14:solidFill>
              <w14:schemeClr w14:val="tx1"/>
            </w14:solidFill>
          </w14:textFill>
        </w:rPr>
        <w:fldChar w:fldCharType="end"/>
      </w:r>
    </w:p>
    <w:p w14:paraId="252041EC">
      <w:pPr>
        <w:ind w:firstLine="0" w:firstLineChars="0"/>
        <w:rPr>
          <w:color w:val="000000" w:themeColor="text1"/>
          <w:highlight w:val="none"/>
          <w14:textFill>
            <w14:solidFill>
              <w14:schemeClr w14:val="tx1"/>
            </w14:solidFill>
          </w14:textFill>
        </w:rPr>
        <w:sectPr>
          <w:footerReference r:id="rId11" w:type="default"/>
          <w:pgSz w:w="16838" w:h="11906" w:orient="landscape"/>
          <w:pgMar w:top="1701" w:right="1531" w:bottom="1701" w:left="1531" w:header="851" w:footer="851" w:gutter="0"/>
          <w:pgNumType w:fmt="numberInDash"/>
          <w:cols w:space="720" w:num="1"/>
          <w:docGrid w:linePitch="312" w:charSpace="0"/>
        </w:sectPr>
      </w:pPr>
    </w:p>
    <w:p w14:paraId="557E4D1D">
      <w:pPr>
        <w:pStyle w:val="2"/>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附件1委托书</w:t>
      </w:r>
    </w:p>
    <w:p w14:paraId="46B9E0AD">
      <w:pPr>
        <w:bidi w:val="0"/>
        <w:ind w:left="0" w:leftChars="0" w:firstLine="0" w:firstLineChars="0"/>
      </w:pPr>
      <w:r>
        <w:drawing>
          <wp:inline distT="0" distB="0" distL="114300" distR="114300">
            <wp:extent cx="5622290" cy="8008620"/>
            <wp:effectExtent l="0" t="0" r="16510" b="1143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30"/>
                    <a:stretch>
                      <a:fillRect/>
                    </a:stretch>
                  </pic:blipFill>
                  <pic:spPr>
                    <a:xfrm>
                      <a:off x="0" y="0"/>
                      <a:ext cx="5622290" cy="8008620"/>
                    </a:xfrm>
                    <a:prstGeom prst="rect">
                      <a:avLst/>
                    </a:prstGeom>
                    <a:noFill/>
                    <a:ln>
                      <a:noFill/>
                    </a:ln>
                  </pic:spPr>
                </pic:pic>
              </a:graphicData>
            </a:graphic>
          </wp:inline>
        </w:drawing>
      </w:r>
    </w:p>
    <w:p w14:paraId="6292E585">
      <w:pPr>
        <w:pStyle w:val="2"/>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附件</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检测报告</w:t>
      </w:r>
    </w:p>
    <w:p w14:paraId="272E4171">
      <w:pPr>
        <w:ind w:left="0" w:leftChars="0" w:firstLine="0" w:firstLineChars="0"/>
        <w:rPr>
          <w:color w:val="000000" w:themeColor="text1"/>
          <w:highlight w:val="none"/>
          <w14:textFill>
            <w14:solidFill>
              <w14:schemeClr w14:val="tx1"/>
            </w14:solidFill>
          </w14:textFill>
        </w:rPr>
      </w:pPr>
      <w:r>
        <w:rPr>
          <w:color w:val="000000" w:themeColor="text1"/>
          <w14:textFill>
            <w14:solidFill>
              <w14:schemeClr w14:val="tx1"/>
            </w14:solidFill>
          </w14:textFill>
        </w:rPr>
        <w:drawing>
          <wp:inline distT="0" distB="0" distL="114300" distR="114300">
            <wp:extent cx="5524500" cy="7886700"/>
            <wp:effectExtent l="0" t="0" r="0" b="0"/>
            <wp:docPr id="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
                    <pic:cNvPicPr>
                      <a:picLocks noChangeAspect="1"/>
                    </pic:cNvPicPr>
                  </pic:nvPicPr>
                  <pic:blipFill>
                    <a:blip r:embed="rId31"/>
                    <a:stretch>
                      <a:fillRect/>
                    </a:stretch>
                  </pic:blipFill>
                  <pic:spPr>
                    <a:xfrm>
                      <a:off x="0" y="0"/>
                      <a:ext cx="5524500" cy="7886700"/>
                    </a:xfrm>
                    <a:prstGeom prst="rect">
                      <a:avLst/>
                    </a:prstGeom>
                    <a:noFill/>
                    <a:ln>
                      <a:noFill/>
                    </a:ln>
                  </pic:spPr>
                </pic:pic>
              </a:graphicData>
            </a:graphic>
          </wp:inline>
        </w:drawing>
      </w:r>
      <w:r>
        <w:rPr>
          <w:color w:val="000000" w:themeColor="text1"/>
          <w14:textFill>
            <w14:solidFill>
              <w14:schemeClr w14:val="tx1"/>
            </w14:solidFill>
          </w14:textFill>
        </w:rPr>
        <w:drawing>
          <wp:inline distT="0" distB="0" distL="114300" distR="114300">
            <wp:extent cx="5591175" cy="7810500"/>
            <wp:effectExtent l="0" t="0" r="9525" b="0"/>
            <wp:docPr id="4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
                    <pic:cNvPicPr>
                      <a:picLocks noChangeAspect="1"/>
                    </pic:cNvPicPr>
                  </pic:nvPicPr>
                  <pic:blipFill>
                    <a:blip r:embed="rId32"/>
                    <a:stretch>
                      <a:fillRect/>
                    </a:stretch>
                  </pic:blipFill>
                  <pic:spPr>
                    <a:xfrm>
                      <a:off x="0" y="0"/>
                      <a:ext cx="5591175" cy="7810500"/>
                    </a:xfrm>
                    <a:prstGeom prst="rect">
                      <a:avLst/>
                    </a:prstGeom>
                    <a:noFill/>
                    <a:ln>
                      <a:noFill/>
                    </a:ln>
                  </pic:spPr>
                </pic:pic>
              </a:graphicData>
            </a:graphic>
          </wp:inline>
        </w:drawing>
      </w:r>
      <w:r>
        <w:rPr>
          <w:color w:val="000000" w:themeColor="text1"/>
          <w14:textFill>
            <w14:solidFill>
              <w14:schemeClr w14:val="tx1"/>
            </w14:solidFill>
          </w14:textFill>
        </w:rPr>
        <w:drawing>
          <wp:inline distT="0" distB="0" distL="114300" distR="114300">
            <wp:extent cx="5543550" cy="7877175"/>
            <wp:effectExtent l="0" t="0" r="0" b="9525"/>
            <wp:docPr id="4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6"/>
                    <pic:cNvPicPr>
                      <a:picLocks noChangeAspect="1"/>
                    </pic:cNvPicPr>
                  </pic:nvPicPr>
                  <pic:blipFill>
                    <a:blip r:embed="rId33"/>
                    <a:stretch>
                      <a:fillRect/>
                    </a:stretch>
                  </pic:blipFill>
                  <pic:spPr>
                    <a:xfrm>
                      <a:off x="0" y="0"/>
                      <a:ext cx="5543550" cy="7877175"/>
                    </a:xfrm>
                    <a:prstGeom prst="rect">
                      <a:avLst/>
                    </a:prstGeom>
                    <a:noFill/>
                    <a:ln>
                      <a:noFill/>
                    </a:ln>
                  </pic:spPr>
                </pic:pic>
              </a:graphicData>
            </a:graphic>
          </wp:inline>
        </w:drawing>
      </w:r>
      <w:r>
        <w:rPr>
          <w:color w:val="000000" w:themeColor="text1"/>
          <w14:textFill>
            <w14:solidFill>
              <w14:schemeClr w14:val="tx1"/>
            </w14:solidFill>
          </w14:textFill>
        </w:rPr>
        <w:drawing>
          <wp:inline distT="0" distB="0" distL="114300" distR="114300">
            <wp:extent cx="5591175" cy="7839075"/>
            <wp:effectExtent l="0" t="0" r="9525" b="9525"/>
            <wp:docPr id="5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7"/>
                    <pic:cNvPicPr>
                      <a:picLocks noChangeAspect="1"/>
                    </pic:cNvPicPr>
                  </pic:nvPicPr>
                  <pic:blipFill>
                    <a:blip r:embed="rId34"/>
                    <a:stretch>
                      <a:fillRect/>
                    </a:stretch>
                  </pic:blipFill>
                  <pic:spPr>
                    <a:xfrm>
                      <a:off x="0" y="0"/>
                      <a:ext cx="5591175" cy="7839075"/>
                    </a:xfrm>
                    <a:prstGeom prst="rect">
                      <a:avLst/>
                    </a:prstGeom>
                    <a:noFill/>
                    <a:ln>
                      <a:noFill/>
                    </a:ln>
                  </pic:spPr>
                </pic:pic>
              </a:graphicData>
            </a:graphic>
          </wp:inline>
        </w:drawing>
      </w:r>
    </w:p>
    <w:p w14:paraId="0748D1BB">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br w:type="page"/>
      </w:r>
    </w:p>
    <w:p w14:paraId="70BD1ED4">
      <w:pPr>
        <w:pStyle w:val="2"/>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附件3营业执照</w:t>
      </w:r>
    </w:p>
    <w:p w14:paraId="510DDF49">
      <w:pPr>
        <w:ind w:left="0" w:leftChars="0" w:firstLine="0" w:firstLineChars="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drawing>
          <wp:inline distT="0" distB="0" distL="114300" distR="114300">
            <wp:extent cx="5607050" cy="7494905"/>
            <wp:effectExtent l="0" t="0" r="0" b="0"/>
            <wp:docPr id="39" name="图片 39" descr="b5452d3596579983e6677eec6a2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b5452d3596579983e6677eec6a21239"/>
                    <pic:cNvPicPr>
                      <a:picLocks noChangeAspect="1"/>
                    </pic:cNvPicPr>
                  </pic:nvPicPr>
                  <pic:blipFill>
                    <a:blip r:embed="rId35"/>
                    <a:srcRect t="4988" b="2447"/>
                    <a:stretch>
                      <a:fillRect/>
                    </a:stretch>
                  </pic:blipFill>
                  <pic:spPr>
                    <a:xfrm rot="10800000">
                      <a:off x="0" y="0"/>
                      <a:ext cx="5607050" cy="7494905"/>
                    </a:xfrm>
                    <a:prstGeom prst="rect">
                      <a:avLst/>
                    </a:prstGeom>
                  </pic:spPr>
                </pic:pic>
              </a:graphicData>
            </a:graphic>
          </wp:inline>
        </w:drawing>
      </w:r>
    </w:p>
    <w:p w14:paraId="075C478B">
      <w:pPr>
        <w:pStyle w:val="24"/>
        <w:ind w:firstLine="0" w:firstLineChars="0"/>
        <w:rPr>
          <w:rFonts w:hint="eastAsia"/>
          <w:color w:val="000000" w:themeColor="text1"/>
          <w:highlight w:val="none"/>
          <w14:textFill>
            <w14:solidFill>
              <w14:schemeClr w14:val="tx1"/>
            </w14:solidFill>
          </w14:textFill>
        </w:rPr>
        <w:sectPr>
          <w:footerReference r:id="rId12" w:type="default"/>
          <w:pgSz w:w="11906" w:h="16838"/>
          <w:pgMar w:top="1701" w:right="1531" w:bottom="1701" w:left="1531" w:header="851" w:footer="851" w:gutter="0"/>
          <w:pgNumType w:fmt="numberInDash"/>
          <w:cols w:space="720" w:num="1"/>
          <w:docGrid w:linePitch="312" w:charSpace="0"/>
        </w:sectPr>
      </w:pPr>
    </w:p>
    <w:p w14:paraId="60A158B8">
      <w:pPr>
        <w:pStyle w:val="2"/>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附图1项目地理位置图</w:t>
      </w:r>
    </w:p>
    <w:p w14:paraId="6E54DCAB">
      <w:pPr>
        <w:ind w:firstLine="0" w:firstLineChars="0"/>
        <w:rPr>
          <w:color w:val="000000" w:themeColor="text1"/>
          <w:highlight w:val="none"/>
          <w14:textFill>
            <w14:solidFill>
              <w14:schemeClr w14:val="tx1"/>
            </w14:solidFill>
          </w14:textFill>
        </w:rPr>
        <w:sectPr>
          <w:pgSz w:w="16838" w:h="11906" w:orient="landscape"/>
          <w:pgMar w:top="1531" w:right="1701" w:bottom="1531" w:left="1701" w:header="851" w:footer="851" w:gutter="0"/>
          <w:pgNumType w:fmt="numberInDash"/>
          <w:cols w:space="720" w:num="1"/>
          <w:docGrid w:linePitch="312" w:charSpace="0"/>
        </w:sectPr>
      </w:pPr>
      <w:r>
        <w:rPr>
          <w:color w:val="000000" w:themeColor="text1"/>
          <w:highlight w:val="none"/>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5697855</wp:posOffset>
                </wp:positionH>
                <wp:positionV relativeFrom="paragraph">
                  <wp:posOffset>1190625</wp:posOffset>
                </wp:positionV>
                <wp:extent cx="862965" cy="278765"/>
                <wp:effectExtent l="4445" t="5080" r="8890" b="78105"/>
                <wp:wrapNone/>
                <wp:docPr id="3" name="自选图形 16"/>
                <wp:cNvGraphicFramePr/>
                <a:graphic xmlns:a="http://schemas.openxmlformats.org/drawingml/2006/main">
                  <a:graphicData uri="http://schemas.microsoft.com/office/word/2010/wordprocessingShape">
                    <wps:wsp>
                      <wps:cNvSpPr/>
                      <wps:spPr>
                        <a:xfrm>
                          <a:off x="0" y="0"/>
                          <a:ext cx="862965" cy="278765"/>
                        </a:xfrm>
                        <a:prstGeom prst="wedgeRoundRectCallout">
                          <a:avLst>
                            <a:gd name="adj1" fmla="val -43750"/>
                            <a:gd name="adj2" fmla="val 70000"/>
                            <a:gd name="adj3" fmla="val 16667"/>
                          </a:avLst>
                        </a:prstGeom>
                        <a:solidFill>
                          <a:srgbClr val="FFFFFF"/>
                        </a:solidFill>
                        <a:ln w="9525" cap="flat" cmpd="sng">
                          <a:solidFill>
                            <a:srgbClr val="000000"/>
                          </a:solidFill>
                          <a:prstDash val="solid"/>
                          <a:miter/>
                          <a:headEnd type="none" w="med" len="med"/>
                          <a:tailEnd type="none" w="med" len="med"/>
                        </a:ln>
                      </wps:spPr>
                      <wps:txbx>
                        <w:txbxContent>
                          <w:p w14:paraId="6DD2287A">
                            <w:pPr>
                              <w:ind w:firstLine="0" w:firstLineChars="0"/>
                              <w:rPr>
                                <w:sz w:val="18"/>
                                <w:szCs w:val="18"/>
                              </w:rPr>
                            </w:pPr>
                            <w:r>
                              <w:rPr>
                                <w:rFonts w:hint="eastAsia"/>
                                <w:sz w:val="18"/>
                                <w:szCs w:val="18"/>
                              </w:rPr>
                              <w:t>本项目位置</w:t>
                            </w:r>
                          </w:p>
                        </w:txbxContent>
                      </wps:txbx>
                      <wps:bodyPr wrap="square" upright="1"/>
                    </wps:wsp>
                  </a:graphicData>
                </a:graphic>
              </wp:anchor>
            </w:drawing>
          </mc:Choice>
          <mc:Fallback>
            <w:pict>
              <v:shape id="自选图形 16" o:spid="_x0000_s1026" o:spt="62" type="#_x0000_t62" style="position:absolute;left:0pt;margin-left:448.65pt;margin-top:93.75pt;height:21.95pt;width:67.95pt;z-index:251661312;mso-width-relative:page;mso-height-relative:page;" fillcolor="#FFFFFF" filled="t" stroked="t" coordsize="21600,21600" o:gfxdata="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B9r9mPZAAAA&#10;DAEAAA8AAAAAAAAAAQAgAAAAIgAAAGRycy9kb3ducmV2LnhtbFBLAQIUABQAAAAIAIdO4kDHoR8N&#10;VQIAAMQEAAAOAAAAAAAAAAEAIAAAACgBAABkcnMvZTJvRG9jLnhtbFBLBQYAAAAABgAGAFkBAADv&#10;BQAAAAA=&#10;" adj="1350,25920,14400">
                <v:fill on="t" focussize="0,0"/>
                <v:stroke color="#000000" joinstyle="miter"/>
                <v:imagedata o:title=""/>
                <o:lock v:ext="edit" aspectratio="f"/>
                <v:textbox>
                  <w:txbxContent>
                    <w:p w14:paraId="6DD2287A">
                      <w:pPr>
                        <w:ind w:firstLine="0" w:firstLineChars="0"/>
                        <w:rPr>
                          <w:sz w:val="18"/>
                          <w:szCs w:val="18"/>
                        </w:rPr>
                      </w:pPr>
                      <w:r>
                        <w:rPr>
                          <w:rFonts w:hint="eastAsia"/>
                          <w:sz w:val="18"/>
                          <w:szCs w:val="18"/>
                        </w:rPr>
                        <w:t>本项目位置</w:t>
                      </w:r>
                    </w:p>
                  </w:txbxContent>
                </v:textbox>
              </v:shape>
            </w:pict>
          </mc:Fallback>
        </mc:AlternateContent>
      </w:r>
      <w:r>
        <w:rPr>
          <w:color w:val="000000" w:themeColor="text1"/>
          <w:highlight w:val="none"/>
          <w14:textFill>
            <w14:solidFill>
              <w14:schemeClr w14:val="tx1"/>
            </w14:solidFill>
          </w14:textFill>
        </w:rPr>
        <w:drawing>
          <wp:inline distT="0" distB="0" distL="114300" distR="114300">
            <wp:extent cx="8524240" cy="5224145"/>
            <wp:effectExtent l="0" t="0" r="10160" b="14605"/>
            <wp:docPr id="2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
                    <pic:cNvPicPr>
                      <a:picLocks noChangeAspect="1"/>
                    </pic:cNvPicPr>
                  </pic:nvPicPr>
                  <pic:blipFill>
                    <a:blip r:embed="rId36"/>
                    <a:stretch>
                      <a:fillRect/>
                    </a:stretch>
                  </pic:blipFill>
                  <pic:spPr>
                    <a:xfrm>
                      <a:off x="0" y="0"/>
                      <a:ext cx="8524240" cy="5224145"/>
                    </a:xfrm>
                    <a:prstGeom prst="rect">
                      <a:avLst/>
                    </a:prstGeom>
                    <a:noFill/>
                    <a:ln>
                      <a:noFill/>
                    </a:ln>
                  </pic:spPr>
                </pic:pic>
              </a:graphicData>
            </a:graphic>
          </wp:inline>
        </w:drawing>
      </w:r>
    </w:p>
    <w:p w14:paraId="505F0758">
      <w:pPr>
        <w:pStyle w:val="2"/>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附图</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本项目平面布置图</w:t>
      </w:r>
    </w:p>
    <w:p w14:paraId="35562DC7">
      <w:pPr>
        <w:ind w:firstLine="0" w:firstLineChars="0"/>
        <w:jc w:val="center"/>
        <w:rPr>
          <w:color w:val="000000" w:themeColor="text1"/>
          <w:highlight w:val="none"/>
          <w14:textFill>
            <w14:solidFill>
              <w14:schemeClr w14:val="tx1"/>
            </w14:solidFill>
          </w14:textFill>
        </w:rPr>
      </w:pPr>
      <w:r>
        <w:rPr>
          <w:color w:val="000000" w:themeColor="text1"/>
          <w14:textFill>
            <w14:solidFill>
              <w14:schemeClr w14:val="tx1"/>
            </w14:solidFill>
          </w14:textFill>
        </w:rPr>
        <w:drawing>
          <wp:inline distT="0" distB="0" distL="114300" distR="114300">
            <wp:extent cx="8524240" cy="5080635"/>
            <wp:effectExtent l="0" t="0" r="1016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7"/>
                    <a:stretch>
                      <a:fillRect/>
                    </a:stretch>
                  </pic:blipFill>
                  <pic:spPr>
                    <a:xfrm>
                      <a:off x="0" y="0"/>
                      <a:ext cx="8524240" cy="5080635"/>
                    </a:xfrm>
                    <a:prstGeom prst="rect">
                      <a:avLst/>
                    </a:prstGeom>
                    <a:noFill/>
                    <a:ln>
                      <a:noFill/>
                    </a:ln>
                  </pic:spPr>
                </pic:pic>
              </a:graphicData>
            </a:graphic>
          </wp:inline>
        </w:drawing>
      </w:r>
    </w:p>
    <w:p w14:paraId="5E8FF1AA">
      <w:pPr>
        <w:ind w:firstLine="0" w:firstLineChars="0"/>
        <w:rPr>
          <w:color w:val="000000" w:themeColor="text1"/>
          <w:highlight w:val="none"/>
          <w14:textFill>
            <w14:solidFill>
              <w14:schemeClr w14:val="tx1"/>
            </w14:solidFill>
          </w14:textFill>
        </w:rPr>
        <w:sectPr>
          <w:pgSz w:w="16838" w:h="11906" w:orient="landscape"/>
          <w:pgMar w:top="1531" w:right="1701" w:bottom="1531" w:left="1701" w:header="851" w:footer="851" w:gutter="0"/>
          <w:pgNumType w:fmt="numberInDash"/>
          <w:cols w:space="720" w:num="1"/>
          <w:docGrid w:linePitch="312" w:charSpace="0"/>
        </w:sectPr>
      </w:pPr>
    </w:p>
    <w:p w14:paraId="4C4EC252">
      <w:pPr>
        <w:pStyle w:val="2"/>
        <w:rPr>
          <w:rStyle w:val="18"/>
          <w:rFonts w:eastAsia="宋体"/>
          <w:b w:val="0"/>
          <w:bCs w:val="0"/>
          <w:color w:val="000000" w:themeColor="text1"/>
          <w:kern w:val="0"/>
          <w:szCs w:val="20"/>
          <w:highlight w:val="none"/>
          <w14:textFill>
            <w14:solidFill>
              <w14:schemeClr w14:val="tx1"/>
            </w14:solidFill>
          </w14:textFill>
        </w:rPr>
      </w:pPr>
      <w:r>
        <w:rPr>
          <w:rFonts w:hint="eastAsia"/>
          <w:color w:val="000000" w:themeColor="text1"/>
          <w:highlight w:val="none"/>
          <w14:textFill>
            <w14:solidFill>
              <w14:schemeClr w14:val="tx1"/>
            </w14:solidFill>
          </w14:textFill>
        </w:rPr>
        <w:t>附图4本项目环境敏感目标图</w:t>
      </w:r>
    </w:p>
    <w:p w14:paraId="7835C840">
      <w:pPr>
        <w:ind w:firstLine="0" w:firstLineChars="0"/>
        <w:jc w:val="center"/>
        <w:rPr>
          <w:color w:val="000000" w:themeColor="text1"/>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666432" behindDoc="0" locked="0" layoutInCell="1" allowOverlap="1">
                <wp:simplePos x="0" y="0"/>
                <wp:positionH relativeFrom="column">
                  <wp:posOffset>3957955</wp:posOffset>
                </wp:positionH>
                <wp:positionV relativeFrom="paragraph">
                  <wp:posOffset>2528570</wp:posOffset>
                </wp:positionV>
                <wp:extent cx="612140" cy="281305"/>
                <wp:effectExtent l="5080" t="4445" r="11430" b="19050"/>
                <wp:wrapNone/>
                <wp:docPr id="19" name="文本框 19"/>
                <wp:cNvGraphicFramePr/>
                <a:graphic xmlns:a="http://schemas.openxmlformats.org/drawingml/2006/main">
                  <a:graphicData uri="http://schemas.microsoft.com/office/word/2010/wordprocessingShape">
                    <wps:wsp>
                      <wps:cNvSpPr txBox="1"/>
                      <wps:spPr>
                        <a:xfrm>
                          <a:off x="0" y="0"/>
                          <a:ext cx="612140" cy="2813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E0420EF">
                            <w:pPr>
                              <w:ind w:left="0" w:leftChars="0" w:firstLine="0" w:firstLineChars="0"/>
                              <w:rPr>
                                <w:rFonts w:hint="default" w:eastAsia="宋体"/>
                                <w:lang w:val="en-US" w:eastAsia="zh-CN"/>
                              </w:rPr>
                            </w:pPr>
                            <w:r>
                              <w:rPr>
                                <w:rFonts w:hint="eastAsia"/>
                                <w:lang w:val="en-US" w:eastAsia="zh-CN"/>
                              </w:rPr>
                              <w:t>351m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1.65pt;margin-top:199.1pt;height:22.15pt;width:48.2pt;z-index:251666432;mso-width-relative:page;mso-height-relative:page;" fillcolor="#FFFFFF [3201]" filled="t" stroked="t" coordsize="21600,21600" o:gfxdata="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d9f/S2QAA&#10;AAsBAAAPAAAAAAAAAAEAIAAAACIAAABkcnMvZG93bnJldi54bWxQSwECFAAUAAAACACHTuJAO8cJ&#10;olYCAAC4BAAADgAAAAAAAAABACAAAAAoAQAAZHJzL2Uyb0RvYy54bWxQSwUGAAAAAAYABgBZAQAA&#10;8AUAAAAA&#10;">
                <v:fill on="t" focussize="0,0"/>
                <v:stroke weight="0.5pt" color="#000000 [3204]" joinstyle="round"/>
                <v:imagedata o:title=""/>
                <o:lock v:ext="edit" aspectratio="f"/>
                <v:textbox>
                  <w:txbxContent>
                    <w:p w14:paraId="6E0420EF">
                      <w:pPr>
                        <w:ind w:left="0" w:leftChars="0" w:firstLine="0" w:firstLineChars="0"/>
                        <w:rPr>
                          <w:rFonts w:hint="default" w:eastAsia="宋体"/>
                          <w:lang w:val="en-US" w:eastAsia="zh-CN"/>
                        </w:rPr>
                      </w:pPr>
                      <w:r>
                        <w:rPr>
                          <w:rFonts w:hint="eastAsia"/>
                          <w:lang w:val="en-US" w:eastAsia="zh-CN"/>
                        </w:rPr>
                        <w:t>351m</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3216910</wp:posOffset>
                </wp:positionH>
                <wp:positionV relativeFrom="paragraph">
                  <wp:posOffset>1285240</wp:posOffset>
                </wp:positionV>
                <wp:extent cx="612140" cy="281305"/>
                <wp:effectExtent l="5080" t="4445" r="11430" b="19050"/>
                <wp:wrapNone/>
                <wp:docPr id="5" name="文本框 5"/>
                <wp:cNvGraphicFramePr/>
                <a:graphic xmlns:a="http://schemas.openxmlformats.org/drawingml/2006/main">
                  <a:graphicData uri="http://schemas.microsoft.com/office/word/2010/wordprocessingShape">
                    <wps:wsp>
                      <wps:cNvSpPr txBox="1"/>
                      <wps:spPr>
                        <a:xfrm>
                          <a:off x="5592445" y="3108325"/>
                          <a:ext cx="612140" cy="2813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1BEF195">
                            <w:pPr>
                              <w:ind w:left="0" w:leftChars="0" w:firstLine="0" w:firstLineChars="0"/>
                              <w:rPr>
                                <w:rFonts w:hint="default" w:eastAsia="宋体"/>
                                <w:lang w:val="en-US" w:eastAsia="zh-CN"/>
                              </w:rPr>
                            </w:pPr>
                            <w:r>
                              <w:rPr>
                                <w:rFonts w:hint="eastAsia"/>
                                <w:lang w:val="en-US" w:eastAsia="zh-CN"/>
                              </w:rPr>
                              <w:t>500m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3.3pt;margin-top:101.2pt;height:22.15pt;width:48.2pt;z-index:251664384;mso-width-relative:page;mso-height-relative:page;" fillcolor="#FFFFFF [3201]" filled="t" stroked="t" coordsize="21600,21600" o:gfxdata="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CBB1eC1wAAAAsBAAAPAAAAAAAAAAEAIAAAACIAAABkcnMvZG93bnJldi54bWxQSwECFAAU&#10;AAAACACHTuJA3kg/k2QCAADCBAAADgAAAAAAAAABACAAAAAmAQAAZHJzL2Uyb0RvYy54bWxQSwUG&#10;AAAAAAYABgBZAQAA/AUAAAAA&#10;">
                <v:fill on="t" focussize="0,0"/>
                <v:stroke weight="0.5pt" color="#000000 [3204]" joinstyle="round"/>
                <v:imagedata o:title=""/>
                <o:lock v:ext="edit" aspectratio="f"/>
                <v:textbox>
                  <w:txbxContent>
                    <w:p w14:paraId="01BEF195">
                      <w:pPr>
                        <w:ind w:left="0" w:leftChars="0" w:firstLine="0" w:firstLineChars="0"/>
                        <w:rPr>
                          <w:rFonts w:hint="default" w:eastAsia="宋体"/>
                          <w:lang w:val="en-US" w:eastAsia="zh-CN"/>
                        </w:rPr>
                      </w:pPr>
                      <w:r>
                        <w:rPr>
                          <w:rFonts w:hint="eastAsia"/>
                          <w:lang w:val="en-US" w:eastAsia="zh-CN"/>
                        </w:rPr>
                        <w:t>500m</w:t>
                      </w:r>
                    </w:p>
                  </w:txbxContent>
                </v:textbox>
              </v:shap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3526790</wp:posOffset>
                </wp:positionH>
                <wp:positionV relativeFrom="paragraph">
                  <wp:posOffset>2156460</wp:posOffset>
                </wp:positionV>
                <wp:extent cx="1134110" cy="467360"/>
                <wp:effectExtent l="6985" t="17780" r="20955" b="29210"/>
                <wp:wrapNone/>
                <wp:docPr id="8" name="直接连接符 8"/>
                <wp:cNvGraphicFramePr/>
                <a:graphic xmlns:a="http://schemas.openxmlformats.org/drawingml/2006/main">
                  <a:graphicData uri="http://schemas.microsoft.com/office/word/2010/wordprocessingShape">
                    <wps:wsp>
                      <wps:cNvCnPr/>
                      <wps:spPr>
                        <a:xfrm flipV="1">
                          <a:off x="0" y="0"/>
                          <a:ext cx="1134110" cy="467360"/>
                        </a:xfrm>
                        <a:prstGeom prst="line">
                          <a:avLst/>
                        </a:prstGeom>
                        <a:ln w="38100"/>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7.7pt;margin-top:169.8pt;height:36.8pt;width:89.3pt;z-index:251665408;mso-width-relative:page;mso-height-relative:page;" filled="f" stroked="t" coordsize="21600,21600" o:gfxdata="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XFvmh3AAAAAsBAAAPAAAAAAAAAAEAIAAAACIAAABkcnMvZG93bnJldi54&#10;bWxQSwECFAAUAAAACACHTuJAR6M68fYBAADBAwAADgAAAAAAAAABACAAAAArAQAAZHJzL2Uyb0Rv&#10;Yy54bWxQSwUGAAAAAAYABgBZAQAAkwUAAAAA&#10;">
                <v:fill on="f" focussize="0,0"/>
                <v:stroke weight="3pt" color="#4874CB [3204]" miterlimit="8" joinstyle="miter"/>
                <v:imagedata o:title=""/>
                <o:lock v:ext="edit" aspectratio="f"/>
              </v:line>
            </w:pict>
          </mc:Fallback>
        </mc:AlternateContent>
      </w:r>
      <w:r>
        <w:rPr>
          <w:color w:val="000000" w:themeColor="text1"/>
          <w:sz w:val="24"/>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3526790</wp:posOffset>
                </wp:positionH>
                <wp:positionV relativeFrom="paragraph">
                  <wp:posOffset>948690</wp:posOffset>
                </wp:positionV>
                <wp:extent cx="474980" cy="1649730"/>
                <wp:effectExtent l="18415" t="5080" r="20955" b="21590"/>
                <wp:wrapNone/>
                <wp:docPr id="2" name="直接连接符 2"/>
                <wp:cNvGraphicFramePr/>
                <a:graphic xmlns:a="http://schemas.openxmlformats.org/drawingml/2006/main">
                  <a:graphicData uri="http://schemas.microsoft.com/office/word/2010/wordprocessingShape">
                    <wps:wsp>
                      <wps:cNvCnPr/>
                      <wps:spPr>
                        <a:xfrm flipV="1">
                          <a:off x="5020945" y="2242820"/>
                          <a:ext cx="474980" cy="1649730"/>
                        </a:xfrm>
                        <a:prstGeom prst="line">
                          <a:avLst/>
                        </a:prstGeom>
                        <a:ln w="38100"/>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277.7pt;margin-top:74.7pt;height:129.9pt;width:37.4pt;z-index:251663360;mso-width-relative:page;mso-height-relative:page;" filled="f" stroked="t" coordsize="21600,21600" o:gfxdata="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N7c17bAAAACwEAAA8AAAAAAAAAAQAgAAAAIgAA&#10;AGRycy9kb3ducmV2LnhtbFBLAQIUABQAAAAIAIdO4kBVVgDfBQIAAM0DAAAOAAAAAAAAAAEAIAAA&#10;ACoBAABkcnMvZTJvRG9jLnhtbFBLBQYAAAAABgAGAFkBAAChBQAAAAA=&#10;">
                <v:fill on="f" focussize="0,0"/>
                <v:stroke weight="3pt" color="#4874CB [3204]" miterlimit="8" joinstyle="miter"/>
                <v:imagedata o:title=""/>
                <o:lock v:ext="edit" aspectratio="f"/>
              </v:line>
            </w:pict>
          </mc:Fallback>
        </mc:AlternateContent>
      </w:r>
      <w:r>
        <w:drawing>
          <wp:inline distT="0" distB="0" distL="114300" distR="114300">
            <wp:extent cx="6565900" cy="5243195"/>
            <wp:effectExtent l="0" t="0" r="6350" b="1460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38"/>
                    <a:stretch>
                      <a:fillRect/>
                    </a:stretch>
                  </pic:blipFill>
                  <pic:spPr>
                    <a:xfrm>
                      <a:off x="0" y="0"/>
                      <a:ext cx="6565900" cy="5243195"/>
                    </a:xfrm>
                    <a:prstGeom prst="rect">
                      <a:avLst/>
                    </a:prstGeom>
                    <a:noFill/>
                    <a:ln>
                      <a:noFill/>
                    </a:ln>
                  </pic:spPr>
                </pic:pic>
              </a:graphicData>
            </a:graphic>
          </wp:inline>
        </w:drawing>
      </w:r>
    </w:p>
    <w:p w14:paraId="255F3991">
      <w:pPr>
        <w:pStyle w:val="2"/>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附图5声功能环境图</w:t>
      </w:r>
    </w:p>
    <w:p w14:paraId="45BD7498">
      <w:pPr>
        <w:ind w:left="0" w:leftChars="0" w:firstLine="0" w:firstLineChars="0"/>
        <w:rPr>
          <w:rFonts w:hint="default"/>
          <w:color w:val="000000" w:themeColor="text1"/>
          <w:lang w:val="en-US" w:eastAsia="zh-CN"/>
          <w14:textFill>
            <w14:solidFill>
              <w14:schemeClr w14:val="tx1"/>
            </w14:solidFill>
          </w14:textFill>
        </w:rPr>
      </w:pPr>
      <w:r>
        <w:rPr>
          <w:color w:val="000000" w:themeColor="text1"/>
          <w:sz w:val="24"/>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4528185</wp:posOffset>
                </wp:positionH>
                <wp:positionV relativeFrom="paragraph">
                  <wp:posOffset>1823085</wp:posOffset>
                </wp:positionV>
                <wp:extent cx="781685" cy="278130"/>
                <wp:effectExtent l="6350" t="6350" r="12065" b="153670"/>
                <wp:wrapNone/>
                <wp:docPr id="18" name="圆角矩形标注 18"/>
                <wp:cNvGraphicFramePr/>
                <a:graphic xmlns:a="http://schemas.openxmlformats.org/drawingml/2006/main">
                  <a:graphicData uri="http://schemas.microsoft.com/office/word/2010/wordprocessingShape">
                    <wps:wsp>
                      <wps:cNvSpPr/>
                      <wps:spPr>
                        <a:xfrm>
                          <a:off x="5793740" y="3141345"/>
                          <a:ext cx="781685" cy="278130"/>
                        </a:xfrm>
                        <a:prstGeom prst="wedgeRoundRectCallout">
                          <a:avLst>
                            <a:gd name="adj1" fmla="val -44557"/>
                            <a:gd name="adj2" fmla="val 97107"/>
                            <a:gd name="adj3" fmla="val 16667"/>
                          </a:avLst>
                        </a:prstGeom>
                        <a:solidFill>
                          <a:schemeClr val="bg1"/>
                        </a:solidFill>
                      </wps:spPr>
                      <wps:style>
                        <a:lnRef idx="2">
                          <a:schemeClr val="accent1">
                            <a:lumMod val="75000"/>
                          </a:schemeClr>
                        </a:lnRef>
                        <a:fillRef idx="1">
                          <a:schemeClr val="accent1"/>
                        </a:fillRef>
                        <a:effectRef idx="0">
                          <a:srgbClr val="FFFFFF"/>
                        </a:effectRef>
                        <a:fontRef idx="minor">
                          <a:schemeClr val="lt1"/>
                        </a:fontRef>
                      </wps:style>
                      <wps:txbx>
                        <w:txbxContent>
                          <w:p w14:paraId="658D1002">
                            <w:pPr>
                              <w:ind w:left="0" w:leftChars="0" w:firstLine="0" w:firstLineChars="0"/>
                              <w:jc w:val="both"/>
                              <w:rPr>
                                <w:rFonts w:hint="default" w:eastAsia="宋体"/>
                                <w:color w:val="000000" w:themeColor="text1"/>
                                <w:sz w:val="15"/>
                                <w:szCs w:val="15"/>
                                <w:lang w:val="en-US" w:eastAsia="zh-CN"/>
                                <w14:textFill>
                                  <w14:solidFill>
                                    <w14:schemeClr w14:val="tx1"/>
                                  </w14:solidFill>
                                </w14:textFill>
                              </w:rPr>
                            </w:pPr>
                            <w:r>
                              <w:rPr>
                                <w:rFonts w:hint="eastAsia"/>
                                <w:color w:val="000000" w:themeColor="text1"/>
                                <w:sz w:val="15"/>
                                <w:szCs w:val="15"/>
                                <w:lang w:val="en-US" w:eastAsia="zh-CN"/>
                                <w14:textFill>
                                  <w14:solidFill>
                                    <w14:schemeClr w14:val="tx1"/>
                                  </w14:solidFill>
                                </w14:textFill>
                              </w:rPr>
                              <w:t>本项目位置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356.55pt;margin-top:143.55pt;height:21.9pt;width:61.55pt;z-index:251662336;v-text-anchor:middle;mso-width-relative:page;mso-height-relative:page;" fillcolor="#FFFFFF [3212]" filled="t" stroked="t" coordsize="21600,21600" o:gfxdata="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&#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" adj="1176,31775,14400">
                <v:fill on="t" focussize="0,0"/>
                <v:stroke weight="1pt" color="#2E54A1 [2404]" miterlimit="8" joinstyle="miter"/>
                <v:imagedata o:title=""/>
                <o:lock v:ext="edit" aspectratio="f"/>
                <v:textbox>
                  <w:txbxContent>
                    <w:p w14:paraId="658D1002">
                      <w:pPr>
                        <w:ind w:left="0" w:leftChars="0" w:firstLine="0" w:firstLineChars="0"/>
                        <w:jc w:val="both"/>
                        <w:rPr>
                          <w:rFonts w:hint="default" w:eastAsia="宋体"/>
                          <w:color w:val="000000" w:themeColor="text1"/>
                          <w:sz w:val="15"/>
                          <w:szCs w:val="15"/>
                          <w:lang w:val="en-US" w:eastAsia="zh-CN"/>
                          <w14:textFill>
                            <w14:solidFill>
                              <w14:schemeClr w14:val="tx1"/>
                            </w14:solidFill>
                          </w14:textFill>
                        </w:rPr>
                      </w:pPr>
                      <w:r>
                        <w:rPr>
                          <w:rFonts w:hint="eastAsia"/>
                          <w:color w:val="000000" w:themeColor="text1"/>
                          <w:sz w:val="15"/>
                          <w:szCs w:val="15"/>
                          <w:lang w:val="en-US" w:eastAsia="zh-CN"/>
                          <w14:textFill>
                            <w14:solidFill>
                              <w14:schemeClr w14:val="tx1"/>
                            </w14:solidFill>
                          </w14:textFill>
                        </w:rPr>
                        <w:t>本项目位置</w:t>
                      </w:r>
                    </w:p>
                  </w:txbxContent>
                </v:textbox>
              </v:shape>
            </w:pict>
          </mc:Fallback>
        </mc:AlternateContent>
      </w:r>
      <w:r>
        <w:rPr>
          <w:rFonts w:hint="default"/>
          <w:color w:val="000000" w:themeColor="text1"/>
          <w:lang w:val="en-US" w:eastAsia="zh-CN"/>
          <w14:textFill>
            <w14:solidFill>
              <w14:schemeClr w14:val="tx1"/>
            </w14:solidFill>
          </w14:textFill>
        </w:rPr>
        <w:drawing>
          <wp:inline distT="0" distB="0" distL="114300" distR="114300">
            <wp:extent cx="8524240" cy="5283835"/>
            <wp:effectExtent l="0" t="0" r="10160" b="12065"/>
            <wp:docPr id="17" name="图片 17" descr="鄂尔多斯市（东胜区、康巴什区）声环境功能区划分示意图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鄂尔多斯市（东胜区、康巴什区）声环境功能区划分示意图 (1)"/>
                    <pic:cNvPicPr>
                      <a:picLocks noChangeAspect="1"/>
                    </pic:cNvPicPr>
                  </pic:nvPicPr>
                  <pic:blipFill>
                    <a:blip r:embed="rId39"/>
                    <a:stretch>
                      <a:fillRect/>
                    </a:stretch>
                  </pic:blipFill>
                  <pic:spPr>
                    <a:xfrm>
                      <a:off x="0" y="0"/>
                      <a:ext cx="8524240" cy="5283835"/>
                    </a:xfrm>
                    <a:prstGeom prst="rect">
                      <a:avLst/>
                    </a:prstGeom>
                  </pic:spPr>
                </pic:pic>
              </a:graphicData>
            </a:graphic>
          </wp:inline>
        </w:drawing>
      </w:r>
    </w:p>
    <w:sectPr>
      <w:pgSz w:w="16838" w:h="11906" w:orient="landscape"/>
      <w:pgMar w:top="1531" w:right="1701" w:bottom="1531" w:left="1701" w:header="851" w:footer="851" w:gutter="0"/>
      <w:pgNumType w:fmt="numberInDash"/>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89064B6-4201-4451-87A7-F8EB2E14BAC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2" w:fontKey="{168EB531-F3DC-45BB-A69F-84D2C85A84DB}"/>
  </w:font>
  <w:font w:name="方正小标宋_GBK">
    <w:panose1 w:val="02000000000000000000"/>
    <w:charset w:val="86"/>
    <w:family w:val="script"/>
    <w:pitch w:val="default"/>
    <w:sig w:usb0="A00002BF" w:usb1="38CF7CFA" w:usb2="00082016" w:usb3="00000000" w:csb0="00040001" w:csb1="00000000"/>
    <w:embedRegular r:id="rId3" w:fontKey="{6CEA0A63-A961-4788-B5CC-5997ADC18B20}"/>
  </w:font>
  <w:font w:name="楷体_GB2312">
    <w:panose1 w:val="02010609030101010101"/>
    <w:charset w:val="86"/>
    <w:family w:val="modern"/>
    <w:pitch w:val="default"/>
    <w:sig w:usb0="00000001" w:usb1="080E0000" w:usb2="00000000" w:usb3="00000000" w:csb0="00040000" w:csb1="00000000"/>
    <w:embedRegular r:id="rId4" w:fontKey="{677C0D70-9333-434A-88EE-5910AEECADF0}"/>
  </w:font>
  <w:font w:name="华文仿宋">
    <w:panose1 w:val="02010600040101010101"/>
    <w:charset w:val="86"/>
    <w:family w:val="auto"/>
    <w:pitch w:val="default"/>
    <w:sig w:usb0="00000287" w:usb1="080F0000" w:usb2="00000000" w:usb3="00000000" w:csb0="0004009F" w:csb1="DFD70000"/>
    <w:embedRegular r:id="rId5" w:fontKey="{A9A0CFDE-EA3A-4B3E-B480-38A1486D87D0}"/>
  </w:font>
  <w:font w:name="仿宋">
    <w:panose1 w:val="02010609060101010101"/>
    <w:charset w:val="86"/>
    <w:family w:val="modern"/>
    <w:pitch w:val="default"/>
    <w:sig w:usb0="800002BF" w:usb1="38CF7CFA" w:usb2="00000016" w:usb3="00000000" w:csb0="00040001" w:csb1="00000000"/>
    <w:embedRegular r:id="rId6" w:fontKey="{A424CDE7-4C17-44EE-B6AC-F386F96164AF}"/>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F73399">
    <w:pPr>
      <w:pStyle w:val="8"/>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603A52">
    <w:pPr>
      <w:pStyle w:val="8"/>
      <w:framePr w:wrap="around" w:vAnchor="text" w:hAnchor="margin" w:xAlign="center" w:y="1"/>
      <w:ind w:firstLine="360"/>
      <w:rPr>
        <w:rStyle w:val="17"/>
      </w:rPr>
    </w:pPr>
    <w:r>
      <w:fldChar w:fldCharType="begin"/>
    </w:r>
    <w:r>
      <w:rPr>
        <w:rStyle w:val="17"/>
      </w:rPr>
      <w:instrText xml:space="preserve">PAGE  </w:instrText>
    </w:r>
    <w:r>
      <w:fldChar w:fldCharType="end"/>
    </w:r>
  </w:p>
  <w:p w14:paraId="372AAD8C">
    <w:pPr>
      <w:pStyle w:val="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238506">
    <w:pPr>
      <w:pStyle w:val="8"/>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10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F106CD1">
                          <w:pPr>
                            <w:pStyle w:val="8"/>
                            <w:ind w:firstLine="0" w:firstLineChars="0"/>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03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DfvDoCzAEAAJ0DAAAOAAAAAAAAAAEAIAAAAB4BAABkcnMvZTJv&#10;RG9jLnhtbFBLBQYAAAAABgAGAFkBAABcBQAAAAA=&#10;">
              <v:fill on="f" focussize="0,0"/>
              <v:stroke on="f"/>
              <v:imagedata o:title=""/>
              <o:lock v:ext="edit" aspectratio="f"/>
              <v:textbox inset="0mm,0mm,0mm,0mm" style="mso-fit-shape-to-text:t;">
                <w:txbxContent>
                  <w:p w14:paraId="4F106CD1">
                    <w:pPr>
                      <w:pStyle w:val="8"/>
                      <w:ind w:firstLine="0" w:firstLineChars="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D3FFC5">
    <w:pPr>
      <w:pStyle w:val="8"/>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10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C7662C9">
                          <w:pPr>
                            <w:pStyle w:val="8"/>
                            <w:ind w:firstLine="360"/>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文本框 103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LQ/y7s0BAACdAwAADgAAAAAAAAABACAAAAAeAQAAZHJzL2Uy&#10;b0RvYy54bWxQSwUGAAAAAAYABgBZAQAAXQUAAAAA&#10;">
              <v:fill on="f" focussize="0,0"/>
              <v:stroke on="f"/>
              <v:imagedata o:title=""/>
              <o:lock v:ext="edit" aspectratio="f"/>
              <v:textbox inset="0mm,0mm,0mm,0mm" style="mso-fit-shape-to-text:t;">
                <w:txbxContent>
                  <w:p w14:paraId="1C7662C9">
                    <w:pPr>
                      <w:pStyle w:val="8"/>
                      <w:ind w:firstLine="36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EE3187">
    <w:pPr>
      <w:pStyle w:val="8"/>
      <w:ind w:right="360" w:firstLine="36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10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9019415">
                          <w:pPr>
                            <w:pStyle w:val="8"/>
                            <w:ind w:firstLine="360"/>
                          </w:pPr>
                          <w:r>
                            <w:fldChar w:fldCharType="begin"/>
                          </w:r>
                          <w:r>
                            <w:instrText xml:space="preserve"> PAGE  \* MERGEFORMAT </w:instrText>
                          </w:r>
                          <w:r>
                            <w:fldChar w:fldCharType="separate"/>
                          </w:r>
                          <w:r>
                            <w:t>7</w:t>
                          </w:r>
                          <w:r>
                            <w:fldChar w:fldCharType="end"/>
                          </w:r>
                        </w:p>
                      </w:txbxContent>
                    </wps:txbx>
                    <wps:bodyPr wrap="none" lIns="0" tIns="0" rIns="0" bIns="0" upright="0">
                      <a:spAutoFit/>
                    </wps:bodyPr>
                  </wps:wsp>
                </a:graphicData>
              </a:graphic>
            </wp:anchor>
          </w:drawing>
        </mc:Choice>
        <mc:Fallback>
          <w:pict>
            <v:shape id="文本框 1034"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DhnIIDzAEAAJ0DAAAOAAAAAAAAAAEAIAAAAB4BAABkcnMvZTJv&#10;RG9jLnhtbFBLBQYAAAAABgAGAFkBAABcBQAAAAA=&#10;">
              <v:fill on="f" focussize="0,0"/>
              <v:stroke on="f"/>
              <v:imagedata o:title=""/>
              <o:lock v:ext="edit" aspectratio="f"/>
              <v:textbox inset="0mm,0mm,0mm,0mm" style="mso-fit-shape-to-text:t;">
                <w:txbxContent>
                  <w:p w14:paraId="59019415">
                    <w:pPr>
                      <w:pStyle w:val="8"/>
                      <w:ind w:firstLine="360"/>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D2399C">
    <w:pPr>
      <w:pStyle w:val="8"/>
      <w:ind w:right="360" w:firstLine="36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10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795BDFD">
                          <w:pPr>
                            <w:pStyle w:val="8"/>
                            <w:ind w:firstLine="360"/>
                          </w:pPr>
                          <w:r>
                            <w:fldChar w:fldCharType="begin"/>
                          </w:r>
                          <w:r>
                            <w:instrText xml:space="preserve"> PAGE  \* MERGEFORMAT </w:instrText>
                          </w:r>
                          <w:r>
                            <w:fldChar w:fldCharType="separate"/>
                          </w:r>
                          <w:r>
                            <w:t>8</w:t>
                          </w:r>
                          <w:r>
                            <w:fldChar w:fldCharType="end"/>
                          </w:r>
                        </w:p>
                      </w:txbxContent>
                    </wps:txbx>
                    <wps:bodyPr wrap="none" lIns="0" tIns="0" rIns="0" bIns="0" upright="0">
                      <a:spAutoFit/>
                    </wps:bodyPr>
                  </wps:wsp>
                </a:graphicData>
              </a:graphic>
            </wp:anchor>
          </w:drawing>
        </mc:Choice>
        <mc:Fallback>
          <w:pict>
            <v:shape id="文本框 1035"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D8Bvg1zAEAAJ0DAAAOAAAAAAAAAAEAIAAAAB4BAABkcnMvZTJv&#10;RG9jLnhtbFBLBQYAAAAABgAGAFkBAABcBQAAAAA=&#10;">
              <v:fill on="f" focussize="0,0"/>
              <v:stroke on="f"/>
              <v:imagedata o:title=""/>
              <o:lock v:ext="edit" aspectratio="f"/>
              <v:textbox inset="0mm,0mm,0mm,0mm" style="mso-fit-shape-to-text:t;">
                <w:txbxContent>
                  <w:p w14:paraId="1795BDFD">
                    <w:pPr>
                      <w:pStyle w:val="8"/>
                      <w:ind w:firstLine="360"/>
                    </w:pPr>
                    <w:r>
                      <w:fldChar w:fldCharType="begin"/>
                    </w:r>
                    <w:r>
                      <w:instrText xml:space="preserve"> PAGE  \* MERGEFORMAT </w:instrText>
                    </w:r>
                    <w:r>
                      <w:fldChar w:fldCharType="separate"/>
                    </w:r>
                    <w:r>
                      <w:t>8</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B8E925">
    <w:pPr>
      <w:pStyle w:val="9"/>
      <w:pBdr>
        <w:bottom w:val="none" w:color="auto" w:sz="0" w:space="1"/>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1F209F">
    <w:pPr>
      <w:pStyle w:val="9"/>
      <w:pBdr>
        <w:top w:val="none" w:color="auto" w:sz="0" w:space="1"/>
        <w:left w:val="none" w:color="auto" w:sz="0" w:space="4"/>
        <w:bottom w:val="thinThickSmallGap" w:color="auto" w:sz="12" w:space="1"/>
        <w:right w:val="none" w:color="auto" w:sz="0" w:space="4"/>
      </w:pBdr>
      <w:spacing w:line="240" w:lineRule="auto"/>
      <w:ind w:firstLine="0" w:firstLineChars="0"/>
      <w:jc w:val="both"/>
    </w:pPr>
    <w:r>
      <w:rPr>
        <w:rFonts w:hint="eastAsia"/>
        <w:lang w:eastAsia="zh-CN"/>
      </w:rPr>
      <w:t>鄂尔多斯市宇驰顺捷汽车销售服务有限公司</w:t>
    </w:r>
    <w:r>
      <w:rPr>
        <w:rFonts w:hint="eastAsia"/>
      </w:rPr>
      <w:t>危险废物贮存库建设项目</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7"/>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FBE4952"/>
    <w:rsid w:val="0221260B"/>
    <w:rsid w:val="05BB403A"/>
    <w:rsid w:val="0A085F08"/>
    <w:rsid w:val="10902DA6"/>
    <w:rsid w:val="10D01386"/>
    <w:rsid w:val="123C26B1"/>
    <w:rsid w:val="14AE0553"/>
    <w:rsid w:val="157D6CD0"/>
    <w:rsid w:val="188A78F8"/>
    <w:rsid w:val="1E9858BE"/>
    <w:rsid w:val="237306E7"/>
    <w:rsid w:val="23844170"/>
    <w:rsid w:val="28F17EC7"/>
    <w:rsid w:val="2D90336F"/>
    <w:rsid w:val="2FEC467D"/>
    <w:rsid w:val="30AE521E"/>
    <w:rsid w:val="35E952DB"/>
    <w:rsid w:val="3D893E15"/>
    <w:rsid w:val="4B920B5A"/>
    <w:rsid w:val="54E11C81"/>
    <w:rsid w:val="554A7B3B"/>
    <w:rsid w:val="5FBE4952"/>
    <w:rsid w:val="669C5331"/>
    <w:rsid w:val="6A395457"/>
    <w:rsid w:val="6DB56D8F"/>
    <w:rsid w:val="70244C09"/>
    <w:rsid w:val="716C57B3"/>
    <w:rsid w:val="7F480277"/>
    <w:rsid w:val="7F4B0A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72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qFormat/>
    <w:uiPriority w:val="0"/>
    <w:pPr>
      <w:keepNext/>
      <w:overflowPunct w:val="0"/>
      <w:snapToGrid w:val="0"/>
      <w:spacing w:line="360" w:lineRule="auto"/>
      <w:ind w:left="0" w:firstLine="0" w:firstLineChars="0"/>
      <w:outlineLvl w:val="0"/>
    </w:pPr>
    <w:rPr>
      <w:rFonts w:ascii="Times New Roman" w:hAnsi="Times New Roman" w:eastAsia="黑体"/>
      <w:b/>
      <w:bCs/>
      <w:color w:val="000000"/>
      <w:kern w:val="44"/>
      <w:sz w:val="24"/>
      <w:szCs w:val="30"/>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3">
    <w:name w:val="Normal Indent"/>
    <w:basedOn w:val="1"/>
    <w:next w:val="4"/>
    <w:qFormat/>
    <w:uiPriority w:val="0"/>
    <w:pPr>
      <w:adjustRightInd w:val="0"/>
      <w:spacing w:line="320" w:lineRule="atLeast"/>
      <w:ind w:firstLine="420"/>
      <w:textAlignment w:val="baseline"/>
    </w:pPr>
    <w:rPr>
      <w:rFonts w:ascii="Times New Roman" w:hAnsi="Times New Roman" w:eastAsia="宋体" w:cs="Times New Roman"/>
      <w:kern w:val="0"/>
      <w:sz w:val="21"/>
      <w:szCs w:val="20"/>
    </w:rPr>
  </w:style>
  <w:style w:type="paragraph" w:styleId="4">
    <w:name w:val="Body Text First Indent 2"/>
    <w:basedOn w:val="5"/>
    <w:next w:val="1"/>
    <w:qFormat/>
    <w:uiPriority w:val="0"/>
    <w:pPr>
      <w:spacing w:after="120" w:afterLines="0" w:line="240" w:lineRule="auto"/>
      <w:ind w:left="420" w:leftChars="200" w:firstLine="420" w:firstLineChars="200"/>
    </w:pPr>
    <w:rPr>
      <w:sz w:val="21"/>
      <w:szCs w:val="24"/>
    </w:rPr>
  </w:style>
  <w:style w:type="paragraph" w:styleId="5">
    <w:name w:val="Body Text Indent"/>
    <w:basedOn w:val="1"/>
    <w:next w:val="1"/>
    <w:qFormat/>
    <w:uiPriority w:val="0"/>
    <w:pPr>
      <w:spacing w:after="120"/>
      <w:ind w:left="420" w:leftChars="200"/>
    </w:pPr>
    <w:rPr>
      <w:kern w:val="0"/>
      <w:sz w:val="24"/>
      <w:szCs w:val="20"/>
    </w:rPr>
  </w:style>
  <w:style w:type="paragraph" w:styleId="6">
    <w:name w:val="annotation text"/>
    <w:basedOn w:val="1"/>
    <w:qFormat/>
    <w:uiPriority w:val="0"/>
    <w:pPr>
      <w:jc w:val="left"/>
    </w:pPr>
  </w:style>
  <w:style w:type="paragraph" w:styleId="7">
    <w:name w:val="Body Text"/>
    <w:basedOn w:val="1"/>
    <w:next w:val="4"/>
    <w:qFormat/>
    <w:uiPriority w:val="0"/>
    <w:pPr>
      <w:widowControl/>
      <w:snapToGrid w:val="0"/>
      <w:spacing w:before="60" w:after="160" w:line="259" w:lineRule="auto"/>
      <w:ind w:right="113"/>
    </w:pPr>
    <w:rPr>
      <w:kern w:val="0"/>
      <w:sz w:val="18"/>
      <w:szCs w:val="20"/>
    </w:rPr>
  </w:style>
  <w:style w:type="paragraph" w:styleId="8">
    <w:name w:val="footer"/>
    <w:basedOn w:val="1"/>
    <w:qFormat/>
    <w:uiPriority w:val="99"/>
    <w:pPr>
      <w:tabs>
        <w:tab w:val="center" w:pos="4153"/>
        <w:tab w:val="right" w:pos="8306"/>
      </w:tabs>
      <w:snapToGrid w:val="0"/>
      <w:jc w:val="left"/>
    </w:pPr>
    <w:rPr>
      <w:kern w:val="0"/>
      <w:sz w:val="18"/>
      <w:szCs w:val="20"/>
    </w:rPr>
  </w:style>
  <w:style w:type="paragraph" w:styleId="9">
    <w:name w:val="header"/>
    <w:basedOn w:val="1"/>
    <w:qFormat/>
    <w:uiPriority w:val="0"/>
    <w:pPr>
      <w:pBdr>
        <w:bottom w:val="single" w:color="auto" w:sz="6" w:space="1"/>
      </w:pBdr>
      <w:tabs>
        <w:tab w:val="center" w:pos="4153"/>
        <w:tab w:val="right" w:pos="8306"/>
      </w:tabs>
      <w:snapToGrid w:val="0"/>
      <w:jc w:val="center"/>
    </w:pPr>
    <w:rPr>
      <w:kern w:val="0"/>
      <w:sz w:val="18"/>
      <w:szCs w:val="20"/>
    </w:rPr>
  </w:style>
  <w:style w:type="paragraph" w:styleId="10">
    <w:name w:val="toc 2"/>
    <w:basedOn w:val="1"/>
    <w:next w:val="1"/>
    <w:qFormat/>
    <w:uiPriority w:val="0"/>
    <w:pPr>
      <w:ind w:left="420" w:leftChars="200"/>
    </w:pPr>
  </w:style>
  <w:style w:type="paragraph" w:styleId="11">
    <w:name w:val="Body Text 2"/>
    <w:basedOn w:val="1"/>
    <w:next w:val="1"/>
    <w:qFormat/>
    <w:uiPriority w:val="0"/>
    <w:pPr>
      <w:spacing w:after="120" w:line="480" w:lineRule="auto"/>
    </w:pPr>
  </w:style>
  <w:style w:type="paragraph" w:styleId="12">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13">
    <w:name w:val="Title"/>
    <w:basedOn w:val="1"/>
    <w:next w:val="1"/>
    <w:qFormat/>
    <w:uiPriority w:val="0"/>
    <w:pPr>
      <w:spacing w:before="60" w:after="60" w:line="576" w:lineRule="auto"/>
      <w:ind w:firstLine="0" w:firstLineChars="0"/>
      <w:jc w:val="left"/>
      <w:outlineLvl w:val="0"/>
    </w:pPr>
    <w:rPr>
      <w:b/>
      <w:bCs/>
      <w:sz w:val="36"/>
      <w:szCs w:val="32"/>
      <w:lang w:val="zh-CN"/>
    </w:rPr>
  </w:style>
  <w:style w:type="table" w:styleId="15">
    <w:name w:val="Table Grid"/>
    <w:basedOn w:val="14"/>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page number"/>
    <w:qFormat/>
    <w:uiPriority w:val="0"/>
  </w:style>
  <w:style w:type="character" w:styleId="18">
    <w:name w:val="annotation reference"/>
    <w:semiHidden/>
    <w:qFormat/>
    <w:uiPriority w:val="0"/>
    <w:rPr>
      <w:sz w:val="21"/>
    </w:rPr>
  </w:style>
  <w:style w:type="paragraph" w:customStyle="1" w:styleId="19">
    <w:name w:val="样式2"/>
    <w:basedOn w:val="20"/>
    <w:qFormat/>
    <w:uiPriority w:val="0"/>
    <w:rPr>
      <w:rFonts w:ascii="Times New Roman" w:hAnsi="Times New Roman"/>
      <w:szCs w:val="21"/>
    </w:rPr>
  </w:style>
  <w:style w:type="paragraph" w:customStyle="1" w:styleId="20">
    <w:name w:val="样式1"/>
    <w:basedOn w:val="3"/>
    <w:next w:val="1"/>
    <w:qFormat/>
    <w:uiPriority w:val="0"/>
    <w:pPr>
      <w:adjustRightInd w:val="0"/>
      <w:snapToGrid w:val="0"/>
      <w:ind w:firstLine="0" w:firstLineChars="0"/>
      <w:jc w:val="left"/>
    </w:pPr>
    <w:rPr>
      <w:rFonts w:ascii="宋体" w:hAnsi="宋体" w:cs="宋体"/>
      <w:b/>
      <w:bCs/>
      <w:kern w:val="0"/>
    </w:rPr>
  </w:style>
  <w:style w:type="paragraph" w:customStyle="1" w:styleId="21">
    <w:name w:val="表头和图标"/>
    <w:basedOn w:val="1"/>
    <w:qFormat/>
    <w:uiPriority w:val="0"/>
    <w:pPr>
      <w:ind w:firstLine="422"/>
      <w:jc w:val="center"/>
    </w:pPr>
    <w:rPr>
      <w:b/>
      <w:sz w:val="21"/>
    </w:rPr>
  </w:style>
  <w:style w:type="paragraph" w:customStyle="1" w:styleId="22">
    <w:name w:val="1正文"/>
    <w:basedOn w:val="1"/>
    <w:qFormat/>
    <w:uiPriority w:val="0"/>
    <w:pPr>
      <w:widowControl/>
      <w:adjustRightInd w:val="0"/>
      <w:snapToGrid w:val="0"/>
      <w:spacing w:line="360" w:lineRule="auto"/>
      <w:ind w:firstLine="200" w:firstLineChars="200"/>
    </w:pPr>
    <w:rPr>
      <w:color w:val="000000"/>
      <w:kern w:val="1"/>
      <w:sz w:val="24"/>
    </w:rPr>
  </w:style>
  <w:style w:type="paragraph" w:customStyle="1" w:styleId="23">
    <w:name w:val="表格"/>
    <w:basedOn w:val="1"/>
    <w:next w:val="1"/>
    <w:qFormat/>
    <w:uiPriority w:val="0"/>
    <w:pPr>
      <w:adjustRightInd w:val="0"/>
      <w:snapToGrid w:val="0"/>
      <w:spacing w:beforeLines="10" w:afterLines="10" w:line="259" w:lineRule="auto"/>
      <w:jc w:val="center"/>
    </w:pPr>
    <w:rPr>
      <w:rFonts w:ascii="宋体"/>
      <w:kern w:val="0"/>
      <w:szCs w:val="20"/>
    </w:rPr>
  </w:style>
  <w:style w:type="paragraph" w:customStyle="1" w:styleId="24">
    <w:name w:val="A样式 小四 行距: 1.5 倍行距 首行缩进:  2 字符"/>
    <w:basedOn w:val="1"/>
    <w:qFormat/>
    <w:uiPriority w:val="0"/>
    <w:pPr>
      <w:ind w:firstLine="480"/>
    </w:pPr>
    <w:rPr>
      <w:rFonts w:cs="宋体"/>
      <w:szCs w:val="22"/>
    </w:rPr>
  </w:style>
  <w:style w:type="paragraph" w:customStyle="1" w:styleId="25">
    <w:name w:val="Date1"/>
    <w:basedOn w:val="1"/>
    <w:next w:val="1"/>
    <w:qFormat/>
    <w:uiPriority w:val="0"/>
    <w:pPr>
      <w:adjustRightInd w:val="0"/>
      <w:textAlignment w:val="baseline"/>
    </w:pPr>
    <w:rPr>
      <w:szCs w:val="20"/>
    </w:rPr>
  </w:style>
  <w:style w:type="paragraph" w:customStyle="1" w:styleId="26">
    <w:name w:val="表体"/>
    <w:basedOn w:val="1"/>
    <w:qFormat/>
    <w:uiPriority w:val="0"/>
    <w:pPr>
      <w:jc w:val="center"/>
    </w:pPr>
    <w:rPr>
      <w:rFonts w:ascii="Calibri" w:hAnsi="Calibri" w:cs="Calibri"/>
      <w:szCs w:val="24"/>
    </w:rPr>
  </w:style>
  <w:style w:type="paragraph" w:customStyle="1" w:styleId="27">
    <w:name w:val="Ay正文"/>
    <w:basedOn w:val="1"/>
    <w:qFormat/>
    <w:uiPriority w:val="0"/>
    <w:pPr>
      <w:spacing w:line="360" w:lineRule="auto"/>
      <w:ind w:firstLine="200" w:firstLineChars="200"/>
    </w:pPr>
    <w:rPr>
      <w:sz w:val="24"/>
    </w:rPr>
  </w:style>
  <w:style w:type="paragraph" w:customStyle="1" w:styleId="28">
    <w:name w:val="HP 表格内容"/>
    <w:basedOn w:val="1"/>
    <w:qFormat/>
    <w:uiPriority w:val="0"/>
    <w:pPr>
      <w:widowControl/>
      <w:spacing w:line="440" w:lineRule="exact"/>
      <w:jc w:val="center"/>
    </w:pPr>
    <w:rPr>
      <w:kern w:val="0"/>
      <w:szCs w:val="21"/>
    </w:rPr>
  </w:style>
  <w:style w:type="paragraph" w:customStyle="1" w:styleId="29">
    <w:name w:val="文章正文"/>
    <w:basedOn w:val="1"/>
    <w:qFormat/>
    <w:uiPriority w:val="0"/>
    <w:pPr>
      <w:spacing w:line="440" w:lineRule="exact"/>
      <w:ind w:firstLine="600" w:firstLineChars="200"/>
    </w:pPr>
    <w:rPr>
      <w:kern w:val="0"/>
      <w:sz w:val="24"/>
      <w:szCs w:val="20"/>
    </w:rPr>
  </w:style>
  <w:style w:type="character" w:customStyle="1" w:styleId="30">
    <w:name w:val="文章正文 Char Char"/>
    <w:qFormat/>
    <w:uiPriority w:val="0"/>
    <w:rPr>
      <w:kern w:val="0"/>
      <w:sz w:val="24"/>
    </w:rPr>
  </w:style>
  <w:style w:type="paragraph" w:customStyle="1" w:styleId="31">
    <w:name w:val="表文字"/>
    <w:qFormat/>
    <w:uiPriority w:val="0"/>
    <w:pPr>
      <w:widowControl w:val="0"/>
      <w:adjustRightInd w:val="0"/>
      <w:snapToGrid w:val="0"/>
      <w:spacing w:line="270" w:lineRule="exact"/>
      <w:ind w:left="57" w:right="57"/>
      <w:jc w:val="center"/>
    </w:pPr>
    <w:rPr>
      <w:rFonts w:ascii="Times New Roman" w:hAnsi="Times New Roman" w:eastAsia="宋体" w:cs="Times New Roman"/>
      <w:kern w:val="18"/>
      <w:sz w:val="18"/>
      <w:szCs w:val="20"/>
      <w:lang w:val="en-GB" w:eastAsia="zh-CN" w:bidi="ar-SA"/>
    </w:rPr>
  </w:style>
  <w:style w:type="paragraph" w:customStyle="1" w:styleId="32">
    <w:name w:val="[1]正文"/>
    <w:basedOn w:val="1"/>
    <w:qFormat/>
    <w:uiPriority w:val="0"/>
    <w:pPr>
      <w:autoSpaceDE w:val="0"/>
      <w:autoSpaceDN w:val="0"/>
      <w:ind w:firstLine="200" w:firstLineChars="200"/>
    </w:pPr>
    <w:rPr>
      <w:color w:val="000000"/>
      <w:kern w:val="0"/>
      <w:szCs w:val="24"/>
      <w:lang w:val="zh-CN"/>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1" Type="http://schemas.openxmlformats.org/officeDocument/2006/relationships/fontTable" Target="fontTable.xml"/><Relationship Id="rId40" Type="http://schemas.openxmlformats.org/officeDocument/2006/relationships/customXml" Target="../customXml/item1.xml"/><Relationship Id="rId4" Type="http://schemas.openxmlformats.org/officeDocument/2006/relationships/endnotes" Target="endnotes.xml"/><Relationship Id="rId39" Type="http://schemas.openxmlformats.org/officeDocument/2006/relationships/image" Target="media/image26.jpeg"/><Relationship Id="rId38" Type="http://schemas.openxmlformats.org/officeDocument/2006/relationships/image" Target="media/image25.png"/><Relationship Id="rId37" Type="http://schemas.openxmlformats.org/officeDocument/2006/relationships/image" Target="media/image24.png"/><Relationship Id="rId36" Type="http://schemas.openxmlformats.org/officeDocument/2006/relationships/image" Target="media/image23.png"/><Relationship Id="rId35" Type="http://schemas.openxmlformats.org/officeDocument/2006/relationships/image" Target="media/image22.jpeg"/><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png"/><Relationship Id="rId30" Type="http://schemas.openxmlformats.org/officeDocument/2006/relationships/image" Target="media/image17.png"/><Relationship Id="rId3" Type="http://schemas.openxmlformats.org/officeDocument/2006/relationships/footnotes" Target="footnotes.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65</Pages>
  <Words>29697</Words>
  <Characters>31866</Characters>
  <Lines>0</Lines>
  <Paragraphs>0</Paragraphs>
  <TotalTime>62</TotalTime>
  <ScaleCrop>false</ScaleCrop>
  <LinksUpToDate>false</LinksUpToDate>
  <CharactersWithSpaces>31866</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2025-02-12T01:07:00Z</dcterms:created>
  <dc:creator>IKL</dc:creator>
  <cp:lastModifiedBy>IKL</cp:lastModifiedBy>
  <cp:lastPrinted>2025-02-14T01:54:00Z</cp:lastPrinted>
  <dcterms:modified xsi:type="dcterms:W3CDTF">2025-04-02T06:16:24Z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C79078B723C040A69C8C23F63A157FBE_13</vt:lpwstr>
  </property>
  <property fmtid="{D5CDD505-2E9C-101B-9397-08002B2CF9AE}" pid="4" name="KSOTemplateDocerSaveRecord">
    <vt:lpwstr>eyJoZGlkIjoiMzQyZWY4NzczNWEzNjAxOTdkOWVjYTQ2MWQ0OTUwZDMiLCJ1c2VySWQiOiIyNzU2MTcxNzAifQ==</vt:lpwstr>
  </property>
</Properties>
</file>