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5F535">
      <w:pPr>
        <w:ind w:firstLine="480" w:firstLineChars="200"/>
        <w:rPr>
          <w:color w:val="000000"/>
          <w:sz w:val="24"/>
          <w:szCs w:val="24"/>
        </w:rPr>
      </w:pPr>
      <w:r>
        <w:rPr>
          <w:rFonts w:hint="eastAsia"/>
          <w:color w:val="000000"/>
          <w:sz w:val="24"/>
          <w:szCs w:val="24"/>
        </w:rPr>
        <w:t>项目情况表</w:t>
      </w:r>
    </w:p>
    <w:tbl>
      <w:tblPr>
        <w:tblStyle w:val="11"/>
        <w:tblpPr w:leftFromText="180" w:rightFromText="180" w:vertAnchor="text" w:horzAnchor="margin" w:tblpXSpec="center" w:tblpY="179"/>
        <w:tblOverlap w:val="never"/>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73"/>
        <w:gridCol w:w="397"/>
        <w:gridCol w:w="465"/>
        <w:gridCol w:w="675"/>
        <w:gridCol w:w="2555"/>
        <w:gridCol w:w="4877"/>
      </w:tblGrid>
      <w:tr w14:paraId="4D0A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0A270147">
            <w:pPr>
              <w:spacing w:line="240" w:lineRule="atLeast"/>
              <w:jc w:val="center"/>
              <w:rPr>
                <w:color w:val="000000"/>
                <w:szCs w:val="21"/>
              </w:rPr>
            </w:pPr>
            <w:r>
              <w:rPr>
                <w:color w:val="000000"/>
                <w:szCs w:val="21"/>
              </w:rPr>
              <w:t>编号</w:t>
            </w:r>
          </w:p>
        </w:tc>
        <w:tc>
          <w:tcPr>
            <w:tcW w:w="473" w:type="dxa"/>
            <w:vAlign w:val="center"/>
          </w:tcPr>
          <w:p w14:paraId="6EA36EB0">
            <w:pPr>
              <w:spacing w:line="240" w:lineRule="atLeast"/>
              <w:jc w:val="center"/>
              <w:rPr>
                <w:color w:val="000000"/>
                <w:szCs w:val="21"/>
              </w:rPr>
            </w:pPr>
            <w:r>
              <w:rPr>
                <w:color w:val="000000"/>
                <w:szCs w:val="21"/>
              </w:rPr>
              <w:t>项目名称</w:t>
            </w:r>
          </w:p>
        </w:tc>
        <w:tc>
          <w:tcPr>
            <w:tcW w:w="397" w:type="dxa"/>
            <w:vAlign w:val="center"/>
          </w:tcPr>
          <w:p w14:paraId="0388DA99">
            <w:pPr>
              <w:spacing w:line="240" w:lineRule="atLeast"/>
              <w:jc w:val="center"/>
              <w:rPr>
                <w:color w:val="000000"/>
                <w:szCs w:val="21"/>
              </w:rPr>
            </w:pPr>
            <w:r>
              <w:rPr>
                <w:color w:val="000000"/>
                <w:szCs w:val="21"/>
              </w:rPr>
              <w:t>建设地点</w:t>
            </w:r>
          </w:p>
        </w:tc>
        <w:tc>
          <w:tcPr>
            <w:tcW w:w="465" w:type="dxa"/>
            <w:vAlign w:val="center"/>
          </w:tcPr>
          <w:p w14:paraId="77CC4EBF">
            <w:pPr>
              <w:spacing w:line="240" w:lineRule="atLeast"/>
              <w:jc w:val="center"/>
              <w:rPr>
                <w:color w:val="000000"/>
                <w:szCs w:val="21"/>
              </w:rPr>
            </w:pPr>
            <w:r>
              <w:rPr>
                <w:color w:val="000000"/>
                <w:szCs w:val="21"/>
              </w:rPr>
              <w:t>建设单位</w:t>
            </w:r>
          </w:p>
        </w:tc>
        <w:tc>
          <w:tcPr>
            <w:tcW w:w="675" w:type="dxa"/>
            <w:vAlign w:val="center"/>
          </w:tcPr>
          <w:p w14:paraId="4B87B643">
            <w:pPr>
              <w:spacing w:line="240" w:lineRule="atLeast"/>
              <w:jc w:val="center"/>
              <w:rPr>
                <w:color w:val="000000"/>
                <w:szCs w:val="21"/>
              </w:rPr>
            </w:pPr>
            <w:r>
              <w:rPr>
                <w:color w:val="000000"/>
                <w:szCs w:val="21"/>
              </w:rPr>
              <w:t>环境影响评价机构</w:t>
            </w:r>
          </w:p>
        </w:tc>
        <w:tc>
          <w:tcPr>
            <w:tcW w:w="2555" w:type="dxa"/>
            <w:vAlign w:val="center"/>
          </w:tcPr>
          <w:p w14:paraId="20A0AE52">
            <w:pPr>
              <w:spacing w:line="240" w:lineRule="atLeast"/>
              <w:jc w:val="center"/>
              <w:rPr>
                <w:color w:val="000000"/>
                <w:szCs w:val="21"/>
              </w:rPr>
            </w:pPr>
            <w:r>
              <w:rPr>
                <w:color w:val="000000"/>
                <w:szCs w:val="21"/>
              </w:rPr>
              <w:t>项目概况</w:t>
            </w:r>
          </w:p>
        </w:tc>
        <w:tc>
          <w:tcPr>
            <w:tcW w:w="4877" w:type="dxa"/>
            <w:vAlign w:val="center"/>
          </w:tcPr>
          <w:p w14:paraId="500A511E">
            <w:pPr>
              <w:spacing w:line="240" w:lineRule="atLeast"/>
              <w:jc w:val="center"/>
              <w:rPr>
                <w:color w:val="000000"/>
                <w:szCs w:val="21"/>
              </w:rPr>
            </w:pPr>
            <w:r>
              <w:rPr>
                <w:color w:val="000000"/>
                <w:szCs w:val="21"/>
              </w:rPr>
              <w:t>主要环境影响及预防或者减轻不良环境影响的对策和措施</w:t>
            </w:r>
          </w:p>
        </w:tc>
      </w:tr>
      <w:tr w14:paraId="7E55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8" w:type="dxa"/>
            <w:vAlign w:val="center"/>
          </w:tcPr>
          <w:p w14:paraId="5AA6E65F">
            <w:pPr>
              <w:spacing w:line="240" w:lineRule="atLeast"/>
              <w:jc w:val="center"/>
              <w:rPr>
                <w:color w:val="000000"/>
                <w:szCs w:val="21"/>
              </w:rPr>
            </w:pPr>
            <w:r>
              <w:rPr>
                <w:color w:val="000000"/>
                <w:szCs w:val="21"/>
              </w:rPr>
              <w:t>1</w:t>
            </w:r>
          </w:p>
        </w:tc>
        <w:tc>
          <w:tcPr>
            <w:tcW w:w="473" w:type="dxa"/>
            <w:vAlign w:val="center"/>
          </w:tcPr>
          <w:p w14:paraId="719E98D6">
            <w:pPr>
              <w:spacing w:line="600" w:lineRule="exact"/>
              <w:jc w:val="center"/>
              <w:rPr>
                <w:rFonts w:eastAsia="仿宋"/>
                <w:color w:val="000000"/>
              </w:rPr>
            </w:pPr>
            <w:r>
              <w:rPr>
                <w:rFonts w:hint="eastAsia" w:ascii="Times New Roman" w:hAnsi="Times New Roman" w:eastAsia="宋体" w:cs="Times New Roman"/>
                <w:szCs w:val="22"/>
                <w:lang w:val="en-US" w:eastAsia="zh-CN"/>
              </w:rPr>
              <w:t>内蒙古华健中安检测技术有限公司实验室项目</w:t>
            </w:r>
          </w:p>
        </w:tc>
        <w:tc>
          <w:tcPr>
            <w:tcW w:w="397" w:type="dxa"/>
            <w:vAlign w:val="center"/>
          </w:tcPr>
          <w:p w14:paraId="53D2BE93">
            <w:pPr>
              <w:spacing w:line="600" w:lineRule="exact"/>
              <w:jc w:val="center"/>
              <w:rPr>
                <w:color w:val="000000"/>
                <w:szCs w:val="21"/>
              </w:rPr>
            </w:pPr>
            <w:r>
              <w:rPr>
                <w:rFonts w:hint="eastAsia" w:ascii="Times New Roman" w:hAnsi="Times New Roman" w:eastAsia="宋体" w:cs="Times New Roman"/>
                <w:szCs w:val="22"/>
                <w:lang w:eastAsia="zh-CN"/>
              </w:rPr>
              <w:t>内蒙古自治区鄂尔多斯市东胜区杭锦路西伊煤路南磐恒大厦12层、</w:t>
            </w:r>
            <w:r>
              <w:rPr>
                <w:rFonts w:hint="eastAsia" w:ascii="Times New Roman" w:hAnsi="Times New Roman" w:eastAsia="宋体" w:cs="Times New Roman"/>
                <w:szCs w:val="22"/>
                <w:lang w:val="en-US" w:eastAsia="zh-CN"/>
              </w:rPr>
              <w:t>13层</w:t>
            </w:r>
          </w:p>
        </w:tc>
        <w:tc>
          <w:tcPr>
            <w:tcW w:w="465" w:type="dxa"/>
            <w:vAlign w:val="center"/>
          </w:tcPr>
          <w:p w14:paraId="25BCC080">
            <w:pPr>
              <w:spacing w:line="600" w:lineRule="exact"/>
              <w:jc w:val="center"/>
              <w:rPr>
                <w:color w:val="000000"/>
                <w:szCs w:val="21"/>
              </w:rPr>
            </w:pPr>
            <w:r>
              <w:rPr>
                <w:rFonts w:hint="eastAsia" w:ascii="Times New Roman" w:hAnsi="Times New Roman" w:eastAsia="宋体" w:cs="Times New Roman"/>
                <w:szCs w:val="22"/>
                <w:lang w:val="en-US" w:eastAsia="zh-CN"/>
              </w:rPr>
              <w:t>内蒙古华健中安检测技术有限公司</w:t>
            </w:r>
          </w:p>
        </w:tc>
        <w:tc>
          <w:tcPr>
            <w:tcW w:w="675" w:type="dxa"/>
            <w:vAlign w:val="center"/>
          </w:tcPr>
          <w:p w14:paraId="5D04F640">
            <w:pPr>
              <w:spacing w:line="600" w:lineRule="exact"/>
              <w:jc w:val="center"/>
              <w:rPr>
                <w:color w:val="000000"/>
                <w:szCs w:val="21"/>
              </w:rPr>
            </w:pPr>
            <w:r>
              <w:rPr>
                <w:rFonts w:hint="eastAsia" w:ascii="Times New Roman" w:hAnsi="Times New Roman" w:eastAsia="宋体" w:cs="Times New Roman"/>
                <w:szCs w:val="22"/>
              </w:rPr>
              <w:t>内蒙古中政国环工程顾问有限公司</w:t>
            </w:r>
          </w:p>
        </w:tc>
        <w:tc>
          <w:tcPr>
            <w:tcW w:w="2555" w:type="dxa"/>
            <w:vAlign w:val="center"/>
          </w:tcPr>
          <w:p w14:paraId="113BBAED">
            <w:pPr>
              <w:spacing w:line="360" w:lineRule="auto"/>
              <w:ind w:firstLine="420" w:firstLineChars="200"/>
              <w:rPr>
                <w:color w:val="000000"/>
                <w:szCs w:val="21"/>
              </w:rPr>
            </w:pPr>
            <w:r>
              <w:rPr>
                <w:rFonts w:hint="eastAsia"/>
                <w:color w:val="000000"/>
                <w:szCs w:val="21"/>
                <w:lang w:val="en-US" w:eastAsia="zh-CN"/>
              </w:rPr>
              <w:t>一、</w:t>
            </w:r>
            <w:r>
              <w:rPr>
                <w:rFonts w:hint="eastAsia"/>
                <w:color w:val="000000"/>
                <w:szCs w:val="21"/>
              </w:rPr>
              <w:t>该项目属于新建项目，</w:t>
            </w:r>
            <w:r>
              <w:rPr>
                <w:rFonts w:hint="eastAsia"/>
                <w:color w:val="000000"/>
                <w:szCs w:val="21"/>
                <w:lang w:val="en-US" w:eastAsia="zh-CN"/>
              </w:rPr>
              <w:t>位于</w:t>
            </w:r>
            <w:r>
              <w:rPr>
                <w:rFonts w:hint="eastAsia"/>
                <w:color w:val="000000"/>
                <w:szCs w:val="21"/>
                <w:lang w:eastAsia="zh-CN"/>
              </w:rPr>
              <w:t>东胜区杭锦路西伊煤路南磐恒大厦12层、</w:t>
            </w:r>
            <w:r>
              <w:rPr>
                <w:rFonts w:hint="eastAsia"/>
                <w:color w:val="000000"/>
                <w:szCs w:val="21"/>
                <w:lang w:val="en-US" w:eastAsia="zh-CN"/>
              </w:rPr>
              <w:t>13层。项目总占地面积698.27平方米，</w:t>
            </w:r>
            <w:r>
              <w:rPr>
                <w:rFonts w:hint="default"/>
                <w:color w:val="000000"/>
                <w:szCs w:val="21"/>
                <w:lang w:val="en-US" w:eastAsia="zh-CN"/>
              </w:rPr>
              <w:t>总投资</w:t>
            </w:r>
            <w:r>
              <w:rPr>
                <w:rFonts w:hint="eastAsia"/>
                <w:color w:val="000000"/>
                <w:szCs w:val="21"/>
                <w:lang w:val="en-US" w:eastAsia="zh-CN"/>
              </w:rPr>
              <w:t>50万</w:t>
            </w:r>
            <w:r>
              <w:rPr>
                <w:rFonts w:hint="default"/>
                <w:color w:val="000000"/>
                <w:szCs w:val="21"/>
                <w:lang w:val="en-US" w:eastAsia="zh-CN"/>
              </w:rPr>
              <w:t>元，</w:t>
            </w:r>
            <w:r>
              <w:rPr>
                <w:rFonts w:hint="eastAsia"/>
                <w:color w:val="000000"/>
                <w:szCs w:val="21"/>
                <w:lang w:val="en-US" w:eastAsia="zh-CN"/>
              </w:rPr>
              <w:t>其中</w:t>
            </w:r>
            <w:r>
              <w:rPr>
                <w:rFonts w:hint="default"/>
                <w:color w:val="000000"/>
                <w:szCs w:val="21"/>
                <w:lang w:val="en-US" w:eastAsia="zh-CN"/>
              </w:rPr>
              <w:t>环保投资</w:t>
            </w:r>
            <w:r>
              <w:rPr>
                <w:rFonts w:hint="eastAsia"/>
                <w:color w:val="000000"/>
                <w:szCs w:val="21"/>
                <w:lang w:val="en-US" w:eastAsia="zh-CN"/>
              </w:rPr>
              <w:t>20万元。主要建设内容及规模：租赁现有楼房，设置理化分析室、原子荧光室、无机前处理</w:t>
            </w:r>
            <w:r>
              <w:rPr>
                <w:rFonts w:hint="eastAsia"/>
                <w:color w:val="000000"/>
                <w:szCs w:val="21"/>
              </w:rPr>
              <w:t>室</w:t>
            </w:r>
            <w:r>
              <w:rPr>
                <w:rFonts w:hint="eastAsia"/>
                <w:color w:val="000000"/>
                <w:szCs w:val="21"/>
                <w:lang w:eastAsia="zh-CN"/>
              </w:rPr>
              <w:t>、</w:t>
            </w:r>
            <w:r>
              <w:rPr>
                <w:rFonts w:hint="eastAsia"/>
                <w:color w:val="000000"/>
                <w:szCs w:val="21"/>
                <w:lang w:val="en-US" w:eastAsia="zh-CN"/>
              </w:rPr>
              <w:t>有机前处理</w:t>
            </w:r>
            <w:r>
              <w:rPr>
                <w:rFonts w:hint="eastAsia"/>
                <w:color w:val="000000"/>
                <w:szCs w:val="21"/>
              </w:rPr>
              <w:t>室</w:t>
            </w:r>
            <w:r>
              <w:rPr>
                <w:rFonts w:hint="eastAsia"/>
                <w:color w:val="000000"/>
                <w:szCs w:val="21"/>
                <w:lang w:eastAsia="zh-CN"/>
              </w:rPr>
              <w:t>、</w:t>
            </w:r>
            <w:r>
              <w:rPr>
                <w:rFonts w:hint="eastAsia"/>
                <w:color w:val="000000"/>
                <w:szCs w:val="21"/>
                <w:lang w:val="en-US" w:eastAsia="zh-CN"/>
              </w:rPr>
              <w:t>气相室、高温室、样品交接</w:t>
            </w:r>
            <w:r>
              <w:rPr>
                <w:rFonts w:hint="eastAsia"/>
                <w:color w:val="000000"/>
                <w:szCs w:val="21"/>
              </w:rPr>
              <w:t>室</w:t>
            </w:r>
            <w:r>
              <w:rPr>
                <w:rFonts w:hint="eastAsia"/>
                <w:color w:val="000000"/>
                <w:szCs w:val="21"/>
                <w:lang w:eastAsia="zh-CN"/>
              </w:rPr>
              <w:t>、质控室、</w:t>
            </w:r>
            <w:r>
              <w:rPr>
                <w:rFonts w:hint="eastAsia"/>
                <w:color w:val="000000"/>
                <w:szCs w:val="21"/>
                <w:lang w:val="en-US" w:eastAsia="zh-CN"/>
              </w:rPr>
              <w:t>气瓶室、样品储存间、药品间、危废暂存库、高毒物品间等，并配套建设公辅工程和环保工程。</w:t>
            </w:r>
          </w:p>
        </w:tc>
        <w:tc>
          <w:tcPr>
            <w:tcW w:w="4877" w:type="dxa"/>
            <w:vAlign w:val="center"/>
          </w:tcPr>
          <w:p w14:paraId="78C9A820">
            <w:pPr>
              <w:spacing w:line="360" w:lineRule="auto"/>
              <w:jc w:val="left"/>
              <w:rPr>
                <w:rFonts w:hint="eastAsia"/>
                <w:color w:val="000000"/>
                <w:szCs w:val="21"/>
              </w:rPr>
            </w:pPr>
            <w:r>
              <w:rPr>
                <w:rFonts w:hint="eastAsia"/>
                <w:color w:val="000000"/>
                <w:szCs w:val="21"/>
              </w:rPr>
              <w:t>《报告表》认为，在全面落实各项生态环境保护和环境污染防治措施的前提下，项目建设对环境的不利影响能够得到一定的缓解和控制。因此，我局原则同意你单位按照《报告表》中所列的建设项目性质、规模、地点、环境保护措施进行建设。</w:t>
            </w:r>
          </w:p>
          <w:p w14:paraId="75A61A83">
            <w:pPr>
              <w:spacing w:line="360" w:lineRule="auto"/>
              <w:jc w:val="left"/>
              <w:rPr>
                <w:rFonts w:hint="eastAsia"/>
                <w:color w:val="000000"/>
                <w:szCs w:val="21"/>
                <w:lang w:val="en-US"/>
              </w:rPr>
            </w:pPr>
            <w:r>
              <w:rPr>
                <w:rFonts w:hint="eastAsia"/>
                <w:color w:val="000000"/>
                <w:szCs w:val="21"/>
                <w:lang w:val="en-US" w:eastAsia="zh-CN"/>
              </w:rPr>
              <w:t>二、在项目工程设计、建设和环境管理中，你单位必须严格落实</w:t>
            </w:r>
            <w:r>
              <w:rPr>
                <w:rFonts w:hint="eastAsia"/>
                <w:color w:val="000000"/>
                <w:szCs w:val="21"/>
              </w:rPr>
              <w:t>《报告表》</w:t>
            </w:r>
            <w:r>
              <w:rPr>
                <w:rFonts w:hint="eastAsia"/>
                <w:color w:val="000000"/>
                <w:szCs w:val="21"/>
                <w:lang w:val="en-US" w:eastAsia="zh-CN"/>
              </w:rPr>
              <w:t>中提出的各项环保措施和要求，确保各项污染物稳定达标排放，并须着重做好以下工作：</w:t>
            </w:r>
          </w:p>
          <w:p w14:paraId="63ECD9D5">
            <w:pPr>
              <w:spacing w:line="360" w:lineRule="auto"/>
              <w:jc w:val="left"/>
              <w:rPr>
                <w:rFonts w:hint="eastAsia"/>
                <w:color w:val="000000"/>
                <w:szCs w:val="21"/>
                <w:lang w:val="en-US" w:eastAsia="zh-CN"/>
              </w:rPr>
            </w:pPr>
            <w:r>
              <w:rPr>
                <w:rFonts w:hint="eastAsia"/>
                <w:color w:val="000000"/>
                <w:szCs w:val="21"/>
                <w:lang w:val="en-US" w:eastAsia="zh-CN"/>
              </w:rPr>
              <w:t>（一）严格落实施工期污染防治措施</w:t>
            </w:r>
          </w:p>
          <w:p w14:paraId="7E1A749B">
            <w:pPr>
              <w:spacing w:line="360" w:lineRule="auto"/>
              <w:jc w:val="left"/>
              <w:rPr>
                <w:rFonts w:hint="eastAsia"/>
                <w:color w:val="000000"/>
                <w:szCs w:val="21"/>
                <w:lang w:val="en-US" w:eastAsia="zh-CN"/>
              </w:rPr>
            </w:pPr>
            <w:r>
              <w:rPr>
                <w:rFonts w:hint="eastAsia"/>
                <w:color w:val="000000"/>
                <w:szCs w:val="21"/>
                <w:lang w:val="en-US" w:eastAsia="zh-CN"/>
              </w:rPr>
              <w:t>1、</w:t>
            </w:r>
            <w:r>
              <w:rPr>
                <w:rFonts w:hint="eastAsia"/>
                <w:color w:val="000000"/>
                <w:szCs w:val="21"/>
              </w:rPr>
              <w:t>施工期大气污染物排放执行《大气污染物综合排放标准》（GB16297-1996）表2中无组织排放监控浓度限值。</w:t>
            </w:r>
          </w:p>
          <w:p w14:paraId="506EE732">
            <w:pPr>
              <w:spacing w:line="360" w:lineRule="auto"/>
              <w:jc w:val="left"/>
              <w:rPr>
                <w:rFonts w:hint="eastAsia"/>
                <w:color w:val="000000"/>
                <w:szCs w:val="21"/>
              </w:rPr>
            </w:pPr>
            <w:r>
              <w:rPr>
                <w:rFonts w:hint="eastAsia"/>
                <w:color w:val="000000"/>
                <w:szCs w:val="21"/>
                <w:lang w:val="en-US" w:eastAsia="zh-CN"/>
              </w:rPr>
              <w:t>2、施工人员生活污水</w:t>
            </w:r>
            <w:r>
              <w:rPr>
                <w:rFonts w:hint="eastAsia"/>
                <w:color w:val="000000"/>
                <w:szCs w:val="21"/>
              </w:rPr>
              <w:t>依托办公楼现有污水管网。</w:t>
            </w:r>
          </w:p>
          <w:p w14:paraId="2DD61AB4">
            <w:pPr>
              <w:spacing w:line="360" w:lineRule="auto"/>
              <w:jc w:val="left"/>
              <w:rPr>
                <w:rFonts w:hint="eastAsia"/>
                <w:color w:val="000000"/>
                <w:szCs w:val="21"/>
                <w:lang w:val="en-US" w:eastAsia="zh-CN"/>
              </w:rPr>
            </w:pPr>
            <w:r>
              <w:rPr>
                <w:rFonts w:hint="eastAsia"/>
                <w:color w:val="000000"/>
                <w:szCs w:val="21"/>
                <w:lang w:val="en-US" w:eastAsia="zh-CN"/>
              </w:rPr>
              <w:t>3、选用低噪声施工设备，合理安排作业时间，避免夜间施工。施工期噪声执行《建筑施工场界环境噪声排放标准》（GB12523-2011）。</w:t>
            </w:r>
          </w:p>
          <w:p w14:paraId="1FE9A25D">
            <w:pPr>
              <w:spacing w:line="360" w:lineRule="auto"/>
              <w:jc w:val="left"/>
              <w:rPr>
                <w:rFonts w:hint="eastAsia"/>
                <w:color w:val="000000"/>
                <w:szCs w:val="21"/>
                <w:lang w:val="en-US" w:eastAsia="zh-CN"/>
              </w:rPr>
            </w:pPr>
            <w:r>
              <w:rPr>
                <w:rFonts w:hint="eastAsia"/>
                <w:color w:val="000000"/>
                <w:szCs w:val="21"/>
                <w:lang w:val="en-US" w:eastAsia="zh-CN"/>
              </w:rPr>
              <w:t>4、固体废物集中堆放及时清运，交有关部门进行处理。</w:t>
            </w:r>
          </w:p>
          <w:p w14:paraId="2DEA40C5">
            <w:pPr>
              <w:spacing w:line="360" w:lineRule="auto"/>
              <w:jc w:val="left"/>
              <w:rPr>
                <w:rFonts w:hint="eastAsia"/>
                <w:color w:val="000000"/>
                <w:szCs w:val="21"/>
                <w:lang w:val="en-US" w:eastAsia="zh-CN"/>
              </w:rPr>
            </w:pPr>
            <w:r>
              <w:rPr>
                <w:rFonts w:hint="eastAsia"/>
                <w:color w:val="000000"/>
                <w:szCs w:val="21"/>
                <w:lang w:val="en-US" w:eastAsia="zh-CN"/>
              </w:rPr>
              <w:t>（二）严格落实运营期污染防治措施</w:t>
            </w:r>
          </w:p>
          <w:p w14:paraId="3625E4F7">
            <w:pPr>
              <w:spacing w:line="360" w:lineRule="auto"/>
              <w:jc w:val="left"/>
              <w:rPr>
                <w:rFonts w:hint="eastAsia"/>
                <w:color w:val="000000"/>
                <w:szCs w:val="21"/>
                <w:lang w:val="en-US" w:eastAsia="zh-CN"/>
              </w:rPr>
            </w:pPr>
            <w:r>
              <w:rPr>
                <w:rFonts w:hint="eastAsia"/>
                <w:color w:val="000000"/>
                <w:szCs w:val="21"/>
                <w:lang w:val="en-US" w:eastAsia="zh-CN"/>
              </w:rPr>
              <w:t>1、大气污染防治措施。运营期实验室废气收集处理后通过1根45m高排气筒排放，执行《大气污染物综合排放标准》（GB 16297-1996）表2中二级标准；项目无组织废气排放执行《大气污染物综合排放标准》（GB 16297-1996）表2中无组织排放监控浓度限值。</w:t>
            </w:r>
          </w:p>
          <w:p w14:paraId="534B3949">
            <w:pPr>
              <w:spacing w:line="360" w:lineRule="auto"/>
              <w:jc w:val="left"/>
              <w:rPr>
                <w:rFonts w:hint="eastAsia"/>
                <w:color w:val="000000"/>
                <w:szCs w:val="21"/>
                <w:lang w:val="en-US" w:eastAsia="zh-CN"/>
              </w:rPr>
            </w:pPr>
            <w:r>
              <w:rPr>
                <w:rFonts w:hint="eastAsia"/>
                <w:color w:val="000000"/>
                <w:szCs w:val="21"/>
                <w:lang w:val="en-US" w:eastAsia="zh-CN"/>
              </w:rPr>
              <w:t>2、水污染防治措施。运营期生活污水、普通实验器具清洗废水、三次以上酸碱实验器具清洗废水和水样废水满足《污水综合排放标准》（GB8978-1996）三级标准后排入市政污水管网。</w:t>
            </w:r>
          </w:p>
          <w:p w14:paraId="06F65FFD">
            <w:pPr>
              <w:spacing w:line="360" w:lineRule="auto"/>
              <w:jc w:val="left"/>
              <w:rPr>
                <w:rFonts w:hint="eastAsia"/>
                <w:color w:val="000000"/>
                <w:szCs w:val="21"/>
              </w:rPr>
            </w:pPr>
            <w:r>
              <w:rPr>
                <w:rFonts w:hint="eastAsia"/>
                <w:color w:val="000000"/>
                <w:szCs w:val="21"/>
                <w:lang w:val="en-US" w:eastAsia="zh-CN"/>
              </w:rPr>
              <w:t>3、噪声污染防治措施。通过选用低噪声设备，基础减振等措施，确保</w:t>
            </w:r>
            <w:r>
              <w:rPr>
                <w:rFonts w:hint="eastAsia"/>
                <w:color w:val="000000"/>
                <w:szCs w:val="21"/>
              </w:rPr>
              <w:t>运营期厂界噪声</w:t>
            </w:r>
            <w:r>
              <w:rPr>
                <w:rFonts w:hint="eastAsia"/>
                <w:color w:val="000000"/>
                <w:szCs w:val="21"/>
                <w:lang w:val="en-US" w:eastAsia="zh-CN"/>
              </w:rPr>
              <w:t>满足</w:t>
            </w:r>
            <w:r>
              <w:rPr>
                <w:rFonts w:hint="eastAsia"/>
                <w:color w:val="000000"/>
                <w:szCs w:val="21"/>
              </w:rPr>
              <w:t>《工业企业厂界环境噪声排放</w:t>
            </w:r>
            <w:r>
              <w:rPr>
                <w:rFonts w:hint="eastAsia"/>
                <w:color w:val="000000"/>
                <w:szCs w:val="21"/>
                <w:lang w:val="en-US" w:eastAsia="zh-CN"/>
              </w:rPr>
              <w:t>标</w:t>
            </w:r>
            <w:r>
              <w:rPr>
                <w:rFonts w:hint="eastAsia"/>
                <w:color w:val="000000"/>
                <w:szCs w:val="21"/>
              </w:rPr>
              <w:t>准》（GB12348-2008）中</w:t>
            </w:r>
            <w:r>
              <w:rPr>
                <w:rFonts w:hint="eastAsia"/>
                <w:color w:val="000000"/>
                <w:szCs w:val="21"/>
                <w:lang w:val="en-US" w:eastAsia="zh-CN"/>
              </w:rPr>
              <w:t>2</w:t>
            </w:r>
            <w:r>
              <w:rPr>
                <w:rFonts w:hint="eastAsia"/>
                <w:color w:val="000000"/>
                <w:szCs w:val="21"/>
              </w:rPr>
              <w:t>类标准。</w:t>
            </w:r>
          </w:p>
          <w:p w14:paraId="3215BECB">
            <w:pPr>
              <w:spacing w:line="360" w:lineRule="auto"/>
              <w:jc w:val="left"/>
              <w:rPr>
                <w:rFonts w:hint="eastAsia"/>
                <w:color w:val="000000"/>
                <w:szCs w:val="21"/>
              </w:rPr>
            </w:pPr>
            <w:r>
              <w:rPr>
                <w:rFonts w:hint="eastAsia"/>
                <w:color w:val="000000"/>
                <w:szCs w:val="21"/>
                <w:lang w:val="en-US" w:eastAsia="zh-CN"/>
              </w:rPr>
              <w:t>4、固废污染防治措施。妥善处置各类固体废弃物。建设单位须严格按照《一般工业固体废物贮存和填埋污染控制标准》（GB18599-2020）处置一般固废，不得乱弃。</w:t>
            </w:r>
            <w:r>
              <w:rPr>
                <w:rFonts w:hint="eastAsia"/>
                <w:color w:val="000000"/>
                <w:szCs w:val="21"/>
                <w:lang w:val="en-US"/>
              </w:rPr>
              <w:t>危废暂存</w:t>
            </w:r>
            <w:r>
              <w:rPr>
                <w:rFonts w:hint="eastAsia"/>
                <w:color w:val="000000"/>
                <w:szCs w:val="21"/>
                <w:lang w:val="en-US" w:eastAsia="zh-CN"/>
              </w:rPr>
              <w:t>库</w:t>
            </w:r>
            <w:r>
              <w:rPr>
                <w:rFonts w:hint="eastAsia"/>
                <w:color w:val="000000"/>
                <w:szCs w:val="21"/>
                <w:lang w:val="en-US"/>
              </w:rPr>
              <w:t>须严格按照《危险废物贮存污染控制标准》（GB18597-20</w:t>
            </w:r>
            <w:r>
              <w:rPr>
                <w:rFonts w:hint="eastAsia"/>
                <w:color w:val="000000"/>
                <w:szCs w:val="21"/>
                <w:lang w:val="en-US" w:eastAsia="zh-CN"/>
              </w:rPr>
              <w:t>23</w:t>
            </w:r>
            <w:r>
              <w:rPr>
                <w:rFonts w:hint="eastAsia"/>
                <w:color w:val="000000"/>
                <w:szCs w:val="21"/>
                <w:lang w:val="en-US"/>
              </w:rPr>
              <w:t>）进行设计、建设和管理。</w:t>
            </w:r>
            <w:r>
              <w:rPr>
                <w:rFonts w:hint="eastAsia"/>
                <w:color w:val="000000"/>
                <w:szCs w:val="21"/>
                <w:lang w:val="en-US" w:eastAsia="zh-CN"/>
              </w:rPr>
              <w:t>危险废物收集和运输等均按照《危险废物收集 贮存 运输技术规范》(HJ2025-2012)要求执行。</w:t>
            </w:r>
            <w:r>
              <w:rPr>
                <w:rFonts w:hint="eastAsia"/>
                <w:color w:val="000000"/>
                <w:szCs w:val="21"/>
              </w:rPr>
              <w:t>危废必须由有资质单位处置。</w:t>
            </w:r>
          </w:p>
          <w:p w14:paraId="61558707">
            <w:pPr>
              <w:spacing w:line="360" w:lineRule="auto"/>
              <w:jc w:val="left"/>
              <w:rPr>
                <w:rFonts w:hint="eastAsia"/>
                <w:color w:val="000000"/>
                <w:szCs w:val="21"/>
              </w:rPr>
            </w:pPr>
            <w:r>
              <w:rPr>
                <w:rFonts w:hint="eastAsia"/>
                <w:color w:val="000000"/>
                <w:szCs w:val="21"/>
                <w:lang w:val="en-US" w:eastAsia="zh-CN"/>
              </w:rPr>
              <w:t>5、强化环境风险防范，制定突发环境事件应急预案，落实环境风险事故防范措施，提高事故风险防范和污染控制能力。</w:t>
            </w:r>
          </w:p>
          <w:p w14:paraId="00F46ACA">
            <w:pPr>
              <w:spacing w:line="360" w:lineRule="auto"/>
              <w:jc w:val="left"/>
              <w:rPr>
                <w:rFonts w:hint="eastAsia"/>
                <w:color w:val="000000"/>
                <w:szCs w:val="21"/>
                <w:lang w:val="en-US" w:eastAsia="zh-CN"/>
              </w:rPr>
            </w:pPr>
            <w:r>
              <w:rPr>
                <w:rFonts w:hint="eastAsia"/>
                <w:color w:val="000000"/>
                <w:szCs w:val="21"/>
                <w:lang w:val="en-US" w:eastAsia="zh-CN"/>
              </w:rPr>
              <w:t>6、按照《排污口规范化整治技术要求》（环监〔1996〕470号）规范设置排污口。</w:t>
            </w:r>
          </w:p>
          <w:p w14:paraId="5279B4E0">
            <w:pPr>
              <w:spacing w:line="360" w:lineRule="auto"/>
              <w:jc w:val="left"/>
              <w:rPr>
                <w:rFonts w:hint="eastAsia"/>
                <w:color w:val="000000"/>
                <w:szCs w:val="21"/>
              </w:rPr>
            </w:pPr>
            <w:r>
              <w:rPr>
                <w:rFonts w:hint="eastAsia"/>
                <w:color w:val="000000"/>
                <w:szCs w:val="21"/>
                <w:lang w:val="en-US" w:eastAsia="zh-CN"/>
              </w:rPr>
              <w:t>三、你单位应委托有相应资质的设计单位对建设项目重点环保设施进行设计，并在项目施工及运行过程中严格落实环保设施安全生产工作要求。</w:t>
            </w:r>
          </w:p>
          <w:p w14:paraId="1B3BFB75">
            <w:pPr>
              <w:spacing w:line="360" w:lineRule="auto"/>
              <w:jc w:val="left"/>
              <w:rPr>
                <w:rFonts w:hint="eastAsia"/>
                <w:color w:val="000000"/>
                <w:szCs w:val="21"/>
              </w:rPr>
            </w:pPr>
            <w:r>
              <w:rPr>
                <w:rFonts w:hint="eastAsia"/>
                <w:color w:val="000000"/>
                <w:szCs w:val="21"/>
                <w:lang w:val="en-US" w:eastAsia="zh-CN"/>
              </w:rPr>
              <w:t>四、</w:t>
            </w:r>
            <w:r>
              <w:rPr>
                <w:rFonts w:hint="eastAsia"/>
                <w:color w:val="000000"/>
                <w:szCs w:val="21"/>
              </w:rPr>
              <w:t>你单位在该项目环保申报过程中如有瞒报、假报情形，则是严重的违法行为，须承担因此产生的一切后果。项目建设必须严格执行环境保护“三同时”制度。项目竣工后，须按照规定程序实施竣工环境保护验收。</w:t>
            </w:r>
          </w:p>
          <w:p w14:paraId="31D66976">
            <w:pPr>
              <w:spacing w:line="360" w:lineRule="auto"/>
              <w:jc w:val="left"/>
              <w:rPr>
                <w:color w:val="000000"/>
                <w:szCs w:val="21"/>
              </w:rPr>
            </w:pPr>
            <w:r>
              <w:rPr>
                <w:rFonts w:hint="eastAsia"/>
                <w:color w:val="000000"/>
                <w:szCs w:val="21"/>
                <w:lang w:val="en-US" w:eastAsia="zh-CN"/>
              </w:rPr>
              <w:t>五、</w:t>
            </w:r>
            <w:bookmarkStart w:id="0" w:name="_GoBack"/>
            <w:bookmarkEnd w:id="0"/>
            <w:r>
              <w:rPr>
                <w:rFonts w:hint="eastAsia"/>
                <w:color w:val="000000"/>
                <w:szCs w:val="21"/>
              </w:rPr>
              <w:t>你单位应在收到本批复20日内，将《报告表》（报批版）及批复文件送至鄂尔多斯市生态环境综合行政执法支队东胜区大队，由鄂尔多斯市生态环境综合行政执法支队东胜区大队负责该项目的事中事后监管</w:t>
            </w:r>
            <w:r>
              <w:rPr>
                <w:rFonts w:hint="eastAsia"/>
                <w:color w:val="000000"/>
                <w:szCs w:val="21"/>
                <w:lang w:eastAsia="zh-CN"/>
              </w:rPr>
              <w:t>。</w:t>
            </w:r>
            <w:r>
              <w:rPr>
                <w:rFonts w:hint="eastAsia"/>
                <w:color w:val="000000"/>
                <w:szCs w:val="21"/>
              </w:rPr>
              <w:t xml:space="preserve">该项目从批准之日起超过5年方决定开工建设，其环评文件应重新审核。如果建设地点、规模、防治污染和防止生态破坏的措施等发生重大变化时，需重新报批环评文件。                                                          </w:t>
            </w:r>
          </w:p>
        </w:tc>
      </w:tr>
    </w:tbl>
    <w:p w14:paraId="1BBE2646"/>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kNTk1MmVhODkwYTdlM2UzNDI2NDIyNmU0MzQwNDkifQ=="/>
  </w:docVars>
  <w:rsids>
    <w:rsidRoot w:val="007E3F49"/>
    <w:rsid w:val="00655DD2"/>
    <w:rsid w:val="007E3F49"/>
    <w:rsid w:val="008B4FF3"/>
    <w:rsid w:val="00A14109"/>
    <w:rsid w:val="00AC4964"/>
    <w:rsid w:val="00D56621"/>
    <w:rsid w:val="00ED3C94"/>
    <w:rsid w:val="00FE0A91"/>
    <w:rsid w:val="049F3351"/>
    <w:rsid w:val="15947A84"/>
    <w:rsid w:val="19B76A12"/>
    <w:rsid w:val="3E062DA7"/>
    <w:rsid w:val="43DC2BDE"/>
    <w:rsid w:val="497150DD"/>
    <w:rsid w:val="4AD11E12"/>
    <w:rsid w:val="4DE41872"/>
    <w:rsid w:val="54973A8B"/>
    <w:rsid w:val="5E371149"/>
    <w:rsid w:val="641136E8"/>
    <w:rsid w:val="74FA13B7"/>
    <w:rsid w:val="7F061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spacing w:line="240" w:lineRule="auto"/>
      <w:ind w:firstLine="420"/>
    </w:pPr>
  </w:style>
  <w:style w:type="paragraph" w:styleId="3">
    <w:name w:val="Body Text Indent"/>
    <w:basedOn w:val="1"/>
    <w:next w:val="1"/>
    <w:qFormat/>
    <w:uiPriority w:val="99"/>
    <w:pPr>
      <w:ind w:left="420" w:leftChars="200"/>
    </w:pPr>
  </w:style>
  <w:style w:type="paragraph" w:styleId="5">
    <w:name w:val="Normal Indent"/>
    <w:basedOn w:val="1"/>
    <w:next w:val="2"/>
    <w:autoRedefine/>
    <w:semiHidden/>
    <w:unhideWhenUsed/>
    <w:qFormat/>
    <w:uiPriority w:val="99"/>
    <w:pPr>
      <w:ind w:firstLine="420" w:firstLineChars="200"/>
    </w:pPr>
  </w:style>
  <w:style w:type="paragraph" w:styleId="6">
    <w:name w:val="Body Text"/>
    <w:basedOn w:val="1"/>
    <w:qFormat/>
    <w:uiPriority w:val="99"/>
    <w:pPr>
      <w:spacing w:after="120"/>
    </w:pPr>
    <w:rPr>
      <w:rFonts w:ascii="Calibri" w:hAnsi="Calibri"/>
      <w:szCs w:val="22"/>
    </w:rPr>
  </w:style>
  <w:style w:type="paragraph" w:styleId="7">
    <w:name w:val="footer"/>
    <w:basedOn w:val="1"/>
    <w:link w:val="1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2"/>
    <w:basedOn w:val="1"/>
    <w:next w:val="1"/>
    <w:unhideWhenUsed/>
    <w:qFormat/>
    <w:uiPriority w:val="39"/>
    <w:pPr>
      <w:ind w:left="420" w:leftChars="200"/>
    </w:pPr>
  </w:style>
  <w:style w:type="paragraph" w:styleId="10">
    <w:name w:val="Body Text 2"/>
    <w:basedOn w:val="1"/>
    <w:next w:val="1"/>
    <w:qFormat/>
    <w:uiPriority w:val="0"/>
    <w:pPr>
      <w:spacing w:after="120" w:line="480" w:lineRule="auto"/>
    </w:pPr>
  </w:style>
  <w:style w:type="paragraph" w:customStyle="1" w:styleId="13">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14">
    <w:name w:val="页眉 字符"/>
    <w:basedOn w:val="12"/>
    <w:link w:val="8"/>
    <w:autoRedefine/>
    <w:qFormat/>
    <w:uiPriority w:val="99"/>
    <w:rPr>
      <w:sz w:val="18"/>
      <w:szCs w:val="18"/>
    </w:rPr>
  </w:style>
  <w:style w:type="character" w:customStyle="1" w:styleId="15">
    <w:name w:val="页脚 字符"/>
    <w:basedOn w:val="12"/>
    <w:link w:val="7"/>
    <w:autoRedefine/>
    <w:qFormat/>
    <w:uiPriority w:val="99"/>
    <w:rPr>
      <w:sz w:val="18"/>
      <w:szCs w:val="18"/>
    </w:rPr>
  </w:style>
  <w:style w:type="character" w:customStyle="1" w:styleId="16">
    <w:name w:val="NormalCharacter"/>
    <w:autoRedefine/>
    <w:semiHidden/>
    <w:qFormat/>
    <w:uiPriority w:val="99"/>
  </w:style>
  <w:style w:type="paragraph" w:customStyle="1" w:styleId="17">
    <w:name w:val="图表"/>
    <w:basedOn w:val="3"/>
    <w:autoRedefine/>
    <w:qFormat/>
    <w:uiPriority w:val="0"/>
    <w:pPr>
      <w:widowControl/>
      <w:autoSpaceDE w:val="0"/>
      <w:autoSpaceDN w:val="0"/>
      <w:adjustRightInd w:val="0"/>
      <w:snapToGrid w:val="0"/>
      <w:spacing w:after="0" w:line="360" w:lineRule="auto"/>
      <w:ind w:left="0" w:leftChars="0"/>
      <w:jc w:val="center"/>
    </w:pPr>
    <w:rPr>
      <w:b/>
    </w:rPr>
  </w:style>
  <w:style w:type="paragraph" w:customStyle="1" w:styleId="18">
    <w:name w:val="正文01"/>
    <w:basedOn w:val="1"/>
    <w:qFormat/>
    <w:uiPriority w:val="0"/>
    <w:pPr>
      <w:autoSpaceDE/>
      <w:autoSpaceDN/>
      <w:spacing w:before="60" w:line="460" w:lineRule="exact"/>
      <w:ind w:firstLine="200" w:firstLineChars="200"/>
      <w:jc w:val="both"/>
    </w:pPr>
    <w:rPr>
      <w:rFonts w:ascii="Calibri" w:hAnsi="Calibri" w:cs="Times New Roman"/>
      <w:kern w:val="2"/>
      <w:sz w:val="24"/>
      <w:szCs w:val="24"/>
      <w:lang w:val="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1596</Words>
  <Characters>1702</Characters>
  <Lines>11</Lines>
  <Paragraphs>3</Paragraphs>
  <TotalTime>0</TotalTime>
  <ScaleCrop>false</ScaleCrop>
  <LinksUpToDate>false</LinksUpToDate>
  <CharactersWithSpaces>1763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2023-11-07T01:29:00Z</dcterms:created>
  <dc:creator>Administrator</dc:creator>
  <cp:lastModifiedBy>瑄儿妈妈(亲子阅读推广)</cp:lastModifiedBy>
  <dcterms:modified xsi:type="dcterms:W3CDTF">2025-03-25T03:05:28Z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8A8837DC28804F048B97D671515894C8_12</vt:lpwstr>
  </property>
  <property fmtid="{D5CDD505-2E9C-101B-9397-08002B2CF9AE}" pid="4" name="KSOTemplateDocerSaveRecord">
    <vt:lpwstr>eyJoZGlkIjoiM2VkNTk1MmVhODkwYTdlM2UzNDI2NDIyNmU0MzQwNDkiLCJ1c2VySWQiOiIzMzQyNjE5NjcifQ==</vt:lpwstr>
  </property>
</Properties>
</file>