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鄂尔多斯市</w:t>
      </w:r>
      <w:bookmarkStart w:id="0" w:name="_GoBack"/>
      <w:bookmarkEnd w:id="0"/>
      <w:r>
        <w:rPr>
          <w:rFonts w:hint="eastAsia" w:ascii="方正小标宋简体" w:hAnsi="方正小标宋简体" w:eastAsia="方正小标宋简体" w:cs="方正小标宋简体"/>
          <w:sz w:val="40"/>
          <w:szCs w:val="40"/>
          <w:lang w:val="en-US" w:eastAsia="zh-CN"/>
        </w:rPr>
        <w:t>东胜区</w:t>
      </w:r>
      <w:r>
        <w:rPr>
          <w:rFonts w:hint="eastAsia" w:ascii="方正小标宋简体" w:hAnsi="方正小标宋简体" w:eastAsia="方正小标宋简体" w:cs="方正小标宋简体"/>
          <w:sz w:val="40"/>
          <w:szCs w:val="40"/>
        </w:rPr>
        <w:t>2022年政务公开工作要点任务</w:t>
      </w:r>
      <w:r>
        <w:rPr>
          <w:rFonts w:hint="eastAsia" w:ascii="方正小标宋简体" w:hAnsi="方正小标宋简体" w:eastAsia="方正小标宋简体" w:cs="方正小标宋简体"/>
          <w:sz w:val="40"/>
          <w:szCs w:val="40"/>
          <w:lang w:val="en-US" w:eastAsia="zh-CN"/>
        </w:rPr>
        <w:t>台账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258"/>
        <w:gridCol w:w="5077"/>
        <w:gridCol w:w="2007"/>
        <w:gridCol w:w="178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560" w:type="dxa"/>
            <w:gridSpan w:val="2"/>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任务名称</w:t>
            </w:r>
          </w:p>
        </w:tc>
        <w:tc>
          <w:tcPr>
            <w:tcW w:w="5077"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具体任务</w:t>
            </w:r>
          </w:p>
        </w:tc>
        <w:tc>
          <w:tcPr>
            <w:tcW w:w="2007" w:type="dxa"/>
            <w:vAlign w:val="center"/>
          </w:tcPr>
          <w:p>
            <w:pPr>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落实情况</w:t>
            </w:r>
          </w:p>
        </w:tc>
        <w:tc>
          <w:tcPr>
            <w:tcW w:w="1785" w:type="dxa"/>
            <w:vAlign w:val="center"/>
          </w:tcPr>
          <w:p>
            <w:pPr>
              <w:jc w:val="center"/>
              <w:rPr>
                <w:rFonts w:hint="eastAsia" w:ascii="黑体" w:hAnsi="黑体" w:eastAsia="黑体" w:cs="黑体"/>
                <w:sz w:val="24"/>
                <w:highlight w:val="none"/>
                <w:lang w:val="en-US" w:eastAsia="zh-CN"/>
              </w:rPr>
            </w:pPr>
            <w:r>
              <w:rPr>
                <w:rFonts w:hint="eastAsia" w:ascii="黑体" w:hAnsi="黑体" w:eastAsia="黑体" w:cs="黑体"/>
                <w:sz w:val="24"/>
                <w:highlight w:val="none"/>
              </w:rPr>
              <w:t>责任单位</w:t>
            </w:r>
          </w:p>
        </w:tc>
        <w:tc>
          <w:tcPr>
            <w:tcW w:w="1541" w:type="dxa"/>
            <w:vAlign w:val="center"/>
          </w:tcPr>
          <w:p>
            <w:pPr>
              <w:jc w:val="center"/>
              <w:rPr>
                <w:rFonts w:hint="eastAsia" w:ascii="黑体" w:hAnsi="黑体" w:eastAsia="黑体" w:cs="黑体"/>
                <w:sz w:val="24"/>
                <w:highlight w:val="none"/>
                <w:lang w:val="en-US" w:eastAsia="zh-CN"/>
              </w:rPr>
            </w:pPr>
            <w:r>
              <w:rPr>
                <w:rFonts w:hint="eastAsia" w:ascii="黑体" w:hAnsi="黑体" w:eastAsia="黑体" w:cs="黑体"/>
                <w:sz w:val="24"/>
                <w:highlight w:val="none"/>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02" w:type="dxa"/>
            <w:vMerge w:val="restart"/>
            <w:vAlign w:val="center"/>
          </w:tcPr>
          <w:p>
            <w:pPr>
              <w:rPr>
                <w:sz w:val="24"/>
                <w:highlight w:val="none"/>
              </w:rPr>
            </w:pPr>
            <w:r>
              <w:rPr>
                <w:rFonts w:hint="eastAsia"/>
                <w:sz w:val="24"/>
                <w:highlight w:val="none"/>
              </w:rPr>
              <w:t>一、提高政策</w:t>
            </w:r>
            <w:r>
              <w:rPr>
                <w:sz w:val="24"/>
                <w:highlight w:val="none"/>
              </w:rPr>
              <w:t>公开质量</w:t>
            </w:r>
            <w:r>
              <w:rPr>
                <w:rFonts w:hint="eastAsia"/>
                <w:sz w:val="24"/>
                <w:highlight w:val="none"/>
              </w:rPr>
              <w:t>，提升政务服务效能</w:t>
            </w:r>
          </w:p>
        </w:tc>
        <w:tc>
          <w:tcPr>
            <w:tcW w:w="1258" w:type="dxa"/>
            <w:vMerge w:val="restart"/>
            <w:vAlign w:val="center"/>
          </w:tcPr>
          <w:p>
            <w:pPr>
              <w:jc w:val="center"/>
              <w:rPr>
                <w:sz w:val="24"/>
                <w:highlight w:val="none"/>
              </w:rPr>
            </w:pPr>
            <w:r>
              <w:rPr>
                <w:rFonts w:hint="eastAsia"/>
                <w:sz w:val="24"/>
                <w:highlight w:val="none"/>
              </w:rPr>
              <w:t>（一）继续做好规范性文件的集中公开。</w:t>
            </w:r>
          </w:p>
        </w:tc>
        <w:tc>
          <w:tcPr>
            <w:tcW w:w="5077" w:type="dxa"/>
            <w:vAlign w:val="center"/>
          </w:tcPr>
          <w:p>
            <w:pPr>
              <w:rPr>
                <w:rFonts w:ascii="Calibri" w:hAnsi="Calibri" w:eastAsia="仿宋_GB2312" w:cs="Times New Roman"/>
                <w:kern w:val="2"/>
                <w:sz w:val="24"/>
                <w:szCs w:val="24"/>
                <w:highlight w:val="none"/>
                <w:lang w:val="en-US" w:eastAsia="zh-CN" w:bidi="ar-SA"/>
              </w:rPr>
            </w:pPr>
            <w:r>
              <w:rPr>
                <w:rFonts w:hint="eastAsia" w:ascii="Calibri" w:hAnsi="Calibri" w:eastAsia="仿宋_GB2312" w:cs="Times New Roman"/>
                <w:kern w:val="2"/>
                <w:sz w:val="24"/>
                <w:szCs w:val="24"/>
                <w:highlight w:val="none"/>
                <w:lang w:val="en-US" w:eastAsia="zh-CN" w:bidi="ar-SA"/>
              </w:rPr>
              <w:t>依托政府网站“政府信息公开”专栏，建立</w:t>
            </w:r>
            <w:r>
              <w:rPr>
                <w:rFonts w:hint="eastAsia" w:cs="Times New Roman"/>
                <w:kern w:val="2"/>
                <w:sz w:val="24"/>
                <w:szCs w:val="24"/>
                <w:highlight w:val="none"/>
                <w:lang w:val="en-US" w:eastAsia="zh-CN" w:bidi="ar-SA"/>
              </w:rPr>
              <w:t>东胜区</w:t>
            </w:r>
            <w:r>
              <w:rPr>
                <w:rFonts w:hint="eastAsia" w:ascii="Calibri" w:hAnsi="Calibri" w:eastAsia="仿宋_GB2312" w:cs="Times New Roman"/>
                <w:kern w:val="2"/>
                <w:sz w:val="24"/>
                <w:szCs w:val="24"/>
                <w:highlight w:val="none"/>
                <w:lang w:val="en-US" w:eastAsia="zh-CN" w:bidi="ar-SA"/>
              </w:rPr>
              <w:t>现行有效规范性文件库，集中公开现行有效规范性文件和目录，</w:t>
            </w:r>
            <w:r>
              <w:rPr>
                <w:rFonts w:hint="eastAsia"/>
                <w:sz w:val="24"/>
                <w:highlight w:val="none"/>
              </w:rPr>
              <w:t>并根据法律法规和上级文件的制定、修改、废止情况，及时更新清理</w:t>
            </w:r>
            <w:r>
              <w:rPr>
                <w:rFonts w:hint="eastAsia" w:ascii="Calibri" w:hAnsi="Calibri" w:eastAsia="仿宋_GB2312" w:cs="Times New Roman"/>
                <w:kern w:val="2"/>
                <w:sz w:val="24"/>
                <w:szCs w:val="24"/>
                <w:highlight w:val="none"/>
                <w:lang w:val="en-US" w:eastAsia="zh-CN" w:bidi="ar-SA"/>
              </w:rPr>
              <w:t>。</w:t>
            </w:r>
          </w:p>
        </w:tc>
        <w:tc>
          <w:tcPr>
            <w:tcW w:w="2007" w:type="dxa"/>
            <w:vAlign w:val="center"/>
          </w:tcPr>
          <w:p>
            <w:pPr>
              <w:rPr>
                <w:rFonts w:hint="default" w:ascii="Calibri" w:hAnsi="Calibri"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谁制作谁公开，应公开尽公开，做好失效的文件及时处理。</w:t>
            </w:r>
          </w:p>
        </w:tc>
        <w:tc>
          <w:tcPr>
            <w:tcW w:w="1785" w:type="dxa"/>
            <w:vAlign w:val="center"/>
          </w:tcPr>
          <w:p>
            <w:pPr>
              <w:jc w:val="both"/>
              <w:rPr>
                <w:rFonts w:hint="default" w:ascii="Calibri" w:hAnsi="Calibri" w:eastAsia="仿宋_GB2312" w:cs="Times New Roman"/>
                <w:kern w:val="2"/>
                <w:sz w:val="24"/>
                <w:szCs w:val="24"/>
                <w:highlight w:val="none"/>
                <w:lang w:val="en-US" w:eastAsia="zh-CN" w:bidi="ar-SA"/>
              </w:rPr>
            </w:pPr>
            <w:r>
              <w:rPr>
                <w:rFonts w:hint="eastAsia"/>
                <w:sz w:val="24"/>
                <w:highlight w:val="none"/>
                <w:lang w:val="en-US" w:eastAsia="zh-CN"/>
              </w:rPr>
              <w:t>区</w:t>
            </w:r>
            <w:r>
              <w:rPr>
                <w:rFonts w:hint="eastAsia"/>
                <w:sz w:val="24"/>
                <w:highlight w:val="none"/>
              </w:rPr>
              <w:t>司法局</w:t>
            </w:r>
            <w:r>
              <w:rPr>
                <w:rFonts w:hint="eastAsia"/>
                <w:sz w:val="24"/>
                <w:highlight w:val="none"/>
                <w:lang w:eastAsia="zh-CN"/>
              </w:rPr>
              <w:t>、</w:t>
            </w:r>
            <w:r>
              <w:rPr>
                <w:rFonts w:hint="eastAsia"/>
                <w:sz w:val="24"/>
                <w:highlight w:val="none"/>
                <w:lang w:val="en-US" w:eastAsia="zh-CN"/>
              </w:rPr>
              <w:t>区</w:t>
            </w:r>
            <w:r>
              <w:rPr>
                <w:rFonts w:hint="eastAsia"/>
                <w:sz w:val="24"/>
                <w:highlight w:val="none"/>
              </w:rPr>
              <w:t>政府各部门</w:t>
            </w:r>
          </w:p>
        </w:tc>
        <w:tc>
          <w:tcPr>
            <w:tcW w:w="1541" w:type="dxa"/>
            <w:vAlign w:val="center"/>
          </w:tcPr>
          <w:p>
            <w:pPr>
              <w:jc w:val="center"/>
              <w:rPr>
                <w:rFonts w:hint="default" w:ascii="Calibri" w:hAnsi="Calibri" w:eastAsia="仿宋_GB2312" w:cs="Times New Roman"/>
                <w:kern w:val="2"/>
                <w:sz w:val="24"/>
                <w:szCs w:val="24"/>
                <w:highlight w:val="none"/>
                <w:lang w:val="en-US" w:eastAsia="zh-CN" w:bidi="ar-SA"/>
              </w:rPr>
            </w:pPr>
            <w:r>
              <w:rPr>
                <w:rFonts w:hint="eastAsia"/>
                <w:sz w:val="24"/>
                <w:highlight w:val="none"/>
              </w:rPr>
              <w:t>2022年</w:t>
            </w:r>
            <w:r>
              <w:rPr>
                <w:rFonts w:hint="eastAsia"/>
                <w:sz w:val="24"/>
                <w:highlight w:val="none"/>
                <w:lang w:val="en-US" w:eastAsia="zh-CN"/>
              </w:rPr>
              <w:t>8月</w:t>
            </w:r>
            <w:r>
              <w:rPr>
                <w:rFonts w:hint="eastAsia"/>
                <w:sz w:val="24"/>
                <w:highlight w:val="none"/>
              </w:rPr>
              <w:t>底前</w:t>
            </w:r>
            <w:r>
              <w:rPr>
                <w:rFonts w:hint="eastAsia"/>
                <w:sz w:val="24"/>
                <w:highlight w:val="none"/>
                <w:lang w:eastAsia="zh-CN"/>
              </w:rPr>
              <w:t>，</w:t>
            </w:r>
            <w:r>
              <w:rPr>
                <w:rFonts w:hint="eastAsia"/>
                <w:sz w:val="24"/>
                <w:highlight w:val="none"/>
                <w:lang w:val="en-US" w:eastAsia="zh-CN"/>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02" w:type="dxa"/>
            <w:vMerge w:val="continue"/>
            <w:vAlign w:val="center"/>
          </w:tcPr>
          <w:p>
            <w:pPr>
              <w:rPr>
                <w:sz w:val="24"/>
                <w:highlight w:val="none"/>
              </w:rPr>
            </w:pPr>
          </w:p>
        </w:tc>
        <w:tc>
          <w:tcPr>
            <w:tcW w:w="1258" w:type="dxa"/>
            <w:vMerge w:val="continue"/>
            <w:vAlign w:val="center"/>
          </w:tcPr>
          <w:p>
            <w:pPr>
              <w:jc w:val="center"/>
              <w:rPr>
                <w:sz w:val="24"/>
                <w:highlight w:val="none"/>
              </w:rPr>
            </w:pPr>
          </w:p>
        </w:tc>
        <w:tc>
          <w:tcPr>
            <w:tcW w:w="5077" w:type="dxa"/>
            <w:vAlign w:val="center"/>
          </w:tcPr>
          <w:p>
            <w:pPr>
              <w:rPr>
                <w:rFonts w:ascii="Calibri" w:hAnsi="Calibri" w:eastAsia="仿宋_GB2312" w:cs="Times New Roman"/>
                <w:kern w:val="2"/>
                <w:sz w:val="24"/>
                <w:szCs w:val="24"/>
                <w:highlight w:val="none"/>
                <w:lang w:val="en-US" w:eastAsia="zh-CN" w:bidi="ar-SA"/>
              </w:rPr>
            </w:pPr>
            <w:r>
              <w:rPr>
                <w:rFonts w:hint="eastAsia" w:ascii="Calibri" w:hAnsi="Calibri" w:eastAsia="仿宋_GB2312" w:cs="Times New Roman"/>
                <w:kern w:val="2"/>
                <w:sz w:val="24"/>
                <w:szCs w:val="24"/>
                <w:highlight w:val="none"/>
                <w:lang w:val="en-US" w:eastAsia="zh-CN" w:bidi="ar-SA"/>
              </w:rPr>
              <w:t>进一步强化政府公文分类展示，持续调整优化主题划分，确保分类准确，便于查阅。</w:t>
            </w:r>
          </w:p>
        </w:tc>
        <w:tc>
          <w:tcPr>
            <w:tcW w:w="2007" w:type="dxa"/>
            <w:vAlign w:val="center"/>
          </w:tcPr>
          <w:p>
            <w:pPr>
              <w:rPr>
                <w:rFonts w:hint="default" w:ascii="Calibri" w:hAnsi="Calibri"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按要求分类并公开，优化搜索功能，确保查阅方便。</w:t>
            </w:r>
          </w:p>
        </w:tc>
        <w:tc>
          <w:tcPr>
            <w:tcW w:w="1785" w:type="dxa"/>
            <w:vAlign w:val="center"/>
          </w:tcPr>
          <w:p>
            <w:pPr>
              <w:jc w:val="center"/>
              <w:rPr>
                <w:rFonts w:hint="default" w:ascii="Calibri" w:hAnsi="Calibri" w:eastAsia="仿宋_GB2312" w:cs="Times New Roman"/>
                <w:kern w:val="2"/>
                <w:sz w:val="24"/>
                <w:szCs w:val="24"/>
                <w:highlight w:val="none"/>
                <w:lang w:val="en-US" w:eastAsia="zh-CN" w:bidi="ar-SA"/>
              </w:rPr>
            </w:pPr>
            <w:r>
              <w:rPr>
                <w:rFonts w:hint="eastAsia"/>
                <w:sz w:val="24"/>
                <w:highlight w:val="none"/>
                <w:lang w:val="en-US" w:eastAsia="zh-CN"/>
              </w:rPr>
              <w:t>区政府办公室、</w:t>
            </w:r>
            <w:r>
              <w:rPr>
                <w:rFonts w:hint="eastAsia"/>
                <w:sz w:val="24"/>
                <w:highlight w:val="none"/>
                <w:lang w:eastAsia="zh-CN"/>
              </w:rPr>
              <w:t>区</w:t>
            </w:r>
            <w:r>
              <w:rPr>
                <w:rFonts w:hint="eastAsia"/>
                <w:sz w:val="24"/>
                <w:highlight w:val="none"/>
                <w:lang w:val="en-US" w:eastAsia="zh-CN"/>
              </w:rPr>
              <w:t>行政审批和政务服务局</w:t>
            </w:r>
          </w:p>
        </w:tc>
        <w:tc>
          <w:tcPr>
            <w:tcW w:w="1541" w:type="dxa"/>
            <w:vAlign w:val="center"/>
          </w:tcPr>
          <w:p>
            <w:pPr>
              <w:jc w:val="center"/>
              <w:rPr>
                <w:rFonts w:hint="eastAsia" w:cs="Times New Roman"/>
                <w:sz w:val="24"/>
                <w:highlight w:val="none"/>
                <w:lang w:val="en-US" w:eastAsia="zh-CN"/>
              </w:rPr>
            </w:pPr>
            <w:r>
              <w:rPr>
                <w:rFonts w:hint="eastAsia" w:cs="Times New Roman"/>
                <w:sz w:val="24"/>
                <w:highlight w:val="none"/>
              </w:rPr>
              <w:t>2022年</w:t>
            </w:r>
            <w:r>
              <w:rPr>
                <w:rFonts w:hint="eastAsia" w:cs="Times New Roman"/>
                <w:sz w:val="24"/>
                <w:highlight w:val="none"/>
                <w:lang w:val="en-US" w:eastAsia="zh-CN"/>
              </w:rPr>
              <w:t>8</w:t>
            </w:r>
            <w:r>
              <w:rPr>
                <w:rFonts w:hint="eastAsia" w:cs="Times New Roman"/>
                <w:sz w:val="24"/>
                <w:highlight w:val="none"/>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2" w:type="dxa"/>
            <w:vMerge w:val="continue"/>
            <w:vAlign w:val="center"/>
          </w:tcPr>
          <w:p>
            <w:pPr>
              <w:rPr>
                <w:sz w:val="24"/>
                <w:highlight w:val="none"/>
              </w:rPr>
            </w:pPr>
          </w:p>
        </w:tc>
        <w:tc>
          <w:tcPr>
            <w:tcW w:w="1258" w:type="dxa"/>
            <w:vMerge w:val="restart"/>
            <w:vAlign w:val="center"/>
          </w:tcPr>
          <w:p>
            <w:pPr>
              <w:jc w:val="center"/>
              <w:rPr>
                <w:sz w:val="24"/>
                <w:highlight w:val="none"/>
              </w:rPr>
            </w:pPr>
            <w:r>
              <w:rPr>
                <w:rFonts w:hint="eastAsia"/>
                <w:sz w:val="24"/>
                <w:highlight w:val="none"/>
              </w:rPr>
              <w:t>（二）加强政策集中公开成果运用。</w:t>
            </w:r>
          </w:p>
        </w:tc>
        <w:tc>
          <w:tcPr>
            <w:tcW w:w="5077" w:type="dxa"/>
            <w:vAlign w:val="center"/>
          </w:tcPr>
          <w:p>
            <w:pPr>
              <w:rPr>
                <w:sz w:val="24"/>
                <w:highlight w:val="none"/>
              </w:rPr>
            </w:pPr>
            <w:r>
              <w:rPr>
                <w:rFonts w:hint="eastAsia"/>
                <w:sz w:val="24"/>
                <w:highlight w:val="none"/>
              </w:rPr>
              <w:t>提升政府网站集约化平台大数据分析能力，以政策文件库和政务服务事项办事指南为依托，推动建设政策文件智能问答数据库。</w:t>
            </w:r>
          </w:p>
        </w:tc>
        <w:tc>
          <w:tcPr>
            <w:tcW w:w="2007" w:type="dxa"/>
            <w:shd w:val="clear" w:color="auto" w:fill="auto"/>
            <w:vAlign w:val="center"/>
          </w:tcPr>
          <w:p>
            <w:pPr>
              <w:rPr>
                <w:rFonts w:hint="default" w:eastAsia="仿宋_GB2312"/>
                <w:sz w:val="24"/>
                <w:highlight w:val="none"/>
                <w:lang w:val="en-US" w:eastAsia="zh-CN"/>
              </w:rPr>
            </w:pPr>
            <w:r>
              <w:rPr>
                <w:rFonts w:hint="eastAsia"/>
                <w:sz w:val="24"/>
                <w:highlight w:val="none"/>
                <w:lang w:val="en-US" w:eastAsia="zh-CN"/>
              </w:rPr>
              <w:t>积极推进该项工作</w:t>
            </w:r>
          </w:p>
        </w:tc>
        <w:tc>
          <w:tcPr>
            <w:tcW w:w="1785" w:type="dxa"/>
            <w:vAlign w:val="center"/>
          </w:tcPr>
          <w:p>
            <w:pPr>
              <w:jc w:val="center"/>
              <w:rPr>
                <w:rFonts w:hint="default" w:ascii="Calibri" w:hAnsi="Calibri" w:eastAsia="仿宋_GB2312" w:cs="Times New Roman"/>
                <w:kern w:val="2"/>
                <w:sz w:val="24"/>
                <w:szCs w:val="24"/>
                <w:highlight w:val="none"/>
                <w:lang w:val="en-US" w:eastAsia="zh-CN" w:bidi="ar-SA"/>
              </w:rPr>
            </w:pPr>
            <w:r>
              <w:rPr>
                <w:rFonts w:hint="eastAsia"/>
                <w:sz w:val="24"/>
                <w:highlight w:val="none"/>
                <w:lang w:eastAsia="zh-CN"/>
              </w:rPr>
              <w:t>区</w:t>
            </w:r>
            <w:r>
              <w:rPr>
                <w:rFonts w:hint="eastAsia"/>
                <w:sz w:val="24"/>
                <w:highlight w:val="none"/>
                <w:lang w:val="en-US" w:eastAsia="zh-CN"/>
              </w:rPr>
              <w:t>行政审批和政务服务局</w:t>
            </w:r>
          </w:p>
        </w:tc>
        <w:tc>
          <w:tcPr>
            <w:tcW w:w="1541" w:type="dxa"/>
            <w:vAlign w:val="center"/>
          </w:tcPr>
          <w:p>
            <w:pPr>
              <w:jc w:val="center"/>
              <w:rPr>
                <w:rFonts w:hint="eastAsia" w:cs="Times New Roman"/>
                <w:sz w:val="24"/>
                <w:highlight w:val="none"/>
                <w:lang w:val="en-US" w:eastAsia="zh-CN"/>
              </w:rPr>
            </w:pPr>
            <w:r>
              <w:rPr>
                <w:rFonts w:hint="eastAsia" w:cs="Times New Roman"/>
                <w:sz w:val="24"/>
                <w:highlight w:val="none"/>
              </w:rPr>
              <w:t>2022年</w:t>
            </w:r>
            <w:r>
              <w:rPr>
                <w:rFonts w:hint="eastAsia" w:cs="Times New Roman"/>
                <w:sz w:val="24"/>
                <w:highlight w:val="none"/>
                <w:lang w:val="en-US" w:eastAsia="zh-CN"/>
              </w:rPr>
              <w:t>11</w:t>
            </w:r>
            <w:r>
              <w:rPr>
                <w:rFonts w:hint="eastAsia" w:cs="Times New Roman"/>
                <w:sz w:val="24"/>
                <w:highlight w:val="none"/>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2" w:type="dxa"/>
            <w:vMerge w:val="continue"/>
            <w:vAlign w:val="center"/>
          </w:tcPr>
          <w:p>
            <w:pPr>
              <w:rPr>
                <w:sz w:val="24"/>
              </w:rPr>
            </w:pPr>
          </w:p>
        </w:tc>
        <w:tc>
          <w:tcPr>
            <w:tcW w:w="1258" w:type="dxa"/>
            <w:vMerge w:val="continue"/>
            <w:vAlign w:val="center"/>
          </w:tcPr>
          <w:p>
            <w:pPr>
              <w:jc w:val="center"/>
              <w:rPr>
                <w:rFonts w:hint="eastAsia"/>
                <w:sz w:val="24"/>
              </w:rPr>
            </w:pPr>
          </w:p>
        </w:tc>
        <w:tc>
          <w:tcPr>
            <w:tcW w:w="5077" w:type="dxa"/>
            <w:vAlign w:val="center"/>
          </w:tcPr>
          <w:p>
            <w:pPr>
              <w:rPr>
                <w:rFonts w:hint="eastAsia"/>
                <w:sz w:val="24"/>
                <w:highlight w:val="yellow"/>
              </w:rPr>
            </w:pPr>
            <w:r>
              <w:rPr>
                <w:rFonts w:hint="eastAsia"/>
                <w:sz w:val="24"/>
              </w:rPr>
              <w:t>加快推进政务服务标准化、规范化、便利化，根据国家政务服务事项基本目录和</w:t>
            </w:r>
            <w:r>
              <w:rPr>
                <w:rFonts w:hint="eastAsia"/>
                <w:sz w:val="24"/>
                <w:lang w:val="en-US" w:eastAsia="zh-CN"/>
              </w:rPr>
              <w:t>东胜区</w:t>
            </w:r>
            <w:r>
              <w:rPr>
                <w:rFonts w:hint="eastAsia"/>
                <w:sz w:val="24"/>
              </w:rPr>
              <w:t>实际，明确应承接的事项，并全面梳理依法依规自行设立的事项，修订完善</w:t>
            </w:r>
            <w:r>
              <w:rPr>
                <w:rFonts w:hint="eastAsia"/>
                <w:sz w:val="24"/>
                <w:lang w:val="en-US" w:eastAsia="zh-CN"/>
              </w:rPr>
              <w:t>东胜区</w:t>
            </w:r>
            <w:r>
              <w:rPr>
                <w:rFonts w:hint="eastAsia"/>
                <w:sz w:val="24"/>
              </w:rPr>
              <w:t>政务服务事项基本目录，更好</w:t>
            </w:r>
            <w:r>
              <w:rPr>
                <w:rFonts w:hint="eastAsia"/>
                <w:sz w:val="24"/>
                <w:lang w:val="en-US" w:eastAsia="zh-CN"/>
              </w:rPr>
              <w:t>地</w:t>
            </w:r>
            <w:r>
              <w:rPr>
                <w:rFonts w:hint="eastAsia"/>
                <w:sz w:val="24"/>
              </w:rPr>
              <w:t>满足企业群众办事需求。</w:t>
            </w:r>
          </w:p>
        </w:tc>
        <w:tc>
          <w:tcPr>
            <w:tcW w:w="2007" w:type="dxa"/>
            <w:vAlign w:val="center"/>
          </w:tcPr>
          <w:p>
            <w:pPr>
              <w:rPr>
                <w:rFonts w:hint="eastAsia"/>
                <w:sz w:val="24"/>
                <w:highlight w:val="green"/>
                <w:lang w:val="en-US" w:eastAsia="zh-CN"/>
              </w:rPr>
            </w:pPr>
            <w:r>
              <w:rPr>
                <w:rFonts w:hint="eastAsia"/>
                <w:sz w:val="24"/>
                <w:highlight w:val="none"/>
                <w:lang w:val="en-US" w:eastAsia="zh-CN"/>
              </w:rPr>
              <w:t>继续梳理完善基层政务公开事项标准目录并公开。</w:t>
            </w:r>
          </w:p>
        </w:tc>
        <w:tc>
          <w:tcPr>
            <w:tcW w:w="1785" w:type="dxa"/>
            <w:vAlign w:val="center"/>
          </w:tcPr>
          <w:p>
            <w:pPr>
              <w:jc w:val="center"/>
              <w:rPr>
                <w:rFonts w:hint="eastAsia" w:cs="Times New Roman"/>
                <w:kern w:val="2"/>
                <w:sz w:val="24"/>
                <w:szCs w:val="24"/>
                <w:lang w:val="en-US" w:eastAsia="zh-CN" w:bidi="ar-SA"/>
              </w:rPr>
            </w:pPr>
            <w:r>
              <w:rPr>
                <w:rFonts w:hint="eastAsia"/>
                <w:sz w:val="24"/>
                <w:lang w:eastAsia="zh-CN"/>
              </w:rPr>
              <w:t>区</w:t>
            </w:r>
            <w:r>
              <w:rPr>
                <w:rFonts w:hint="eastAsia"/>
                <w:sz w:val="24"/>
                <w:lang w:val="en-US" w:eastAsia="zh-CN"/>
              </w:rPr>
              <w:t>行政审批和政务服务局</w:t>
            </w:r>
          </w:p>
        </w:tc>
        <w:tc>
          <w:tcPr>
            <w:tcW w:w="1541" w:type="dxa"/>
            <w:vAlign w:val="center"/>
          </w:tcPr>
          <w:p>
            <w:pPr>
              <w:jc w:val="center"/>
              <w:rPr>
                <w:rFonts w:hint="eastAsia" w:cs="Times New Roman"/>
                <w:sz w:val="24"/>
              </w:rPr>
            </w:pPr>
            <w:r>
              <w:rPr>
                <w:rFonts w:hint="eastAsia" w:cs="Times New Roman"/>
                <w:sz w:val="24"/>
              </w:rPr>
              <w:t>2022年</w:t>
            </w:r>
            <w:r>
              <w:rPr>
                <w:rFonts w:hint="eastAsia" w:cs="Times New Roman"/>
                <w:sz w:val="24"/>
                <w:lang w:val="en-US" w:eastAsia="zh-CN"/>
              </w:rPr>
              <w:t>10</w:t>
            </w:r>
            <w:r>
              <w:rPr>
                <w:rFonts w:hint="eastAsia" w:cs="Times New Roman"/>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（三）深化优化政策解读。</w:t>
            </w:r>
          </w:p>
        </w:tc>
        <w:tc>
          <w:tcPr>
            <w:tcW w:w="5077" w:type="dxa"/>
            <w:vAlign w:val="center"/>
          </w:tcPr>
          <w:p>
            <w:pPr>
              <w:rPr>
                <w:rFonts w:hint="eastAsia" w:eastAsia="仿宋_GB2312"/>
                <w:sz w:val="24"/>
                <w:lang w:eastAsia="zh-CN"/>
              </w:rPr>
            </w:pPr>
            <w:r>
              <w:rPr>
                <w:rFonts w:hint="eastAsia" w:eastAsia="仿宋_GB2312"/>
                <w:sz w:val="24"/>
                <w:lang w:eastAsia="zh-CN"/>
              </w:rPr>
              <w:t>持续做好重大政策发布解读回应工作，合理确定解读渠道，综合选用图示图解、视频动漫、新闻发布会、专家访谈、场景演示、短视频、集中政策宣讲等解读形式，协调</w:t>
            </w:r>
            <w:r>
              <w:rPr>
                <w:rFonts w:hint="eastAsia"/>
                <w:sz w:val="24"/>
                <w:lang w:val="en-US" w:eastAsia="zh-CN"/>
              </w:rPr>
              <w:t>全市</w:t>
            </w:r>
            <w:r>
              <w:rPr>
                <w:rFonts w:hint="eastAsia" w:eastAsia="仿宋_GB2312"/>
                <w:sz w:val="24"/>
                <w:lang w:eastAsia="zh-CN"/>
              </w:rPr>
              <w:t>主要新闻媒体和</w:t>
            </w:r>
            <w:r>
              <w:rPr>
                <w:rFonts w:hint="eastAsia"/>
                <w:sz w:val="24"/>
                <w:lang w:val="en-US" w:eastAsia="zh-CN"/>
              </w:rPr>
              <w:t>东胜区各</w:t>
            </w:r>
            <w:r>
              <w:rPr>
                <w:rFonts w:hint="eastAsia" w:eastAsia="仿宋_GB2312"/>
                <w:sz w:val="24"/>
                <w:lang w:eastAsia="zh-CN"/>
              </w:rPr>
              <w:t>政务新媒体平台转载，切实丰富政策解读形式，提高政策解读的到达率和知晓率。</w:t>
            </w:r>
          </w:p>
        </w:tc>
        <w:tc>
          <w:tcPr>
            <w:tcW w:w="2007" w:type="dxa"/>
            <w:vMerge w:val="restart"/>
            <w:vAlign w:val="center"/>
          </w:tcPr>
          <w:p>
            <w:pPr>
              <w:rPr>
                <w:rFonts w:hint="default" w:eastAsia="仿宋_GB2312"/>
                <w:sz w:val="24"/>
                <w:highlight w:val="green"/>
                <w:lang w:val="en-US" w:eastAsia="zh-CN"/>
              </w:rPr>
            </w:pPr>
            <w:r>
              <w:rPr>
                <w:rFonts w:hint="eastAsia"/>
                <w:sz w:val="24"/>
                <w:highlight w:val="none"/>
                <w:lang w:val="en-US" w:eastAsia="zh-CN"/>
              </w:rPr>
              <w:t>通过</w:t>
            </w:r>
            <w:r>
              <w:rPr>
                <w:rFonts w:hint="eastAsia" w:eastAsia="仿宋_GB2312"/>
                <w:sz w:val="24"/>
                <w:highlight w:val="none"/>
                <w:lang w:eastAsia="zh-CN"/>
              </w:rPr>
              <w:t>图示</w:t>
            </w:r>
            <w:r>
              <w:rPr>
                <w:rFonts w:hint="eastAsia"/>
                <w:sz w:val="24"/>
                <w:highlight w:val="none"/>
                <w:lang w:eastAsia="zh-CN"/>
              </w:rPr>
              <w:t>、</w:t>
            </w:r>
            <w:r>
              <w:rPr>
                <w:rFonts w:hint="eastAsia" w:eastAsia="仿宋_GB2312"/>
                <w:sz w:val="24"/>
                <w:highlight w:val="none"/>
                <w:lang w:eastAsia="zh-CN"/>
              </w:rPr>
              <w:t>图解</w:t>
            </w:r>
            <w:r>
              <w:rPr>
                <w:rFonts w:hint="eastAsia"/>
                <w:sz w:val="24"/>
                <w:highlight w:val="none"/>
                <w:lang w:val="en-US" w:eastAsia="zh-CN"/>
              </w:rPr>
              <w:t>的方式对涉及面广、影响范围大的政策文件进行解读，并做到原文与解读相互关联。</w:t>
            </w:r>
          </w:p>
        </w:tc>
        <w:tc>
          <w:tcPr>
            <w:tcW w:w="1785" w:type="dxa"/>
            <w:vMerge w:val="restart"/>
            <w:vAlign w:val="center"/>
          </w:tcPr>
          <w:p>
            <w:pPr>
              <w:jc w:val="both"/>
              <w:rPr>
                <w:rFonts w:hint="default" w:ascii="Calibri" w:hAnsi="Calibri" w:eastAsia="仿宋_GB2312" w:cs="Times New Roman"/>
                <w:kern w:val="2"/>
                <w:sz w:val="24"/>
                <w:szCs w:val="24"/>
                <w:lang w:val="en-US" w:eastAsia="zh-CN" w:bidi="ar-SA"/>
              </w:rPr>
            </w:pPr>
            <w:r>
              <w:rPr>
                <w:rFonts w:hint="eastAsia"/>
                <w:sz w:val="24"/>
                <w:lang w:val="en-US" w:eastAsia="zh-CN"/>
              </w:rPr>
              <w:t>各镇人民政府、区政府各部门、各垂管部门、各企事业单位</w:t>
            </w:r>
          </w:p>
        </w:tc>
        <w:tc>
          <w:tcPr>
            <w:tcW w:w="1541" w:type="dxa"/>
            <w:vMerge w:val="restart"/>
            <w:vAlign w:val="center"/>
          </w:tcPr>
          <w:p>
            <w:pPr>
              <w:jc w:val="center"/>
              <w:rPr>
                <w:rFonts w:hint="eastAsia" w:cs="Times New Roman"/>
                <w:sz w:val="24"/>
                <w:lang w:val="en-US" w:eastAsia="zh-CN"/>
              </w:rPr>
            </w:pPr>
            <w:r>
              <w:rPr>
                <w:rFonts w:hint="eastAsia" w:cs="Times New Roman"/>
                <w:sz w:val="24"/>
              </w:rPr>
              <w:t>2022年1</w:t>
            </w:r>
            <w:r>
              <w:rPr>
                <w:rFonts w:hint="eastAsia" w:cs="Times New Roman"/>
                <w:sz w:val="24"/>
                <w:lang w:val="en-US" w:eastAsia="zh-CN"/>
              </w:rPr>
              <w:t>1</w:t>
            </w:r>
            <w:r>
              <w:rPr>
                <w:rFonts w:hint="eastAsia" w:cs="Times New Roman"/>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2" w:type="dxa"/>
            <w:vMerge w:val="continue"/>
            <w:vAlign w:val="center"/>
          </w:tcPr>
          <w:p>
            <w:pPr>
              <w:rPr>
                <w:sz w:val="24"/>
              </w:rPr>
            </w:pPr>
          </w:p>
        </w:tc>
        <w:tc>
          <w:tcPr>
            <w:tcW w:w="1258" w:type="dxa"/>
            <w:vMerge w:val="continue"/>
            <w:vAlign w:val="center"/>
          </w:tcPr>
          <w:p>
            <w:pPr>
              <w:jc w:val="center"/>
              <w:rPr>
                <w:rFonts w:hint="eastAsia"/>
                <w:sz w:val="24"/>
              </w:rPr>
            </w:pPr>
          </w:p>
        </w:tc>
        <w:tc>
          <w:tcPr>
            <w:tcW w:w="5077" w:type="dxa"/>
            <w:vAlign w:val="center"/>
          </w:tcPr>
          <w:p>
            <w:pPr>
              <w:rPr>
                <w:rFonts w:hint="eastAsia"/>
                <w:sz w:val="24"/>
              </w:rPr>
            </w:pPr>
            <w:r>
              <w:rPr>
                <w:rFonts w:hint="eastAsia"/>
                <w:sz w:val="24"/>
              </w:rPr>
              <w:t>政策解读部门要及时收集、提炼社会公众对政策的普遍关注点和疑虑点，突出新旧政策差异、管理执行标准、惠企利民举措及享受条件等实质性内容，扩大政策施行后解读，积极跟踪解读、多轮解读，对咨询、意见、建议较为集中的内容，有针对性地予以解答。</w:t>
            </w:r>
          </w:p>
        </w:tc>
        <w:tc>
          <w:tcPr>
            <w:tcW w:w="2007" w:type="dxa"/>
            <w:vMerge w:val="continue"/>
            <w:vAlign w:val="center"/>
          </w:tcPr>
          <w:p>
            <w:pPr>
              <w:rPr>
                <w:rFonts w:hint="eastAsia"/>
                <w:sz w:val="24"/>
                <w:highlight w:val="green"/>
              </w:rPr>
            </w:pPr>
          </w:p>
        </w:tc>
        <w:tc>
          <w:tcPr>
            <w:tcW w:w="1785" w:type="dxa"/>
            <w:vMerge w:val="continue"/>
            <w:vAlign w:val="center"/>
          </w:tcPr>
          <w:p>
            <w:pPr>
              <w:jc w:val="center"/>
              <w:rPr>
                <w:rFonts w:hint="eastAsia"/>
                <w:sz w:val="24"/>
              </w:rPr>
            </w:pPr>
          </w:p>
        </w:tc>
        <w:tc>
          <w:tcPr>
            <w:tcW w:w="154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rFonts w:hint="eastAsia" w:eastAsia="仿宋_GB2312"/>
                <w:sz w:val="24"/>
                <w:lang w:eastAsia="zh-CN"/>
              </w:rPr>
            </w:pPr>
            <w:r>
              <w:rPr>
                <w:rFonts w:hint="eastAsia"/>
                <w:sz w:val="24"/>
              </w:rPr>
              <w:t>以12345政务服务便民热线、</w:t>
            </w:r>
            <w:r>
              <w:rPr>
                <w:rFonts w:hint="eastAsia"/>
                <w:sz w:val="24"/>
                <w:lang w:val="en-US" w:eastAsia="zh-CN"/>
              </w:rPr>
              <w:t>区长</w:t>
            </w:r>
            <w:r>
              <w:rPr>
                <w:rFonts w:hint="eastAsia"/>
                <w:sz w:val="24"/>
              </w:rPr>
              <w:t>信箱、</w:t>
            </w:r>
            <w:r>
              <w:rPr>
                <w:rFonts w:hint="eastAsia"/>
                <w:color w:val="auto"/>
                <w:sz w:val="24"/>
              </w:rPr>
              <w:t>政府信息公开咨询电话、</w:t>
            </w:r>
            <w:r>
              <w:rPr>
                <w:rFonts w:hint="eastAsia"/>
                <w:sz w:val="24"/>
              </w:rPr>
              <w:t>政务服务</w:t>
            </w:r>
            <w:r>
              <w:rPr>
                <w:rFonts w:hint="eastAsia"/>
                <w:sz w:val="24"/>
                <w:lang w:val="en-US" w:eastAsia="zh-CN"/>
              </w:rPr>
              <w:t>大厅</w:t>
            </w:r>
            <w:r>
              <w:rPr>
                <w:rFonts w:hint="eastAsia"/>
                <w:sz w:val="24"/>
              </w:rPr>
              <w:t>为依托，加强政策咨询“窗口”建设，针对生育、教育、就业、创业、养老、医疗、纳税、疫情防控等与</w:t>
            </w:r>
            <w:r>
              <w:rPr>
                <w:rFonts w:hint="eastAsia"/>
                <w:sz w:val="24"/>
                <w:lang w:val="en-US" w:eastAsia="zh-CN"/>
              </w:rPr>
              <w:t>企业、</w:t>
            </w:r>
            <w:r>
              <w:rPr>
                <w:rFonts w:hint="eastAsia"/>
                <w:sz w:val="24"/>
              </w:rPr>
              <w:t>群众切身利益密切相关的问题，为企业和群众提供方便快捷的政策咨询服务</w:t>
            </w:r>
            <w:r>
              <w:rPr>
                <w:rFonts w:hint="eastAsia"/>
                <w:sz w:val="24"/>
                <w:lang w:eastAsia="zh-CN"/>
              </w:rPr>
              <w:t>。</w:t>
            </w:r>
          </w:p>
        </w:tc>
        <w:tc>
          <w:tcPr>
            <w:tcW w:w="2007" w:type="dxa"/>
            <w:vAlign w:val="center"/>
          </w:tcPr>
          <w:p>
            <w:pPr>
              <w:rPr>
                <w:rFonts w:hint="default" w:eastAsia="仿宋_GB2312"/>
                <w:sz w:val="24"/>
                <w:highlight w:val="green"/>
                <w:lang w:val="en-US" w:eastAsia="zh-CN"/>
              </w:rPr>
            </w:pPr>
            <w:r>
              <w:rPr>
                <w:rFonts w:hint="eastAsia"/>
                <w:sz w:val="24"/>
                <w:highlight w:val="none"/>
                <w:lang w:val="en-US" w:eastAsia="zh-CN"/>
              </w:rPr>
              <w:t>网站设有“政民互动”栏目，企业和群众可以通过热线电话、提交信件、申请公开等方式咨询或者获取相关信息。</w:t>
            </w:r>
          </w:p>
        </w:tc>
        <w:tc>
          <w:tcPr>
            <w:tcW w:w="1785"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各镇人民政府、区政府各部门、各垂管部门、各企事业单位</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302" w:type="dxa"/>
            <w:vAlign w:val="center"/>
          </w:tcPr>
          <w:p>
            <w:pPr>
              <w:rPr>
                <w:sz w:val="24"/>
              </w:rPr>
            </w:pPr>
          </w:p>
        </w:tc>
        <w:tc>
          <w:tcPr>
            <w:tcW w:w="1258" w:type="dxa"/>
            <w:vAlign w:val="center"/>
          </w:tcPr>
          <w:p>
            <w:pPr>
              <w:jc w:val="center"/>
              <w:rPr>
                <w:sz w:val="24"/>
              </w:rPr>
            </w:pPr>
            <w:r>
              <w:rPr>
                <w:rFonts w:hint="eastAsia"/>
                <w:sz w:val="24"/>
              </w:rPr>
              <w:t>（四）推动政府开放活动常态化。</w:t>
            </w:r>
          </w:p>
        </w:tc>
        <w:tc>
          <w:tcPr>
            <w:tcW w:w="5077" w:type="dxa"/>
            <w:vAlign w:val="center"/>
          </w:tcPr>
          <w:p>
            <w:pPr>
              <w:rPr>
                <w:rFonts w:hint="eastAsia"/>
                <w:sz w:val="24"/>
              </w:rPr>
            </w:pPr>
            <w:r>
              <w:rPr>
                <w:rFonts w:hint="eastAsia"/>
                <w:sz w:val="24"/>
              </w:rPr>
              <w:t>综合选用政府网站、政务新媒体、新闻发布会、政府信息查阅场所，向社会公开征求意见，听取、吸收对政府工作的意见建议。</w:t>
            </w:r>
          </w:p>
        </w:tc>
        <w:tc>
          <w:tcPr>
            <w:tcW w:w="2007" w:type="dxa"/>
            <w:vAlign w:val="center"/>
          </w:tcPr>
          <w:p>
            <w:pPr>
              <w:rPr>
                <w:rFonts w:hint="default"/>
                <w:sz w:val="24"/>
                <w:highlight w:val="none"/>
                <w:lang w:val="en-US" w:eastAsia="zh-CN"/>
              </w:rPr>
            </w:pPr>
            <w:r>
              <w:rPr>
                <w:rFonts w:hint="eastAsia"/>
                <w:sz w:val="24"/>
                <w:highlight w:val="none"/>
                <w:lang w:val="en-US" w:eastAsia="zh-CN"/>
              </w:rPr>
              <w:t>通过网站、新媒体开设新闻发布会栏目，同时网站设有征集调查栏目，及时调查研究群众的意见建议。</w:t>
            </w:r>
          </w:p>
        </w:tc>
        <w:tc>
          <w:tcPr>
            <w:tcW w:w="1785" w:type="dxa"/>
            <w:vAlign w:val="center"/>
          </w:tcPr>
          <w:p>
            <w:pPr>
              <w:jc w:val="center"/>
              <w:rPr>
                <w:rFonts w:hint="default"/>
                <w:sz w:val="24"/>
                <w:lang w:val="en-US" w:eastAsia="zh-CN"/>
              </w:rPr>
            </w:pPr>
            <w:r>
              <w:rPr>
                <w:rFonts w:hint="eastAsia"/>
                <w:sz w:val="24"/>
                <w:lang w:val="en-US" w:eastAsia="zh-CN"/>
              </w:rPr>
              <w:t>区行政审批和政务服务局、区政府办</w:t>
            </w:r>
          </w:p>
        </w:tc>
        <w:tc>
          <w:tcPr>
            <w:tcW w:w="1541" w:type="dxa"/>
            <w:vAlign w:val="center"/>
          </w:tcPr>
          <w:p>
            <w:pPr>
              <w:jc w:val="center"/>
              <w:rPr>
                <w:rFonts w:hint="default" w:eastAsia="仿宋_GB2312"/>
                <w:sz w:val="24"/>
                <w:lang w:val="en-US" w:eastAsia="zh-CN"/>
              </w:rPr>
            </w:pPr>
            <w:r>
              <w:rPr>
                <w:rFonts w:hint="eastAsia"/>
                <w:sz w:val="24"/>
                <w:lang w:val="en-US" w:eastAsia="zh-CN"/>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302" w:type="dxa"/>
            <w:vMerge w:val="restart"/>
            <w:vAlign w:val="center"/>
          </w:tcPr>
          <w:p>
            <w:pPr>
              <w:rPr>
                <w:sz w:val="24"/>
              </w:rPr>
            </w:pPr>
            <w:r>
              <w:rPr>
                <w:rFonts w:hint="eastAsia"/>
                <w:sz w:val="24"/>
              </w:rPr>
              <w:t>二、强化重点领域公开，促进社会和谐稳定</w:t>
            </w:r>
          </w:p>
          <w:p>
            <w:pPr>
              <w:rPr>
                <w:sz w:val="24"/>
              </w:rPr>
            </w:pPr>
          </w:p>
        </w:tc>
        <w:tc>
          <w:tcPr>
            <w:tcW w:w="1258" w:type="dxa"/>
            <w:vAlign w:val="center"/>
          </w:tcPr>
          <w:p>
            <w:pPr>
              <w:jc w:val="center"/>
              <w:rPr>
                <w:sz w:val="24"/>
              </w:rPr>
            </w:pPr>
            <w:r>
              <w:rPr>
                <w:rFonts w:hint="eastAsia"/>
                <w:sz w:val="24"/>
              </w:rPr>
              <w:t>（</w:t>
            </w:r>
            <w:r>
              <w:rPr>
                <w:rFonts w:hint="eastAsia"/>
                <w:sz w:val="24"/>
                <w:lang w:val="en-US" w:eastAsia="zh-CN"/>
              </w:rPr>
              <w:t>五</w:t>
            </w:r>
            <w:r>
              <w:rPr>
                <w:rFonts w:hint="eastAsia"/>
                <w:sz w:val="24"/>
              </w:rPr>
              <w:t>）持续做好疫情防控信息公开。</w:t>
            </w:r>
          </w:p>
        </w:tc>
        <w:tc>
          <w:tcPr>
            <w:tcW w:w="5077" w:type="dxa"/>
            <w:vAlign w:val="center"/>
          </w:tcPr>
          <w:p>
            <w:pPr>
              <w:rPr>
                <w:sz w:val="24"/>
              </w:rPr>
            </w:pPr>
            <w:r>
              <w:rPr>
                <w:rFonts w:hint="eastAsia"/>
                <w:sz w:val="24"/>
              </w:rPr>
              <w:t>严格执行疫情防控信息发布各项制度，持续做好政府网站“疫情防控工作”专栏更新工作，及时回应社会关切。加强疫情防控信息发布工作协调衔接，形成多方协同的工作合力。进一步规范流调信息发布和管理，</w:t>
            </w:r>
            <w:r>
              <w:rPr>
                <w:rFonts w:hint="eastAsia"/>
                <w:sz w:val="24"/>
                <w:lang w:val="en-US" w:eastAsia="zh-CN"/>
              </w:rPr>
              <w:t>做好个人隐私保护</w:t>
            </w:r>
            <w:r>
              <w:rPr>
                <w:rFonts w:hint="eastAsia"/>
                <w:sz w:val="24"/>
              </w:rPr>
              <w:t>。</w:t>
            </w:r>
          </w:p>
        </w:tc>
        <w:tc>
          <w:tcPr>
            <w:tcW w:w="2007" w:type="dxa"/>
            <w:vAlign w:val="center"/>
          </w:tcPr>
          <w:p>
            <w:pPr>
              <w:rPr>
                <w:rFonts w:hint="default" w:eastAsia="仿宋_GB2312"/>
                <w:sz w:val="24"/>
                <w:highlight w:val="green"/>
                <w:lang w:val="en-US" w:eastAsia="zh-CN"/>
              </w:rPr>
            </w:pPr>
            <w:r>
              <w:rPr>
                <w:rFonts w:hint="eastAsia"/>
                <w:sz w:val="24"/>
                <w:highlight w:val="none"/>
                <w:lang w:val="en-US" w:eastAsia="zh-CN"/>
              </w:rPr>
              <w:t>网站首页建立了“疫情防控”专栏，即时更新相关动态和政策信息，并做好个人隐私保护。</w:t>
            </w:r>
          </w:p>
        </w:tc>
        <w:tc>
          <w:tcPr>
            <w:tcW w:w="1785"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区卫健委</w:t>
            </w:r>
            <w:r>
              <w:rPr>
                <w:rFonts w:hint="eastAsia"/>
                <w:sz w:val="24"/>
              </w:rPr>
              <w:t>及相关部门</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w:t>
            </w:r>
            <w:r>
              <w:rPr>
                <w:rFonts w:hint="eastAsia"/>
                <w:sz w:val="24"/>
                <w:lang w:val="en-US" w:eastAsia="zh-CN"/>
              </w:rPr>
              <w:t>六</w:t>
            </w:r>
            <w:r>
              <w:rPr>
                <w:rFonts w:hint="eastAsia"/>
                <w:sz w:val="24"/>
              </w:rPr>
              <w:t>）加强就业创业信息公开。</w:t>
            </w:r>
          </w:p>
        </w:tc>
        <w:tc>
          <w:tcPr>
            <w:tcW w:w="5077" w:type="dxa"/>
            <w:vAlign w:val="center"/>
          </w:tcPr>
          <w:p>
            <w:pPr>
              <w:rPr>
                <w:rFonts w:hint="eastAsia" w:eastAsia="仿宋_GB2312"/>
                <w:sz w:val="24"/>
                <w:lang w:eastAsia="zh-CN"/>
              </w:rPr>
            </w:pPr>
            <w:r>
              <w:rPr>
                <w:rFonts w:hint="eastAsia"/>
                <w:sz w:val="24"/>
                <w:highlight w:val="none"/>
              </w:rPr>
              <w:t>全面梳理和集中公开本领域现行有效政策文件</w:t>
            </w:r>
            <w:r>
              <w:rPr>
                <w:rFonts w:hint="eastAsia"/>
                <w:sz w:val="24"/>
                <w:highlight w:val="none"/>
                <w:lang w:eastAsia="zh-CN"/>
              </w:rPr>
              <w:t>，</w:t>
            </w:r>
            <w:r>
              <w:rPr>
                <w:rFonts w:hint="eastAsia"/>
                <w:sz w:val="24"/>
              </w:rPr>
              <w:t>针对高校毕业生、退役军人、失业人员等重点群体就业，做好政策宣传和推送工作，提升灵活就业劳动用工和社保政策的发布解读质量，加大新就业形态劳动者劳动保障信息公开力度，畅通维权和咨询投诉渠道</w:t>
            </w:r>
            <w:r>
              <w:rPr>
                <w:rFonts w:hint="eastAsia"/>
                <w:sz w:val="24"/>
                <w:lang w:eastAsia="zh-CN"/>
              </w:rPr>
              <w:t>。</w:t>
            </w:r>
          </w:p>
        </w:tc>
        <w:tc>
          <w:tcPr>
            <w:tcW w:w="2007" w:type="dxa"/>
            <w:vAlign w:val="center"/>
          </w:tcPr>
          <w:p>
            <w:pPr>
              <w:rPr>
                <w:rFonts w:hint="default" w:eastAsia="仿宋_GB2312"/>
                <w:sz w:val="24"/>
                <w:highlight w:val="green"/>
                <w:lang w:val="en-US" w:eastAsia="zh-CN"/>
              </w:rPr>
            </w:pPr>
            <w:r>
              <w:rPr>
                <w:rFonts w:hint="eastAsia"/>
                <w:sz w:val="24"/>
                <w:highlight w:val="none"/>
                <w:lang w:val="en-US" w:eastAsia="zh-CN"/>
              </w:rPr>
              <w:t>网站里设有“就业创业”栏目，相关单位随时发布相关政策和就业方面的信息。</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区人社局、区教体局</w:t>
            </w:r>
            <w:r>
              <w:rPr>
                <w:rFonts w:hint="eastAsia"/>
                <w:sz w:val="24"/>
              </w:rPr>
              <w:t>、</w:t>
            </w:r>
            <w:r>
              <w:rPr>
                <w:rFonts w:hint="eastAsia"/>
                <w:sz w:val="24"/>
                <w:lang w:val="en-US" w:eastAsia="zh-CN"/>
              </w:rPr>
              <w:t>区</w:t>
            </w:r>
            <w:r>
              <w:rPr>
                <w:rFonts w:hint="eastAsia"/>
                <w:sz w:val="24"/>
              </w:rPr>
              <w:t>退役军人事务</w:t>
            </w:r>
            <w:r>
              <w:rPr>
                <w:rFonts w:hint="eastAsia"/>
                <w:sz w:val="24"/>
                <w:lang w:val="en-US" w:eastAsia="zh-CN"/>
              </w:rPr>
              <w:t>局等相关部门</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及时发布大规模职业技能培训信息，通过政府网站和政务新媒体及时推广就业服务政策，让更多的人能够知悉并获取相关就业培训等信息。做好失业保险基金使用情况动态公开</w:t>
            </w:r>
            <w:r>
              <w:rPr>
                <w:rFonts w:hint="eastAsia"/>
                <w:sz w:val="24"/>
                <w:lang w:val="en-US" w:eastAsia="zh-CN"/>
              </w:rPr>
              <w:t>工作</w:t>
            </w:r>
            <w:r>
              <w:rPr>
                <w:rFonts w:hint="eastAsia"/>
                <w:sz w:val="24"/>
              </w:rPr>
              <w:t>。</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网站的“就业创业”栏目及人社局、东胜发布等微信公众号里会发布相关培训、招聘信息。</w:t>
            </w:r>
          </w:p>
        </w:tc>
        <w:tc>
          <w:tcPr>
            <w:tcW w:w="1785"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区人社局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w:t>
            </w:r>
            <w:r>
              <w:rPr>
                <w:rFonts w:hint="eastAsia"/>
                <w:sz w:val="24"/>
                <w:lang w:val="en-US" w:eastAsia="zh-CN"/>
              </w:rPr>
              <w:t>七</w:t>
            </w:r>
            <w:r>
              <w:rPr>
                <w:rFonts w:hint="eastAsia"/>
                <w:sz w:val="24"/>
              </w:rPr>
              <w:t>）深化生态环境领域信息公开。</w:t>
            </w:r>
          </w:p>
        </w:tc>
        <w:tc>
          <w:tcPr>
            <w:tcW w:w="5077" w:type="dxa"/>
            <w:vAlign w:val="center"/>
          </w:tcPr>
          <w:p>
            <w:pPr>
              <w:rPr>
                <w:sz w:val="24"/>
              </w:rPr>
            </w:pPr>
            <w:r>
              <w:rPr>
                <w:rFonts w:hint="eastAsia"/>
                <w:sz w:val="24"/>
              </w:rPr>
              <w:t>持续做好大气、水、土壤环境质量信息公开。</w:t>
            </w:r>
          </w:p>
        </w:tc>
        <w:tc>
          <w:tcPr>
            <w:tcW w:w="2007" w:type="dxa"/>
            <w:vMerge w:val="restart"/>
            <w:vAlign w:val="center"/>
          </w:tcPr>
          <w:p>
            <w:pPr>
              <w:rPr>
                <w:rFonts w:hint="default" w:eastAsia="仿宋_GB2312"/>
                <w:sz w:val="24"/>
                <w:highlight w:val="none"/>
                <w:lang w:val="en-US" w:eastAsia="zh-CN"/>
              </w:rPr>
            </w:pPr>
            <w:r>
              <w:rPr>
                <w:rFonts w:hint="eastAsia"/>
                <w:sz w:val="24"/>
                <w:highlight w:val="none"/>
                <w:lang w:val="en-US" w:eastAsia="zh-CN"/>
              </w:rPr>
              <w:t>网站开通“生态环境”栏目，发布水资源检测信息和环评公告。</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rPr>
              <w:t>生态环境</w:t>
            </w:r>
            <w:r>
              <w:rPr>
                <w:rFonts w:hint="eastAsia"/>
                <w:sz w:val="24"/>
                <w:lang w:val="en-US" w:eastAsia="zh-CN"/>
              </w:rPr>
              <w:t>分局及相关部门</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围绕扎实推动黄河流域生态保护和高质量发展、深入打好污染防治攻坚战、持续改善生态环境质量等方面工作，及时发布权威信息。</w:t>
            </w:r>
          </w:p>
        </w:tc>
        <w:tc>
          <w:tcPr>
            <w:tcW w:w="2007" w:type="dxa"/>
            <w:vMerge w:val="continue"/>
            <w:vAlign w:val="center"/>
          </w:tcPr>
          <w:p>
            <w:pPr>
              <w:rPr>
                <w:rFonts w:hint="eastAsia"/>
                <w:sz w:val="24"/>
                <w:highlight w:val="green"/>
              </w:rPr>
            </w:pPr>
          </w:p>
        </w:tc>
        <w:tc>
          <w:tcPr>
            <w:tcW w:w="1785" w:type="dxa"/>
            <w:vMerge w:val="restart"/>
            <w:vAlign w:val="center"/>
          </w:tcPr>
          <w:p>
            <w:pPr>
              <w:jc w:val="center"/>
              <w:rPr>
                <w:rFonts w:hint="eastAsia"/>
                <w:sz w:val="24"/>
              </w:rPr>
            </w:pPr>
            <w:r>
              <w:rPr>
                <w:rFonts w:hint="eastAsia"/>
                <w:sz w:val="24"/>
                <w:lang w:val="en-US" w:eastAsia="zh-CN"/>
              </w:rPr>
              <w:t>区</w:t>
            </w:r>
            <w:r>
              <w:rPr>
                <w:rFonts w:hint="eastAsia"/>
                <w:sz w:val="24"/>
              </w:rPr>
              <w:t>发改</w:t>
            </w:r>
            <w:r>
              <w:rPr>
                <w:rFonts w:hint="eastAsia"/>
                <w:sz w:val="24"/>
                <w:lang w:val="en-US" w:eastAsia="zh-CN"/>
              </w:rPr>
              <w:t>委</w:t>
            </w:r>
            <w:r>
              <w:rPr>
                <w:rFonts w:hint="eastAsia"/>
                <w:sz w:val="24"/>
              </w:rPr>
              <w:t>、</w:t>
            </w:r>
          </w:p>
          <w:p>
            <w:pPr>
              <w:jc w:val="center"/>
              <w:rPr>
                <w:rFonts w:hint="eastAsia" w:ascii="Calibri" w:hAnsi="Calibri" w:eastAsia="仿宋_GB2312" w:cs="Times New Roman"/>
                <w:kern w:val="2"/>
                <w:sz w:val="24"/>
                <w:szCs w:val="24"/>
                <w:lang w:val="en-US" w:eastAsia="zh-CN" w:bidi="ar-SA"/>
              </w:rPr>
            </w:pPr>
            <w:r>
              <w:rPr>
                <w:rFonts w:hint="eastAsia"/>
                <w:sz w:val="24"/>
              </w:rPr>
              <w:t>生态环境</w:t>
            </w:r>
            <w:r>
              <w:rPr>
                <w:rFonts w:hint="eastAsia"/>
                <w:sz w:val="24"/>
                <w:lang w:val="en-US" w:eastAsia="zh-CN"/>
              </w:rPr>
              <w:t>分局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做好中央第三生态环境保护督察组交办群众信访举报件办理情况的公开工作。</w:t>
            </w:r>
          </w:p>
        </w:tc>
        <w:tc>
          <w:tcPr>
            <w:tcW w:w="2007" w:type="dxa"/>
            <w:vAlign w:val="center"/>
          </w:tcPr>
          <w:p>
            <w:pPr>
              <w:rPr>
                <w:rFonts w:hint="default" w:eastAsia="仿宋_GB2312"/>
                <w:sz w:val="24"/>
                <w:highlight w:val="green"/>
                <w:lang w:val="en-US" w:eastAsia="zh-CN"/>
              </w:rPr>
            </w:pPr>
            <w:r>
              <w:rPr>
                <w:rFonts w:hint="eastAsia"/>
                <w:sz w:val="24"/>
                <w:highlight w:val="none"/>
                <w:lang w:val="en-US" w:eastAsia="zh-CN"/>
              </w:rPr>
              <w:t>在网站和新媒体上公示。</w:t>
            </w:r>
          </w:p>
        </w:tc>
        <w:tc>
          <w:tcPr>
            <w:tcW w:w="1785" w:type="dxa"/>
            <w:vMerge w:val="continue"/>
            <w:vAlign w:val="center"/>
          </w:tcPr>
          <w:p>
            <w:pPr>
              <w:jc w:val="center"/>
              <w:rPr>
                <w:rFonts w:ascii="Calibri" w:hAnsi="Calibri" w:eastAsia="仿宋_GB2312" w:cs="Times New Roman"/>
                <w:kern w:val="2"/>
                <w:sz w:val="24"/>
                <w:szCs w:val="24"/>
                <w:lang w:val="en-US" w:eastAsia="zh-CN" w:bidi="ar-SA"/>
              </w:rPr>
            </w:pP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w:t>
            </w:r>
            <w:r>
              <w:rPr>
                <w:rFonts w:hint="eastAsia"/>
                <w:sz w:val="24"/>
                <w:lang w:val="en-US" w:eastAsia="zh-CN"/>
              </w:rPr>
              <w:t>八</w:t>
            </w:r>
            <w:r>
              <w:rPr>
                <w:rFonts w:hint="eastAsia"/>
                <w:sz w:val="24"/>
              </w:rPr>
              <w:t>)深化稳增长保民生信息公开。</w:t>
            </w:r>
          </w:p>
        </w:tc>
        <w:tc>
          <w:tcPr>
            <w:tcW w:w="5077" w:type="dxa"/>
            <w:vAlign w:val="center"/>
          </w:tcPr>
          <w:p>
            <w:pPr>
              <w:rPr>
                <w:sz w:val="24"/>
              </w:rPr>
            </w:pPr>
            <w:r>
              <w:rPr>
                <w:rFonts w:hint="eastAsia"/>
                <w:sz w:val="24"/>
              </w:rPr>
              <w:t>切实做好重大建设项目信息公开，突出做好就业、教育、医疗、养老、住房保障、安全生产、生态环境、公共文化等领域的信息公开工作。</w:t>
            </w:r>
          </w:p>
        </w:tc>
        <w:tc>
          <w:tcPr>
            <w:tcW w:w="2007" w:type="dxa"/>
            <w:vAlign w:val="center"/>
          </w:tcPr>
          <w:p>
            <w:pPr>
              <w:rPr>
                <w:rFonts w:hint="default" w:eastAsia="仿宋_GB2312"/>
                <w:sz w:val="24"/>
                <w:highlight w:val="green"/>
                <w:lang w:val="en-US" w:eastAsia="zh-CN"/>
              </w:rPr>
            </w:pPr>
            <w:r>
              <w:rPr>
                <w:rFonts w:hint="eastAsia"/>
                <w:sz w:val="24"/>
                <w:highlight w:val="none"/>
                <w:lang w:val="en-US" w:eastAsia="zh-CN"/>
              </w:rPr>
              <w:t>按要求，全部在网站开设专栏，并及时做好栏目内容保障。</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区人社局、教体局、卫健委、医保局、住建局、应急管理局、生态环境分局、文旅局、农牧局、水利局、民政局、财政局、行政审批和政务服务局</w:t>
            </w:r>
          </w:p>
        </w:tc>
        <w:tc>
          <w:tcPr>
            <w:tcW w:w="1541" w:type="dxa"/>
            <w:vMerge w:val="restart"/>
            <w:vAlign w:val="center"/>
          </w:tcPr>
          <w:p>
            <w:pPr>
              <w:jc w:val="center"/>
              <w:rPr>
                <w:rFonts w:hint="eastAsia"/>
                <w:sz w:val="24"/>
              </w:rPr>
            </w:pPr>
            <w:r>
              <w:rPr>
                <w:rFonts w:hint="eastAsia"/>
                <w:sz w:val="24"/>
              </w:rPr>
              <w:t>全年持续推进</w:t>
            </w:r>
          </w:p>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通过多种形式公开学前教育、义务教育和高中阶段教育供给等方面信息。</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网站设有“义务教育”栏目，发布义务教育领域信息，东胜教育微信公众号随时发布学前 教育、义务教育、高中教育的相关内容。</w:t>
            </w:r>
          </w:p>
        </w:tc>
        <w:tc>
          <w:tcPr>
            <w:tcW w:w="1785"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区教体局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rFonts w:hint="eastAsia" w:eastAsia="仿宋_GB2312"/>
                <w:sz w:val="24"/>
                <w:highlight w:val="none"/>
                <w:lang w:val="en-US" w:eastAsia="zh-CN"/>
              </w:rPr>
            </w:pPr>
            <w:r>
              <w:rPr>
                <w:rFonts w:hint="eastAsia"/>
                <w:sz w:val="24"/>
                <w:highlight w:val="none"/>
              </w:rPr>
              <w:t>加大社会救助、卫生健康、养老服务、医疗服务、药品安全、医保监管、疫苗监管、公立医疗卫生机构绩效考核结果等方面信息公开力度。</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网站设有相关专栏，随时更新内容，同时在各相关单位的微信公众号予以公开。</w:t>
            </w:r>
          </w:p>
        </w:tc>
        <w:tc>
          <w:tcPr>
            <w:tcW w:w="1785" w:type="dxa"/>
            <w:vAlign w:val="center"/>
          </w:tcPr>
          <w:p>
            <w:pPr>
              <w:jc w:val="center"/>
              <w:rPr>
                <w:rFonts w:hint="default" w:ascii="Calibri" w:hAnsi="Calibri" w:eastAsia="仿宋_GB2312" w:cs="Times New Roman"/>
                <w:kern w:val="2"/>
                <w:sz w:val="24"/>
                <w:szCs w:val="24"/>
                <w:highlight w:val="none"/>
                <w:lang w:val="en-US" w:eastAsia="zh-CN" w:bidi="ar-SA"/>
              </w:rPr>
            </w:pPr>
            <w:r>
              <w:rPr>
                <w:rFonts w:hint="eastAsia"/>
                <w:sz w:val="24"/>
                <w:lang w:val="en-US" w:eastAsia="zh-CN"/>
              </w:rPr>
              <w:t>各镇、街道、</w:t>
            </w:r>
            <w:r>
              <w:rPr>
                <w:rFonts w:hint="eastAsia"/>
                <w:sz w:val="24"/>
                <w:highlight w:val="none"/>
                <w:lang w:val="en-US" w:eastAsia="zh-CN"/>
              </w:rPr>
              <w:t>区民政局、人社局、卫健委、市场监督管理局、医保局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持续做好住房保障相关信息公开，进一步推进老旧小区改造、公租房分配、征地等信息公开，加快历史征地信息补录。</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网站设有专栏，公开相关信息，同时相关部门微信公众号也会及时公开。</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各镇、街道、区住建局、自然资源分局等相关部门</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tabs>
                <w:tab w:val="left" w:pos="1246"/>
              </w:tabs>
              <w:rPr>
                <w:rFonts w:hint="eastAsia" w:eastAsia="仿宋_GB2312"/>
                <w:sz w:val="24"/>
                <w:lang w:eastAsia="zh-CN"/>
              </w:rPr>
            </w:pPr>
            <w:r>
              <w:rPr>
                <w:rFonts w:hint="eastAsia" w:eastAsia="仿宋_GB2312"/>
                <w:sz w:val="24"/>
                <w:lang w:eastAsia="zh-CN"/>
              </w:rPr>
              <w:t>加强安全生产、突发公共事件的应急预案和预警信息发布及应对处置情况信息公开。</w:t>
            </w:r>
          </w:p>
        </w:tc>
        <w:tc>
          <w:tcPr>
            <w:tcW w:w="2007" w:type="dxa"/>
            <w:vAlign w:val="center"/>
          </w:tcPr>
          <w:p>
            <w:pPr>
              <w:tabs>
                <w:tab w:val="left" w:pos="1246"/>
              </w:tabs>
              <w:rPr>
                <w:rFonts w:hint="default" w:eastAsia="仿宋_GB2312"/>
                <w:sz w:val="24"/>
                <w:highlight w:val="green"/>
                <w:lang w:val="en-US" w:eastAsia="zh-CN"/>
              </w:rPr>
            </w:pPr>
            <w:r>
              <w:rPr>
                <w:rFonts w:hint="eastAsia"/>
                <w:sz w:val="24"/>
                <w:highlight w:val="none"/>
                <w:lang w:val="en-US" w:eastAsia="zh-CN"/>
              </w:rPr>
              <w:t>网站设有专栏，公开相关信息，同时相关部门微信公众号也会及时公开。</w:t>
            </w:r>
          </w:p>
        </w:tc>
        <w:tc>
          <w:tcPr>
            <w:tcW w:w="1785" w:type="dxa"/>
            <w:vAlign w:val="center"/>
          </w:tcPr>
          <w:p>
            <w:pPr>
              <w:jc w:val="center"/>
              <w:rPr>
                <w:rFonts w:hint="default"/>
                <w:sz w:val="24"/>
                <w:lang w:val="en-US" w:eastAsia="zh-CN"/>
              </w:rPr>
            </w:pPr>
            <w:r>
              <w:rPr>
                <w:rFonts w:hint="eastAsia"/>
                <w:sz w:val="24"/>
                <w:lang w:val="en-US" w:eastAsia="zh-CN"/>
              </w:rPr>
              <w:t>区应急管理局、区农牧局、区卫健委、区公安分局、区气象局</w:t>
            </w:r>
          </w:p>
        </w:tc>
        <w:tc>
          <w:tcPr>
            <w:tcW w:w="154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w:t>
            </w:r>
            <w:r>
              <w:rPr>
                <w:rFonts w:hint="eastAsia"/>
                <w:sz w:val="24"/>
                <w:lang w:val="en-US" w:eastAsia="zh-CN"/>
              </w:rPr>
              <w:t>九</w:t>
            </w:r>
            <w:r>
              <w:rPr>
                <w:rFonts w:hint="eastAsia"/>
                <w:sz w:val="24"/>
              </w:rPr>
              <w:t>）推进公共企事业单位信息公开。</w:t>
            </w:r>
          </w:p>
        </w:tc>
        <w:tc>
          <w:tcPr>
            <w:tcW w:w="5077" w:type="dxa"/>
            <w:vAlign w:val="center"/>
          </w:tcPr>
          <w:p>
            <w:pPr>
              <w:rPr>
                <w:sz w:val="24"/>
                <w:highlight w:val="none"/>
              </w:rPr>
            </w:pPr>
            <w:r>
              <w:rPr>
                <w:rFonts w:hint="eastAsia"/>
                <w:sz w:val="24"/>
                <w:highlight w:val="none"/>
              </w:rPr>
              <w:t>严格执行《供电企业信息公开实施办法》《医疗卫生机构信息公开管理办法》《公共交通企业信息公开规定》等已出台的公共企事业单位信息公开制度，深入推进公共企事业单位信息公开。</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积极推进该项工作</w:t>
            </w:r>
          </w:p>
        </w:tc>
        <w:tc>
          <w:tcPr>
            <w:tcW w:w="1785"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区国资委、教体局、工科局、住建局、卫健委、应急管理局、市场监督管理局、能源局等部门</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2022年8月底前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全</w:t>
            </w:r>
            <w:r>
              <w:rPr>
                <w:rFonts w:hint="eastAsia"/>
                <w:sz w:val="24"/>
                <w:lang w:val="en-US" w:eastAsia="zh-CN"/>
              </w:rPr>
              <w:t>区</w:t>
            </w:r>
            <w:r>
              <w:rPr>
                <w:rFonts w:hint="eastAsia"/>
                <w:sz w:val="24"/>
              </w:rPr>
              <w:t>有关部门要切实履行主管部门职责，加强对公共企事业单位的监督管理，提升公共企事业单位信息公开水平和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tc>
        <w:tc>
          <w:tcPr>
            <w:tcW w:w="2007" w:type="dxa"/>
            <w:vAlign w:val="center"/>
          </w:tcPr>
          <w:p>
            <w:pPr>
              <w:rPr>
                <w:rFonts w:hint="eastAsia"/>
                <w:sz w:val="24"/>
                <w:highlight w:val="none"/>
              </w:rPr>
            </w:pPr>
            <w:r>
              <w:rPr>
                <w:rFonts w:hint="eastAsia"/>
                <w:sz w:val="24"/>
                <w:highlight w:val="none"/>
                <w:lang w:val="en-US" w:eastAsia="zh-CN"/>
              </w:rPr>
              <w:t>积极推进该项工作</w:t>
            </w:r>
          </w:p>
        </w:tc>
        <w:tc>
          <w:tcPr>
            <w:tcW w:w="1785" w:type="dxa"/>
            <w:vMerge w:val="continue"/>
            <w:vAlign w:val="center"/>
          </w:tcPr>
          <w:p>
            <w:pPr>
              <w:jc w:val="center"/>
              <w:rPr>
                <w:rFonts w:ascii="Calibri" w:hAnsi="Calibri" w:eastAsia="仿宋_GB2312" w:cs="Times New Roman"/>
                <w:kern w:val="2"/>
                <w:sz w:val="24"/>
                <w:szCs w:val="24"/>
                <w:lang w:val="en-US" w:eastAsia="zh-CN" w:bidi="ar-SA"/>
              </w:rPr>
            </w:pP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302" w:type="dxa"/>
            <w:vMerge w:val="restart"/>
            <w:vAlign w:val="center"/>
          </w:tcPr>
          <w:p>
            <w:pPr>
              <w:rPr>
                <w:sz w:val="24"/>
              </w:rPr>
            </w:pPr>
            <w:r>
              <w:rPr>
                <w:rFonts w:hint="eastAsia"/>
                <w:sz w:val="24"/>
              </w:rPr>
              <w:t>三、紧盯优化营商环境，助力经济平稳健康发展</w:t>
            </w:r>
          </w:p>
          <w:p>
            <w:pPr>
              <w:rPr>
                <w:sz w:val="24"/>
              </w:rPr>
            </w:pPr>
          </w:p>
        </w:tc>
        <w:tc>
          <w:tcPr>
            <w:tcW w:w="1258" w:type="dxa"/>
            <w:vMerge w:val="restart"/>
            <w:vAlign w:val="center"/>
          </w:tcPr>
          <w:p>
            <w:pPr>
              <w:jc w:val="center"/>
              <w:rPr>
                <w:sz w:val="24"/>
              </w:rPr>
            </w:pPr>
            <w:r>
              <w:rPr>
                <w:rFonts w:hint="eastAsia"/>
                <w:sz w:val="24"/>
              </w:rPr>
              <w:t>（</w:t>
            </w:r>
            <w:r>
              <w:rPr>
                <w:rFonts w:hint="eastAsia"/>
                <w:sz w:val="24"/>
                <w:lang w:val="en-US" w:eastAsia="zh-CN"/>
              </w:rPr>
              <w:t>十</w:t>
            </w:r>
            <w:r>
              <w:rPr>
                <w:rFonts w:hint="eastAsia"/>
                <w:sz w:val="24"/>
              </w:rPr>
              <w:t>）营造公平开放的市场环境。</w:t>
            </w:r>
          </w:p>
        </w:tc>
        <w:tc>
          <w:tcPr>
            <w:tcW w:w="5077" w:type="dxa"/>
            <w:vAlign w:val="center"/>
          </w:tcPr>
          <w:p>
            <w:pPr>
              <w:rPr>
                <w:sz w:val="24"/>
              </w:rPr>
            </w:pPr>
            <w:r>
              <w:rPr>
                <w:rFonts w:hint="eastAsia"/>
                <w:sz w:val="24"/>
              </w:rPr>
              <w:t>做好政府网站“优化营商环境”专栏内容保障</w:t>
            </w:r>
            <w:r>
              <w:rPr>
                <w:rFonts w:hint="eastAsia"/>
                <w:sz w:val="24"/>
                <w:lang w:val="en-US" w:eastAsia="zh-CN"/>
              </w:rPr>
              <w:t>工作</w:t>
            </w:r>
            <w:r>
              <w:rPr>
                <w:rFonts w:hint="eastAsia"/>
                <w:sz w:val="24"/>
              </w:rPr>
              <w:t>，推进惠民利企政策措施精准推送，鼓励政策起草部门公开相关统计数据和政策落实情况。</w:t>
            </w:r>
            <w:r>
              <w:rPr>
                <w:rFonts w:hint="eastAsia"/>
                <w:sz w:val="24"/>
                <w:highlight w:val="none"/>
              </w:rPr>
              <w:t>做好政府网站“优化营商环境”专栏内容保障，梳理汇集</w:t>
            </w:r>
            <w:r>
              <w:rPr>
                <w:rFonts w:hint="eastAsia"/>
                <w:sz w:val="24"/>
                <w:highlight w:val="none"/>
                <w:lang w:eastAsia="zh-CN"/>
              </w:rPr>
              <w:t>、</w:t>
            </w:r>
            <w:r>
              <w:rPr>
                <w:rFonts w:hint="eastAsia"/>
                <w:sz w:val="24"/>
                <w:highlight w:val="none"/>
              </w:rPr>
              <w:t>精准推送涉企政策和举措，</w:t>
            </w:r>
            <w:r>
              <w:rPr>
                <w:rFonts w:hint="eastAsia"/>
                <w:sz w:val="24"/>
                <w:highlight w:val="none"/>
                <w:lang w:val="en-US" w:eastAsia="zh-CN"/>
              </w:rPr>
              <w:t>鼓励各部门</w:t>
            </w:r>
            <w:r>
              <w:rPr>
                <w:rFonts w:hint="eastAsia"/>
                <w:sz w:val="24"/>
                <w:highlight w:val="none"/>
              </w:rPr>
              <w:t>开展“免申即享事项”</w:t>
            </w:r>
            <w:r>
              <w:rPr>
                <w:rFonts w:hint="eastAsia"/>
                <w:sz w:val="24"/>
                <w:highlight w:val="none"/>
                <w:lang w:eastAsia="zh-CN"/>
              </w:rPr>
              <w:t>、</w:t>
            </w:r>
            <w:r>
              <w:rPr>
                <w:rFonts w:hint="eastAsia"/>
                <w:sz w:val="24"/>
                <w:highlight w:val="none"/>
              </w:rPr>
              <w:t>“政策包”等内容，推动政策个性化、主动化供给。</w:t>
            </w:r>
          </w:p>
        </w:tc>
        <w:tc>
          <w:tcPr>
            <w:tcW w:w="2007" w:type="dxa"/>
            <w:vAlign w:val="center"/>
          </w:tcPr>
          <w:p>
            <w:pPr>
              <w:rPr>
                <w:rFonts w:hint="default" w:eastAsia="仿宋_GB2312"/>
                <w:sz w:val="24"/>
                <w:highlight w:val="none"/>
                <w:lang w:val="en-US" w:eastAsia="zh-CN"/>
              </w:rPr>
            </w:pPr>
            <w:r>
              <w:rPr>
                <w:rFonts w:hint="eastAsia"/>
                <w:sz w:val="24"/>
                <w:highlight w:val="none"/>
              </w:rPr>
              <w:t>网站</w:t>
            </w:r>
            <w:r>
              <w:rPr>
                <w:rFonts w:hint="eastAsia"/>
                <w:sz w:val="24"/>
                <w:highlight w:val="none"/>
                <w:lang w:val="en-US" w:eastAsia="zh-CN"/>
              </w:rPr>
              <w:t>设有</w:t>
            </w:r>
            <w:r>
              <w:rPr>
                <w:rFonts w:hint="eastAsia"/>
                <w:sz w:val="24"/>
                <w:highlight w:val="none"/>
              </w:rPr>
              <w:t>“优化营商环境”专栏</w:t>
            </w:r>
            <w:r>
              <w:rPr>
                <w:rFonts w:hint="eastAsia"/>
                <w:sz w:val="24"/>
                <w:highlight w:val="none"/>
                <w:lang w:eastAsia="zh-CN"/>
              </w:rPr>
              <w:t>，</w:t>
            </w:r>
            <w:r>
              <w:rPr>
                <w:rFonts w:hint="eastAsia"/>
                <w:sz w:val="24"/>
                <w:highlight w:val="none"/>
                <w:lang w:val="en-US" w:eastAsia="zh-CN"/>
              </w:rPr>
              <w:t>随时发布相关动态和政策信息。</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w:t>
            </w:r>
            <w:r>
              <w:rPr>
                <w:rFonts w:hint="eastAsia"/>
                <w:sz w:val="24"/>
              </w:rPr>
              <w:t>政府各部门</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做好优化营商环境方面的意见建议征集和反馈工作，促进以更优营商环境服务市场主体工作。</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相关部门全力配合做好该项工作。</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区发改委</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做好市场监管规则标准和执法信息公开，主动公开市场准入负面清单并动态更新，依法做好执法信息公开。强化公共信用信息、反垄断和反不正当竞争执法信息公开，进一步规范执法监管行为，营造诚信守法、公平竞争的营商环境。</w:t>
            </w:r>
          </w:p>
        </w:tc>
        <w:tc>
          <w:tcPr>
            <w:tcW w:w="2007" w:type="dxa"/>
            <w:vAlign w:val="center"/>
          </w:tcPr>
          <w:p>
            <w:pPr>
              <w:rPr>
                <w:rFonts w:hint="eastAsia"/>
                <w:sz w:val="24"/>
                <w:highlight w:val="none"/>
              </w:rPr>
            </w:pPr>
            <w:r>
              <w:rPr>
                <w:rFonts w:hint="eastAsia"/>
                <w:sz w:val="24"/>
                <w:highlight w:val="none"/>
                <w:lang w:val="en-US" w:eastAsia="zh-CN"/>
              </w:rPr>
              <w:t>网站链接执法信息公开平台，相关部门全力配合做好该项工作。</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区发改委、市场监督管理局等相关部门</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（十</w:t>
            </w:r>
            <w:r>
              <w:rPr>
                <w:rFonts w:hint="eastAsia"/>
                <w:sz w:val="24"/>
                <w:lang w:val="en-US" w:eastAsia="zh-CN"/>
              </w:rPr>
              <w:t>一</w:t>
            </w:r>
            <w:r>
              <w:rPr>
                <w:rFonts w:hint="eastAsia"/>
                <w:sz w:val="24"/>
              </w:rPr>
              <w:t>）推动企业降本增效。</w:t>
            </w:r>
          </w:p>
        </w:tc>
        <w:tc>
          <w:tcPr>
            <w:tcW w:w="5077" w:type="dxa"/>
            <w:vAlign w:val="center"/>
          </w:tcPr>
          <w:p>
            <w:pPr>
              <w:rPr>
                <w:sz w:val="24"/>
              </w:rPr>
            </w:pPr>
            <w:r>
              <w:rPr>
                <w:rFonts w:hint="eastAsia"/>
                <w:sz w:val="24"/>
              </w:rPr>
              <w:t>加强减税降费信息公开，帮助基层执行机关和纳税人缴费人及时全面准确了解政策，以减税降费信息公开到位，推动减税降费政策执行到位。加强对内对外业务培训，多种渠道宣传优惠政策，确保政策措施应知尽知、优惠政策应享尽享。</w:t>
            </w:r>
          </w:p>
        </w:tc>
        <w:tc>
          <w:tcPr>
            <w:tcW w:w="2007" w:type="dxa"/>
            <w:vAlign w:val="center"/>
          </w:tcPr>
          <w:p>
            <w:pPr>
              <w:rPr>
                <w:rFonts w:hint="eastAsia"/>
                <w:sz w:val="24"/>
                <w:highlight w:val="none"/>
              </w:rPr>
            </w:pPr>
            <w:r>
              <w:rPr>
                <w:rFonts w:hint="eastAsia"/>
                <w:sz w:val="24"/>
                <w:highlight w:val="none"/>
                <w:lang w:val="en-US" w:eastAsia="zh-CN"/>
              </w:rPr>
              <w:t>相关部门全力配合做好该项工作</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区发改委、财政局、人社局、税务局</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推进重大税收违法失信案件信息公开，依法依规开展联合惩戒，引导市场主体规范健康发展。</w:t>
            </w:r>
          </w:p>
        </w:tc>
        <w:tc>
          <w:tcPr>
            <w:tcW w:w="2007" w:type="dxa"/>
            <w:vAlign w:val="center"/>
          </w:tcPr>
          <w:p>
            <w:pPr>
              <w:rPr>
                <w:rFonts w:hint="eastAsia"/>
                <w:sz w:val="24"/>
                <w:highlight w:val="green"/>
              </w:rPr>
            </w:pPr>
            <w:r>
              <w:rPr>
                <w:rFonts w:hint="eastAsia"/>
                <w:sz w:val="24"/>
                <w:highlight w:val="none"/>
                <w:lang w:val="en-US" w:eastAsia="zh-CN"/>
              </w:rPr>
              <w:t>相关部门全力配合做好该项工作</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区税务局</w:t>
            </w: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（十</w:t>
            </w:r>
            <w:r>
              <w:rPr>
                <w:rFonts w:hint="eastAsia"/>
                <w:sz w:val="24"/>
                <w:lang w:val="en-US" w:eastAsia="zh-CN"/>
              </w:rPr>
              <w:t>二</w:t>
            </w:r>
            <w:r>
              <w:rPr>
                <w:rFonts w:hint="eastAsia"/>
                <w:sz w:val="24"/>
              </w:rPr>
              <w:t>）助力扩大有效投资。</w:t>
            </w:r>
          </w:p>
        </w:tc>
        <w:tc>
          <w:tcPr>
            <w:tcW w:w="5077" w:type="dxa"/>
            <w:vAlign w:val="center"/>
          </w:tcPr>
          <w:p>
            <w:pPr>
              <w:rPr>
                <w:sz w:val="24"/>
              </w:rPr>
            </w:pPr>
            <w:r>
              <w:rPr>
                <w:rFonts w:hint="eastAsia"/>
                <w:sz w:val="24"/>
              </w:rPr>
              <w:t>围绕规划重大项目、年度重点项目和基础设施建设，依法依规做好扩大有效投资相关规划、政策及重大建设项目信息公开。</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网站里设有重大项目建设栏目，及时发布相关信息。</w:t>
            </w:r>
          </w:p>
        </w:tc>
        <w:tc>
          <w:tcPr>
            <w:tcW w:w="1785"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区政府办、发改委、工科局、商务局、住建局等相关部门</w:t>
            </w:r>
          </w:p>
        </w:tc>
        <w:tc>
          <w:tcPr>
            <w:tcW w:w="1541"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聚焦推进项目建设、促进工业技改、先进制造业、新兴产业和创新成果转化等方面，加大工作成效的对外发布解读力度。以“常态化走出去、精准化引进来”为重点，切实提升招商引资政策的公开质量。</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网站设有招商投资栏目，及时发布动态类信息。</w:t>
            </w:r>
          </w:p>
        </w:tc>
        <w:tc>
          <w:tcPr>
            <w:tcW w:w="1785" w:type="dxa"/>
            <w:vMerge w:val="continue"/>
            <w:vAlign w:val="center"/>
          </w:tcPr>
          <w:p>
            <w:pPr>
              <w:jc w:val="center"/>
              <w:rPr>
                <w:rFonts w:hint="default" w:ascii="Calibri" w:hAnsi="Calibri" w:eastAsia="仿宋_GB2312" w:cs="Times New Roman"/>
                <w:kern w:val="2"/>
                <w:sz w:val="24"/>
                <w:szCs w:val="24"/>
                <w:lang w:val="en-US" w:eastAsia="zh-CN" w:bidi="ar-SA"/>
              </w:rPr>
            </w:pP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02" w:type="dxa"/>
            <w:vMerge w:val="continue"/>
            <w:vAlign w:val="center"/>
          </w:tcPr>
          <w:p>
            <w:pPr>
              <w:rPr>
                <w:sz w:val="24"/>
              </w:rPr>
            </w:pPr>
          </w:p>
        </w:tc>
        <w:tc>
          <w:tcPr>
            <w:tcW w:w="1258" w:type="dxa"/>
            <w:vAlign w:val="center"/>
          </w:tcPr>
          <w:p>
            <w:pPr>
              <w:jc w:val="center"/>
              <w:rPr>
                <w:sz w:val="24"/>
              </w:rPr>
            </w:pPr>
          </w:p>
        </w:tc>
        <w:tc>
          <w:tcPr>
            <w:tcW w:w="5077" w:type="dxa"/>
            <w:vAlign w:val="center"/>
          </w:tcPr>
          <w:p>
            <w:pPr>
              <w:rPr>
                <w:sz w:val="24"/>
              </w:rPr>
            </w:pPr>
            <w:r>
              <w:rPr>
                <w:rFonts w:hint="eastAsia"/>
                <w:sz w:val="24"/>
              </w:rPr>
              <w:t>及时回应社会公众对重大建设项目的关切，以发布解读的“透”，引导市场预期的“稳”，助力扩大有效投资。</w:t>
            </w:r>
          </w:p>
        </w:tc>
        <w:tc>
          <w:tcPr>
            <w:tcW w:w="2007" w:type="dxa"/>
            <w:vAlign w:val="center"/>
          </w:tcPr>
          <w:p>
            <w:pPr>
              <w:rPr>
                <w:rFonts w:hint="default"/>
                <w:sz w:val="24"/>
                <w:highlight w:val="none"/>
                <w:lang w:val="en-US" w:eastAsia="zh-CN"/>
              </w:rPr>
            </w:pPr>
            <w:r>
              <w:rPr>
                <w:rFonts w:hint="eastAsia"/>
                <w:sz w:val="24"/>
                <w:highlight w:val="none"/>
                <w:lang w:val="en-US" w:eastAsia="zh-CN"/>
              </w:rPr>
              <w:t>通过网站、新媒体及时回应社会关切。</w:t>
            </w:r>
          </w:p>
        </w:tc>
        <w:tc>
          <w:tcPr>
            <w:tcW w:w="1785" w:type="dxa"/>
            <w:vMerge w:val="continue"/>
            <w:vAlign w:val="center"/>
          </w:tcPr>
          <w:p>
            <w:pPr>
              <w:jc w:val="center"/>
              <w:rPr>
                <w:rFonts w:ascii="Calibri" w:hAnsi="Calibri" w:eastAsia="仿宋_GB2312" w:cs="Times New Roman"/>
                <w:kern w:val="2"/>
                <w:sz w:val="24"/>
                <w:szCs w:val="24"/>
                <w:lang w:val="en-US" w:eastAsia="zh-CN" w:bidi="ar-SA"/>
              </w:rPr>
            </w:pPr>
          </w:p>
        </w:tc>
        <w:tc>
          <w:tcPr>
            <w:tcW w:w="1541"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（十</w:t>
            </w:r>
            <w:r>
              <w:rPr>
                <w:rFonts w:hint="eastAsia"/>
                <w:sz w:val="24"/>
                <w:lang w:val="en-US" w:eastAsia="zh-CN"/>
              </w:rPr>
              <w:t>三</w:t>
            </w:r>
            <w:r>
              <w:rPr>
                <w:rFonts w:hint="eastAsia"/>
                <w:sz w:val="24"/>
              </w:rPr>
              <w:t>）促进消费扩容升级。</w:t>
            </w:r>
          </w:p>
        </w:tc>
        <w:tc>
          <w:tcPr>
            <w:tcW w:w="5077" w:type="dxa"/>
            <w:vAlign w:val="center"/>
          </w:tcPr>
          <w:p>
            <w:pPr>
              <w:rPr>
                <w:sz w:val="24"/>
              </w:rPr>
            </w:pPr>
            <w:r>
              <w:rPr>
                <w:rFonts w:hint="eastAsia"/>
                <w:sz w:val="24"/>
              </w:rPr>
              <w:t>切实做好对中小微企业、个体工商户、相关服务业支持政策和促进消费政策措施的公开工作。</w:t>
            </w:r>
          </w:p>
        </w:tc>
        <w:tc>
          <w:tcPr>
            <w:tcW w:w="2007" w:type="dxa"/>
            <w:vMerge w:val="restart"/>
            <w:vAlign w:val="center"/>
          </w:tcPr>
          <w:p>
            <w:pPr>
              <w:rPr>
                <w:rFonts w:hint="default" w:eastAsia="仿宋_GB2312"/>
                <w:sz w:val="24"/>
                <w:highlight w:val="none"/>
                <w:lang w:val="en-US" w:eastAsia="zh-CN"/>
              </w:rPr>
            </w:pPr>
            <w:r>
              <w:rPr>
                <w:rFonts w:hint="eastAsia"/>
                <w:sz w:val="24"/>
                <w:highlight w:val="none"/>
                <w:lang w:val="en-US" w:eastAsia="zh-CN"/>
              </w:rPr>
              <w:t>网站和相关新媒体及时发布促进消费相关政策，确保政策公开及时、宣传到位。</w:t>
            </w:r>
          </w:p>
        </w:tc>
        <w:tc>
          <w:tcPr>
            <w:tcW w:w="1785"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区发改委、工科局、商务局、文旅局、市场监督管理局等部门</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302" w:type="dxa"/>
            <w:vAlign w:val="center"/>
          </w:tcPr>
          <w:p>
            <w:pPr>
              <w:rPr>
                <w:sz w:val="24"/>
              </w:rPr>
            </w:pPr>
          </w:p>
        </w:tc>
        <w:tc>
          <w:tcPr>
            <w:tcW w:w="1258" w:type="dxa"/>
            <w:vMerge w:val="continue"/>
            <w:vAlign w:val="center"/>
          </w:tcPr>
          <w:p>
            <w:pPr>
              <w:jc w:val="center"/>
              <w:rPr>
                <w:rFonts w:hint="eastAsia"/>
                <w:sz w:val="24"/>
              </w:rPr>
            </w:pPr>
          </w:p>
        </w:tc>
        <w:tc>
          <w:tcPr>
            <w:tcW w:w="5077" w:type="dxa"/>
            <w:vAlign w:val="center"/>
          </w:tcPr>
          <w:p>
            <w:pPr>
              <w:rPr>
                <w:rFonts w:hint="eastAsia"/>
                <w:sz w:val="24"/>
              </w:rPr>
            </w:pPr>
            <w:r>
              <w:rPr>
                <w:rFonts w:hint="eastAsia"/>
                <w:sz w:val="24"/>
              </w:rPr>
              <w:t>在推动假日消费、街区市场、门店商铺、夜间经济等方面，充分发挥政府信息公开和政策解读的引导指引作用。</w:t>
            </w:r>
          </w:p>
        </w:tc>
        <w:tc>
          <w:tcPr>
            <w:tcW w:w="2007" w:type="dxa"/>
            <w:vMerge w:val="continue"/>
            <w:vAlign w:val="center"/>
          </w:tcPr>
          <w:p>
            <w:pPr>
              <w:rPr>
                <w:rFonts w:hint="eastAsia"/>
                <w:sz w:val="24"/>
                <w:highlight w:val="none"/>
                <w:lang w:val="en-US" w:eastAsia="zh-CN"/>
              </w:rPr>
            </w:pPr>
          </w:p>
        </w:tc>
        <w:tc>
          <w:tcPr>
            <w:tcW w:w="1785" w:type="dxa"/>
            <w:vMerge w:val="continue"/>
            <w:vAlign w:val="center"/>
          </w:tcPr>
          <w:p>
            <w:pPr>
              <w:jc w:val="center"/>
              <w:rPr>
                <w:rFonts w:hint="eastAsia"/>
                <w:sz w:val="24"/>
                <w:lang w:val="en-US" w:eastAsia="zh-CN"/>
              </w:rPr>
            </w:pPr>
          </w:p>
        </w:tc>
        <w:tc>
          <w:tcPr>
            <w:tcW w:w="1541" w:type="dxa"/>
            <w:vAlign w:val="center"/>
          </w:tcPr>
          <w:p>
            <w:pPr>
              <w:jc w:val="center"/>
              <w:rPr>
                <w:rFonts w:hint="eastAsia"/>
                <w:sz w:val="24"/>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302" w:type="dxa"/>
            <w:vAlign w:val="center"/>
          </w:tcPr>
          <w:p>
            <w:pPr>
              <w:rPr>
                <w:sz w:val="24"/>
              </w:rPr>
            </w:pPr>
          </w:p>
        </w:tc>
        <w:tc>
          <w:tcPr>
            <w:tcW w:w="1258" w:type="dxa"/>
            <w:vMerge w:val="continue"/>
            <w:vAlign w:val="center"/>
          </w:tcPr>
          <w:p>
            <w:pPr>
              <w:jc w:val="center"/>
              <w:rPr>
                <w:rFonts w:hint="eastAsia"/>
                <w:sz w:val="24"/>
              </w:rPr>
            </w:pPr>
          </w:p>
        </w:tc>
        <w:tc>
          <w:tcPr>
            <w:tcW w:w="5077" w:type="dxa"/>
            <w:vAlign w:val="center"/>
          </w:tcPr>
          <w:p>
            <w:pPr>
              <w:rPr>
                <w:rFonts w:hint="eastAsia"/>
                <w:sz w:val="24"/>
              </w:rPr>
            </w:pPr>
            <w:r>
              <w:rPr>
                <w:rFonts w:hint="eastAsia"/>
                <w:sz w:val="24"/>
              </w:rPr>
              <w:t>立足扩大旅游消费、绿色农畜产品消费，促进新能源汽车推广应用，鼓励开展绿色智能家电下乡等方面，提供高效便捷的政策咨询服务，加大打击侵权假冒信息发布力度，营造良好消费环境。</w:t>
            </w:r>
          </w:p>
        </w:tc>
        <w:tc>
          <w:tcPr>
            <w:tcW w:w="2007" w:type="dxa"/>
            <w:vMerge w:val="continue"/>
            <w:vAlign w:val="center"/>
          </w:tcPr>
          <w:p>
            <w:pPr>
              <w:rPr>
                <w:rFonts w:hint="eastAsia"/>
                <w:sz w:val="24"/>
                <w:highlight w:val="green"/>
                <w:lang w:val="en-US" w:eastAsia="zh-CN"/>
              </w:rPr>
            </w:pPr>
          </w:p>
        </w:tc>
        <w:tc>
          <w:tcPr>
            <w:tcW w:w="1785" w:type="dxa"/>
            <w:vMerge w:val="continue"/>
            <w:vAlign w:val="center"/>
          </w:tcPr>
          <w:p>
            <w:pPr>
              <w:jc w:val="center"/>
              <w:rPr>
                <w:rFonts w:hint="eastAsia"/>
                <w:sz w:val="24"/>
                <w:lang w:val="en-US" w:eastAsia="zh-CN"/>
              </w:rPr>
            </w:pPr>
          </w:p>
        </w:tc>
        <w:tc>
          <w:tcPr>
            <w:tcW w:w="1541" w:type="dxa"/>
            <w:vAlign w:val="center"/>
          </w:tcPr>
          <w:p>
            <w:pPr>
              <w:jc w:val="center"/>
              <w:rPr>
                <w:rFonts w:hint="eastAsia"/>
                <w:sz w:val="24"/>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2" w:type="dxa"/>
            <w:vMerge w:val="restart"/>
            <w:vAlign w:val="center"/>
          </w:tcPr>
          <w:p>
            <w:pPr>
              <w:rPr>
                <w:sz w:val="24"/>
              </w:rPr>
            </w:pPr>
            <w:r>
              <w:rPr>
                <w:rFonts w:hint="eastAsia"/>
                <w:sz w:val="24"/>
              </w:rPr>
              <w:t>四、夯实基层基础，发挥平台作用</w:t>
            </w:r>
          </w:p>
          <w:p>
            <w:pPr>
              <w:rPr>
                <w:sz w:val="24"/>
              </w:rPr>
            </w:pPr>
          </w:p>
        </w:tc>
        <w:tc>
          <w:tcPr>
            <w:tcW w:w="1258" w:type="dxa"/>
            <w:vMerge w:val="restart"/>
            <w:vAlign w:val="center"/>
          </w:tcPr>
          <w:p>
            <w:pPr>
              <w:jc w:val="center"/>
              <w:rPr>
                <w:sz w:val="24"/>
              </w:rPr>
            </w:pPr>
            <w:r>
              <w:rPr>
                <w:rFonts w:hint="eastAsia"/>
                <w:sz w:val="24"/>
              </w:rPr>
              <w:t>（十</w:t>
            </w:r>
            <w:r>
              <w:rPr>
                <w:rFonts w:hint="eastAsia"/>
                <w:sz w:val="24"/>
                <w:lang w:val="en-US" w:eastAsia="zh-CN"/>
              </w:rPr>
              <w:t>四</w:t>
            </w:r>
            <w:r>
              <w:rPr>
                <w:rFonts w:hint="eastAsia"/>
                <w:sz w:val="24"/>
              </w:rPr>
              <w:t>）持续推进基层政务公开标准化规范化工作。</w:t>
            </w:r>
          </w:p>
        </w:tc>
        <w:tc>
          <w:tcPr>
            <w:tcW w:w="5077" w:type="dxa"/>
            <w:vAlign w:val="center"/>
          </w:tcPr>
          <w:p>
            <w:pPr>
              <w:rPr>
                <w:rFonts w:hint="eastAsia" w:eastAsia="仿宋_GB2312"/>
                <w:sz w:val="24"/>
                <w:lang w:eastAsia="zh-CN"/>
              </w:rPr>
            </w:pPr>
            <w:r>
              <w:rPr>
                <w:rFonts w:hint="eastAsia"/>
                <w:sz w:val="24"/>
              </w:rPr>
              <w:t>参考国务院有关部门印发的26个试点领域标准指引，继续更新完善基层政务公开事项标准目录。</w:t>
            </w:r>
          </w:p>
        </w:tc>
        <w:tc>
          <w:tcPr>
            <w:tcW w:w="2007" w:type="dxa"/>
            <w:vAlign w:val="center"/>
          </w:tcPr>
          <w:p>
            <w:pPr>
              <w:jc w:val="center"/>
              <w:rPr>
                <w:rFonts w:ascii="Calibri" w:hAnsi="Calibri" w:eastAsia="仿宋_GB2312" w:cs="Times New Roman"/>
                <w:kern w:val="2"/>
                <w:sz w:val="24"/>
                <w:szCs w:val="24"/>
                <w:highlight w:val="green"/>
                <w:lang w:val="en-US" w:eastAsia="zh-CN" w:bidi="ar-SA"/>
              </w:rPr>
            </w:pPr>
            <w:r>
              <w:rPr>
                <w:rFonts w:hint="eastAsia" w:cs="Times New Roman"/>
                <w:kern w:val="2"/>
                <w:sz w:val="24"/>
                <w:szCs w:val="24"/>
                <w:lang w:val="en-US" w:eastAsia="zh-CN" w:bidi="ar-SA"/>
              </w:rPr>
              <w:t>各相关单位根据自己的职能对目录进行再梳理，并在网站公开。</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w:t>
            </w:r>
            <w:r>
              <w:rPr>
                <w:rFonts w:hint="eastAsia"/>
                <w:sz w:val="24"/>
              </w:rPr>
              <w:t>政府各部门</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汇总当年面向农民的各类惠民惠农财政补贴资金实际发放结果，年底前以村</w:t>
            </w:r>
            <w:r>
              <w:rPr>
                <w:rFonts w:hint="eastAsia"/>
                <w:sz w:val="24"/>
                <w:lang w:eastAsia="zh-CN"/>
              </w:rPr>
              <w:t>、</w:t>
            </w:r>
            <w:r>
              <w:rPr>
                <w:rFonts w:hint="eastAsia"/>
                <w:sz w:val="24"/>
                <w:lang w:val="en-US" w:eastAsia="zh-CN"/>
              </w:rPr>
              <w:t>社区</w:t>
            </w:r>
            <w:r>
              <w:rPr>
                <w:rFonts w:hint="eastAsia"/>
                <w:sz w:val="24"/>
              </w:rPr>
              <w:t>为单位通过公开栏公开，公示期满后在村</w:t>
            </w:r>
            <w:r>
              <w:rPr>
                <w:rFonts w:hint="eastAsia"/>
                <w:sz w:val="24"/>
                <w:lang w:eastAsia="zh-CN"/>
              </w:rPr>
              <w:t>（</w:t>
            </w:r>
            <w:r>
              <w:rPr>
                <w:rFonts w:hint="eastAsia"/>
                <w:sz w:val="24"/>
                <w:lang w:val="en-US" w:eastAsia="zh-CN"/>
              </w:rPr>
              <w:t>居</w:t>
            </w:r>
            <w:r>
              <w:rPr>
                <w:rFonts w:hint="eastAsia"/>
                <w:sz w:val="24"/>
                <w:lang w:eastAsia="zh-CN"/>
              </w:rPr>
              <w:t>）</w:t>
            </w:r>
            <w:r>
              <w:rPr>
                <w:rFonts w:hint="eastAsia"/>
                <w:sz w:val="24"/>
              </w:rPr>
              <w:t>委会建档留存，以便群众查询。</w:t>
            </w:r>
          </w:p>
        </w:tc>
        <w:tc>
          <w:tcPr>
            <w:tcW w:w="2007" w:type="dxa"/>
            <w:vAlign w:val="center"/>
          </w:tcPr>
          <w:p>
            <w:pPr>
              <w:rPr>
                <w:rFonts w:hint="default" w:eastAsia="仿宋_GB2312"/>
                <w:sz w:val="24"/>
                <w:highlight w:val="green"/>
                <w:lang w:val="en-US" w:eastAsia="zh-CN"/>
              </w:rPr>
            </w:pPr>
            <w:r>
              <w:rPr>
                <w:rFonts w:hint="eastAsia"/>
                <w:sz w:val="24"/>
                <w:highlight w:val="none"/>
                <w:lang w:val="en-US" w:eastAsia="zh-CN"/>
              </w:rPr>
              <w:t>网站开通专栏公开相关内容，各镇在辖区内的政务公开专栏都做了相应的公开。</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各镇、街道、区农奴局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rFonts w:hint="eastAsia"/>
                <w:sz w:val="24"/>
              </w:rPr>
            </w:pPr>
            <w:r>
              <w:rPr>
                <w:rFonts w:hint="eastAsia"/>
                <w:sz w:val="24"/>
              </w:rPr>
              <w:t>坚持需求导向，加强改进基层政府信息公开窗口建设，更好适应基层群众需求，提升电话解答、现场解答政策的水平。</w:t>
            </w:r>
          </w:p>
        </w:tc>
        <w:tc>
          <w:tcPr>
            <w:tcW w:w="2007" w:type="dxa"/>
            <w:vAlign w:val="center"/>
          </w:tcPr>
          <w:p>
            <w:pPr>
              <w:rPr>
                <w:rFonts w:hint="default"/>
                <w:sz w:val="24"/>
                <w:highlight w:val="none"/>
                <w:lang w:val="en-US" w:eastAsia="zh-CN"/>
              </w:rPr>
            </w:pPr>
            <w:r>
              <w:rPr>
                <w:rFonts w:hint="eastAsia"/>
                <w:sz w:val="24"/>
                <w:highlight w:val="none"/>
                <w:lang w:val="en-US" w:eastAsia="zh-CN"/>
              </w:rPr>
              <w:t>建立政务公开专区，并公布相关部门电话、办公地址。</w:t>
            </w:r>
          </w:p>
        </w:tc>
        <w:tc>
          <w:tcPr>
            <w:tcW w:w="1785" w:type="dxa"/>
            <w:vAlign w:val="center"/>
          </w:tcPr>
          <w:p>
            <w:pPr>
              <w:jc w:val="center"/>
              <w:rPr>
                <w:rFonts w:hint="default"/>
                <w:sz w:val="24"/>
                <w:lang w:val="en-US" w:eastAsia="zh-CN"/>
              </w:rPr>
            </w:pPr>
            <w:r>
              <w:rPr>
                <w:rFonts w:hint="eastAsia"/>
                <w:sz w:val="24"/>
                <w:lang w:val="en-US" w:eastAsia="zh-CN"/>
              </w:rPr>
              <w:t>各镇、街道、区行政审批和政务服务局</w:t>
            </w:r>
          </w:p>
        </w:tc>
        <w:tc>
          <w:tcPr>
            <w:tcW w:w="1541"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302" w:type="dxa"/>
            <w:vMerge w:val="continue"/>
            <w:vAlign w:val="center"/>
          </w:tcPr>
          <w:p>
            <w:pPr>
              <w:rPr>
                <w:sz w:val="24"/>
              </w:rPr>
            </w:pPr>
          </w:p>
        </w:tc>
        <w:tc>
          <w:tcPr>
            <w:tcW w:w="1258" w:type="dxa"/>
            <w:vMerge w:val="restart"/>
            <w:vAlign w:val="center"/>
          </w:tcPr>
          <w:p>
            <w:pPr>
              <w:jc w:val="center"/>
              <w:rPr>
                <w:sz w:val="24"/>
              </w:rPr>
            </w:pPr>
            <w:r>
              <w:rPr>
                <w:rFonts w:hint="eastAsia"/>
                <w:sz w:val="24"/>
              </w:rPr>
              <w:t>（十</w:t>
            </w:r>
            <w:r>
              <w:rPr>
                <w:rFonts w:hint="eastAsia"/>
                <w:sz w:val="24"/>
                <w:lang w:val="en-US" w:eastAsia="zh-CN"/>
              </w:rPr>
              <w:t>五</w:t>
            </w:r>
            <w:r>
              <w:rPr>
                <w:rFonts w:hint="eastAsia"/>
                <w:sz w:val="24"/>
              </w:rPr>
              <w:t>）深化政务公开标准</w:t>
            </w:r>
            <w:r>
              <w:rPr>
                <w:rFonts w:hint="eastAsia"/>
                <w:sz w:val="24"/>
                <w:lang w:val="en-US" w:eastAsia="zh-CN"/>
              </w:rPr>
              <w:t>化</w:t>
            </w:r>
            <w:r>
              <w:rPr>
                <w:rFonts w:hint="eastAsia"/>
                <w:sz w:val="24"/>
              </w:rPr>
              <w:t>建设。</w:t>
            </w:r>
          </w:p>
        </w:tc>
        <w:tc>
          <w:tcPr>
            <w:tcW w:w="5077" w:type="dxa"/>
            <w:vAlign w:val="center"/>
          </w:tcPr>
          <w:p>
            <w:pPr>
              <w:rPr>
                <w:sz w:val="24"/>
              </w:rPr>
            </w:pPr>
            <w:r>
              <w:rPr>
                <w:rFonts w:hint="eastAsia"/>
                <w:sz w:val="24"/>
                <w:lang w:val="en-US" w:eastAsia="zh-CN"/>
              </w:rPr>
              <w:t>组织培训、推广运用自治区制定的</w:t>
            </w:r>
            <w:r>
              <w:rPr>
                <w:rFonts w:hint="eastAsia"/>
                <w:sz w:val="24"/>
              </w:rPr>
              <w:t>《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提升应用水平。</w:t>
            </w:r>
          </w:p>
        </w:tc>
        <w:tc>
          <w:tcPr>
            <w:tcW w:w="2007" w:type="dxa"/>
            <w:vAlign w:val="center"/>
          </w:tcPr>
          <w:p>
            <w:pPr>
              <w:rPr>
                <w:rFonts w:hint="default"/>
                <w:sz w:val="24"/>
                <w:highlight w:val="green"/>
                <w:lang w:val="en-US" w:eastAsia="zh-CN"/>
              </w:rPr>
            </w:pPr>
            <w:r>
              <w:rPr>
                <w:rFonts w:hint="eastAsia"/>
                <w:sz w:val="24"/>
                <w:highlight w:val="none"/>
                <w:lang w:val="en-US" w:eastAsia="zh-CN"/>
              </w:rPr>
              <w:t>以文件形式下发到各镇、各单位持续推进该项工作。</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区行政审批和政务服务局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sz w:val="24"/>
              </w:rPr>
            </w:pPr>
            <w:r>
              <w:rPr>
                <w:rFonts w:hint="eastAsia"/>
                <w:sz w:val="24"/>
              </w:rPr>
              <w:t>切实做好政务公开地方标准落实情况“回头看”工作，逐项核查落实情况，确保工作实效。</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按照要求及时完成。</w:t>
            </w:r>
          </w:p>
        </w:tc>
        <w:tc>
          <w:tcPr>
            <w:tcW w:w="1785"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区行政审批和政务服务局</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02" w:type="dxa"/>
            <w:vMerge w:val="continue"/>
            <w:vAlign w:val="center"/>
          </w:tcPr>
          <w:p>
            <w:pPr>
              <w:rPr>
                <w:sz w:val="24"/>
              </w:rPr>
            </w:pPr>
          </w:p>
        </w:tc>
        <w:tc>
          <w:tcPr>
            <w:tcW w:w="1258" w:type="dxa"/>
            <w:vMerge w:val="restart"/>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r>
              <w:rPr>
                <w:rFonts w:hint="eastAsia"/>
                <w:sz w:val="24"/>
              </w:rPr>
              <w:t>（十</w:t>
            </w:r>
            <w:r>
              <w:rPr>
                <w:rFonts w:hint="eastAsia"/>
                <w:sz w:val="24"/>
                <w:lang w:val="en-US" w:eastAsia="zh-CN"/>
              </w:rPr>
              <w:t>六</w:t>
            </w:r>
            <w:r>
              <w:rPr>
                <w:rFonts w:hint="eastAsia"/>
                <w:sz w:val="24"/>
              </w:rPr>
              <w:t>）提升依申请公开规范化信息化水平。</w:t>
            </w:r>
          </w:p>
        </w:tc>
        <w:tc>
          <w:tcPr>
            <w:tcW w:w="5077" w:type="dxa"/>
            <w:vAlign w:val="center"/>
          </w:tcPr>
          <w:p>
            <w:pPr>
              <w:rPr>
                <w:sz w:val="24"/>
              </w:rPr>
            </w:pPr>
            <w:r>
              <w:rPr>
                <w:rFonts w:hint="eastAsia"/>
                <w:sz w:val="24"/>
              </w:rPr>
              <w:t>规范使用自治区政府信息依申请公开系统，提升政府信息公开申请“一网通办”能力。</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通过自</w:t>
            </w:r>
            <w:r>
              <w:rPr>
                <w:rFonts w:hint="eastAsia"/>
                <w:sz w:val="24"/>
                <w:highlight w:val="none"/>
              </w:rPr>
              <w:t>治区政府信息依申请公开平台</w:t>
            </w:r>
            <w:r>
              <w:rPr>
                <w:rFonts w:hint="eastAsia"/>
                <w:sz w:val="24"/>
                <w:highlight w:val="none"/>
                <w:lang w:eastAsia="zh-CN"/>
              </w:rPr>
              <w:t>，</w:t>
            </w:r>
            <w:r>
              <w:rPr>
                <w:rFonts w:hint="eastAsia"/>
                <w:sz w:val="24"/>
                <w:highlight w:val="none"/>
                <w:lang w:val="en-US" w:eastAsia="zh-CN"/>
              </w:rPr>
              <w:t>及时接收、转办，确保在规定的时间内完成答复。</w:t>
            </w:r>
          </w:p>
        </w:tc>
        <w:tc>
          <w:tcPr>
            <w:tcW w:w="1785"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区行政审批政务服务局、各相关单位</w:t>
            </w: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302" w:type="dxa"/>
            <w:vMerge w:val="continue"/>
            <w:vAlign w:val="center"/>
          </w:tcPr>
          <w:p>
            <w:pPr>
              <w:rPr>
                <w:sz w:val="24"/>
              </w:rPr>
            </w:pPr>
          </w:p>
        </w:tc>
        <w:tc>
          <w:tcPr>
            <w:tcW w:w="1258" w:type="dxa"/>
            <w:vMerge w:val="continue"/>
            <w:vAlign w:val="center"/>
          </w:tcPr>
          <w:p>
            <w:pPr>
              <w:jc w:val="center"/>
              <w:rPr>
                <w:sz w:val="24"/>
              </w:rPr>
            </w:pPr>
          </w:p>
        </w:tc>
        <w:tc>
          <w:tcPr>
            <w:tcW w:w="5077" w:type="dxa"/>
            <w:vAlign w:val="center"/>
          </w:tcPr>
          <w:p>
            <w:pPr>
              <w:rPr>
                <w:rFonts w:hint="eastAsia"/>
                <w:sz w:val="24"/>
              </w:rPr>
            </w:pPr>
            <w:r>
              <w:rPr>
                <w:rFonts w:hint="eastAsia"/>
                <w:sz w:val="24"/>
              </w:rPr>
              <w:t>严格执行《政府信息公开信息处理费管理办法》（国办函〔2020〕109号）、《内蒙古自治区财政厅 发改委 政务服务局关于明确政府信息公开信息处理费收费管理有关事项的通知》（内财税〔2021〕785号）规定的收费标准和程序。</w:t>
            </w:r>
          </w:p>
        </w:tc>
        <w:tc>
          <w:tcPr>
            <w:tcW w:w="2007" w:type="dxa"/>
            <w:vAlign w:val="center"/>
          </w:tcPr>
          <w:p>
            <w:pPr>
              <w:rPr>
                <w:rFonts w:hint="default" w:eastAsia="仿宋_GB2312"/>
                <w:sz w:val="24"/>
                <w:highlight w:val="none"/>
                <w:lang w:val="en-US" w:eastAsia="zh-CN"/>
              </w:rPr>
            </w:pPr>
            <w:r>
              <w:rPr>
                <w:rFonts w:hint="eastAsia"/>
                <w:sz w:val="24"/>
                <w:highlight w:val="none"/>
                <w:lang w:val="en-US" w:eastAsia="zh-CN"/>
              </w:rPr>
              <w:t>严格按照要求开展工作。</w:t>
            </w:r>
          </w:p>
        </w:tc>
        <w:tc>
          <w:tcPr>
            <w:tcW w:w="1785" w:type="dxa"/>
            <w:vMerge w:val="continue"/>
            <w:vAlign w:val="center"/>
          </w:tcPr>
          <w:p>
            <w:pPr>
              <w:jc w:val="center"/>
              <w:rPr>
                <w:rFonts w:hint="default" w:ascii="Calibri" w:hAnsi="Calibri" w:eastAsia="仿宋_GB2312" w:cs="Times New Roman"/>
                <w:kern w:val="2"/>
                <w:sz w:val="24"/>
                <w:szCs w:val="24"/>
                <w:lang w:val="en-US" w:eastAsia="zh-CN" w:bidi="ar-SA"/>
              </w:rPr>
            </w:pPr>
          </w:p>
        </w:tc>
        <w:tc>
          <w:tcPr>
            <w:tcW w:w="1541"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2" w:type="dxa"/>
            <w:vMerge w:val="continue"/>
            <w:vAlign w:val="center"/>
          </w:tcPr>
          <w:p>
            <w:pPr>
              <w:rPr>
                <w:color w:val="auto"/>
                <w:sz w:val="24"/>
              </w:rPr>
            </w:pPr>
          </w:p>
        </w:tc>
        <w:tc>
          <w:tcPr>
            <w:tcW w:w="1258" w:type="dxa"/>
            <w:vAlign w:val="center"/>
          </w:tcPr>
          <w:p>
            <w:pPr>
              <w:jc w:val="center"/>
              <w:rPr>
                <w:color w:val="auto"/>
                <w:sz w:val="24"/>
              </w:rPr>
            </w:pPr>
            <w:r>
              <w:rPr>
                <w:rFonts w:hint="eastAsia"/>
                <w:color w:val="auto"/>
                <w:sz w:val="24"/>
              </w:rPr>
              <w:t>（十</w:t>
            </w:r>
            <w:r>
              <w:rPr>
                <w:rFonts w:hint="eastAsia"/>
                <w:color w:val="auto"/>
                <w:sz w:val="24"/>
                <w:lang w:val="en-US" w:eastAsia="zh-CN"/>
              </w:rPr>
              <w:t>七</w:t>
            </w:r>
            <w:r>
              <w:rPr>
                <w:rFonts w:hint="eastAsia"/>
                <w:color w:val="auto"/>
                <w:sz w:val="24"/>
              </w:rPr>
              <w:t>）发挥政府网站集约化平台作用。</w:t>
            </w:r>
          </w:p>
        </w:tc>
        <w:tc>
          <w:tcPr>
            <w:tcW w:w="5077" w:type="dxa"/>
            <w:vAlign w:val="center"/>
          </w:tcPr>
          <w:p>
            <w:pPr>
              <w:rPr>
                <w:color w:val="auto"/>
                <w:sz w:val="24"/>
              </w:rPr>
            </w:pPr>
            <w:r>
              <w:rPr>
                <w:rFonts w:hint="eastAsia"/>
                <w:color w:val="auto"/>
                <w:sz w:val="24"/>
              </w:rPr>
              <w:t>加强政府网站内容管理，确保信息发布流程完善、内容准确、导向正确。围绕政府工作重点和社会公众关注热点，合理申请设置网站专题专栏。</w:t>
            </w:r>
          </w:p>
          <w:p>
            <w:pPr>
              <w:rPr>
                <w:color w:val="auto"/>
                <w:sz w:val="24"/>
              </w:rPr>
            </w:pPr>
          </w:p>
        </w:tc>
        <w:tc>
          <w:tcPr>
            <w:tcW w:w="2007" w:type="dxa"/>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按照上级要求做好网站各栏目的建设和维护工作。</w:t>
            </w:r>
          </w:p>
        </w:tc>
        <w:tc>
          <w:tcPr>
            <w:tcW w:w="1785" w:type="dxa"/>
            <w:vMerge w:val="restart"/>
            <w:vAlign w:val="center"/>
          </w:tcPr>
          <w:p>
            <w:pPr>
              <w:jc w:val="center"/>
              <w:rPr>
                <w:rFonts w:hint="eastAsia" w:ascii="Calibri" w:hAnsi="Calibri" w:eastAsia="仿宋_GB2312" w:cs="Times New Roman"/>
                <w:color w:val="auto"/>
                <w:kern w:val="2"/>
                <w:sz w:val="24"/>
                <w:szCs w:val="24"/>
                <w:lang w:val="en-US" w:eastAsia="zh-CN" w:bidi="ar-SA"/>
              </w:rPr>
            </w:pPr>
            <w:r>
              <w:rPr>
                <w:rFonts w:hint="eastAsia"/>
                <w:color w:val="auto"/>
                <w:sz w:val="24"/>
                <w:lang w:val="en-US" w:eastAsia="zh-CN"/>
              </w:rPr>
              <w:t>区行政审批和政务服务局、各相关部门</w:t>
            </w:r>
          </w:p>
        </w:tc>
        <w:tc>
          <w:tcPr>
            <w:tcW w:w="1541"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02" w:type="dxa"/>
            <w:vMerge w:val="continue"/>
            <w:vAlign w:val="center"/>
          </w:tcPr>
          <w:p>
            <w:pPr>
              <w:rPr>
                <w:color w:val="auto"/>
                <w:sz w:val="24"/>
              </w:rPr>
            </w:pPr>
          </w:p>
        </w:tc>
        <w:tc>
          <w:tcPr>
            <w:tcW w:w="1258" w:type="dxa"/>
            <w:vMerge w:val="restart"/>
            <w:vAlign w:val="center"/>
          </w:tcPr>
          <w:p>
            <w:pPr>
              <w:jc w:val="center"/>
              <w:rPr>
                <w:rFonts w:hint="eastAsia"/>
                <w:color w:val="auto"/>
                <w:sz w:val="24"/>
              </w:rPr>
            </w:pPr>
          </w:p>
          <w:p>
            <w:pPr>
              <w:jc w:val="center"/>
              <w:rPr>
                <w:rFonts w:hint="eastAsia"/>
                <w:color w:val="auto"/>
                <w:sz w:val="24"/>
              </w:rPr>
            </w:pPr>
          </w:p>
          <w:p>
            <w:pPr>
              <w:jc w:val="center"/>
              <w:rPr>
                <w:rFonts w:hint="eastAsia"/>
                <w:color w:val="auto"/>
                <w:sz w:val="24"/>
              </w:rPr>
            </w:pPr>
          </w:p>
          <w:p>
            <w:pPr>
              <w:jc w:val="center"/>
              <w:rPr>
                <w:color w:val="auto"/>
                <w:sz w:val="24"/>
              </w:rPr>
            </w:pPr>
            <w:r>
              <w:rPr>
                <w:rFonts w:hint="eastAsia"/>
                <w:color w:val="auto"/>
                <w:sz w:val="24"/>
              </w:rPr>
              <w:t>（十</w:t>
            </w:r>
            <w:r>
              <w:rPr>
                <w:rFonts w:hint="eastAsia"/>
                <w:color w:val="auto"/>
                <w:sz w:val="24"/>
                <w:lang w:val="en-US" w:eastAsia="zh-CN"/>
              </w:rPr>
              <w:t>八</w:t>
            </w:r>
            <w:r>
              <w:rPr>
                <w:rFonts w:hint="eastAsia"/>
                <w:color w:val="auto"/>
                <w:sz w:val="24"/>
              </w:rPr>
              <w:t>）加强对政务新媒体的建设管理。</w:t>
            </w:r>
          </w:p>
        </w:tc>
        <w:tc>
          <w:tcPr>
            <w:tcW w:w="5077" w:type="dxa"/>
            <w:vAlign w:val="center"/>
          </w:tcPr>
          <w:p>
            <w:pPr>
              <w:rPr>
                <w:color w:val="auto"/>
                <w:sz w:val="24"/>
              </w:rPr>
            </w:pPr>
            <w:r>
              <w:rPr>
                <w:rFonts w:hint="eastAsia"/>
                <w:color w:val="auto"/>
                <w:sz w:val="24"/>
              </w:rPr>
              <w:t>严格落实网络意识形态工作责任制，确保政府网站与政务新媒体安全平稳运行。</w:t>
            </w:r>
          </w:p>
        </w:tc>
        <w:tc>
          <w:tcPr>
            <w:tcW w:w="2007" w:type="dxa"/>
            <w:vMerge w:val="restart"/>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对监管范围内的52个政务新媒体做好日常监管，发现问题及时督促相关单位整改。</w:t>
            </w:r>
          </w:p>
        </w:tc>
        <w:tc>
          <w:tcPr>
            <w:tcW w:w="1785" w:type="dxa"/>
            <w:vMerge w:val="continue"/>
            <w:vAlign w:val="center"/>
          </w:tcPr>
          <w:p>
            <w:pPr>
              <w:jc w:val="center"/>
              <w:rPr>
                <w:rFonts w:hint="default" w:ascii="Calibri" w:hAnsi="Calibri" w:eastAsia="仿宋_GB2312" w:cs="Times New Roman"/>
                <w:color w:val="auto"/>
                <w:kern w:val="2"/>
                <w:sz w:val="24"/>
                <w:szCs w:val="24"/>
                <w:lang w:val="en-US" w:eastAsia="zh-CN" w:bidi="ar-SA"/>
              </w:rPr>
            </w:pPr>
          </w:p>
        </w:tc>
        <w:tc>
          <w:tcPr>
            <w:tcW w:w="1541"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302" w:type="dxa"/>
            <w:vMerge w:val="continue"/>
            <w:vAlign w:val="center"/>
          </w:tcPr>
          <w:p>
            <w:pPr>
              <w:rPr>
                <w:color w:val="auto"/>
                <w:sz w:val="24"/>
              </w:rPr>
            </w:pPr>
          </w:p>
        </w:tc>
        <w:tc>
          <w:tcPr>
            <w:tcW w:w="1258" w:type="dxa"/>
            <w:vMerge w:val="continue"/>
            <w:vAlign w:val="center"/>
          </w:tcPr>
          <w:p>
            <w:pPr>
              <w:jc w:val="center"/>
              <w:rPr>
                <w:color w:val="auto"/>
                <w:sz w:val="24"/>
              </w:rPr>
            </w:pPr>
          </w:p>
        </w:tc>
        <w:tc>
          <w:tcPr>
            <w:tcW w:w="5077" w:type="dxa"/>
            <w:vAlign w:val="center"/>
          </w:tcPr>
          <w:p>
            <w:pPr>
              <w:rPr>
                <w:color w:val="auto"/>
                <w:sz w:val="24"/>
              </w:rPr>
            </w:pPr>
            <w:r>
              <w:rPr>
                <w:rFonts w:hint="eastAsia"/>
                <w:color w:val="auto"/>
                <w:sz w:val="24"/>
                <w:lang w:val="en-US" w:eastAsia="zh-CN"/>
              </w:rPr>
              <w:t>进一步加强对全区</w:t>
            </w:r>
            <w:r>
              <w:rPr>
                <w:rFonts w:hint="eastAsia"/>
                <w:color w:val="auto"/>
                <w:sz w:val="24"/>
              </w:rPr>
              <w:t>政务新媒体建设管理工作的指导监督，推进政务新媒体规范运行、健康有序发展。</w:t>
            </w:r>
          </w:p>
        </w:tc>
        <w:tc>
          <w:tcPr>
            <w:tcW w:w="2007" w:type="dxa"/>
            <w:vMerge w:val="continue"/>
            <w:vAlign w:val="center"/>
          </w:tcPr>
          <w:p>
            <w:pPr>
              <w:rPr>
                <w:rFonts w:hint="default" w:eastAsia="仿宋_GB2312"/>
                <w:color w:val="auto"/>
                <w:sz w:val="24"/>
                <w:highlight w:val="none"/>
                <w:lang w:val="en-US" w:eastAsia="zh-CN"/>
              </w:rPr>
            </w:pPr>
          </w:p>
        </w:tc>
        <w:tc>
          <w:tcPr>
            <w:tcW w:w="1785" w:type="dxa"/>
            <w:vAlign w:val="center"/>
          </w:tcPr>
          <w:p>
            <w:pPr>
              <w:jc w:val="center"/>
              <w:rPr>
                <w:rFonts w:hint="default" w:ascii="Calibri" w:hAnsi="Calibri" w:eastAsia="仿宋_GB2312" w:cs="Times New Roman"/>
                <w:color w:val="auto"/>
                <w:kern w:val="2"/>
                <w:sz w:val="24"/>
                <w:szCs w:val="24"/>
                <w:lang w:val="en-US" w:eastAsia="zh-CN" w:bidi="ar-SA"/>
              </w:rPr>
            </w:pPr>
            <w:r>
              <w:rPr>
                <w:rFonts w:hint="eastAsia"/>
                <w:color w:val="auto"/>
                <w:sz w:val="24"/>
                <w:lang w:val="en-US" w:eastAsia="zh-CN"/>
              </w:rPr>
              <w:t>区行政审批和政务服务局</w:t>
            </w:r>
          </w:p>
        </w:tc>
        <w:tc>
          <w:tcPr>
            <w:tcW w:w="1541"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2" w:type="dxa"/>
            <w:vMerge w:val="restart"/>
            <w:vAlign w:val="center"/>
          </w:tcPr>
          <w:p>
            <w:pPr>
              <w:rPr>
                <w:color w:val="auto"/>
                <w:sz w:val="24"/>
              </w:rPr>
            </w:pPr>
            <w:r>
              <w:rPr>
                <w:rFonts w:hint="eastAsia"/>
                <w:color w:val="auto"/>
                <w:sz w:val="24"/>
              </w:rPr>
              <w:t>五、强化指导监督，形成工作合力</w:t>
            </w:r>
          </w:p>
        </w:tc>
        <w:tc>
          <w:tcPr>
            <w:tcW w:w="1258" w:type="dxa"/>
            <w:vMerge w:val="restart"/>
            <w:vAlign w:val="center"/>
          </w:tcPr>
          <w:p>
            <w:pPr>
              <w:jc w:val="center"/>
              <w:rPr>
                <w:color w:val="auto"/>
                <w:sz w:val="24"/>
              </w:rPr>
            </w:pPr>
            <w:r>
              <w:rPr>
                <w:rFonts w:hint="eastAsia"/>
                <w:color w:val="auto"/>
                <w:sz w:val="24"/>
              </w:rPr>
              <w:t>（十</w:t>
            </w:r>
            <w:r>
              <w:rPr>
                <w:rFonts w:hint="eastAsia"/>
                <w:color w:val="auto"/>
                <w:sz w:val="24"/>
                <w:lang w:val="en-US" w:eastAsia="zh-CN"/>
              </w:rPr>
              <w:t>九</w:t>
            </w:r>
            <w:r>
              <w:rPr>
                <w:rFonts w:hint="eastAsia"/>
                <w:color w:val="auto"/>
                <w:sz w:val="24"/>
              </w:rPr>
              <w:t>）强化组织领导。</w:t>
            </w:r>
          </w:p>
        </w:tc>
        <w:tc>
          <w:tcPr>
            <w:tcW w:w="5077" w:type="dxa"/>
            <w:vAlign w:val="center"/>
          </w:tcPr>
          <w:p>
            <w:pPr>
              <w:rPr>
                <w:color w:val="auto"/>
                <w:sz w:val="24"/>
              </w:rPr>
            </w:pPr>
            <w:r>
              <w:rPr>
                <w:rFonts w:hint="eastAsia"/>
                <w:color w:val="auto"/>
                <w:sz w:val="24"/>
              </w:rPr>
              <w:t>切实加强组织领导，压实责任，健全机制，强化内部管理和内部衔接，确保各项工作的连续性。</w:t>
            </w:r>
          </w:p>
        </w:tc>
        <w:tc>
          <w:tcPr>
            <w:tcW w:w="2007" w:type="dxa"/>
            <w:vMerge w:val="restart"/>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通过规范相关制度，要求各单位建立健全相关制度，认真贯彻落实。</w:t>
            </w:r>
          </w:p>
        </w:tc>
        <w:tc>
          <w:tcPr>
            <w:tcW w:w="1785" w:type="dxa"/>
            <w:vAlign w:val="center"/>
          </w:tcPr>
          <w:p>
            <w:pPr>
              <w:jc w:val="center"/>
              <w:rPr>
                <w:rFonts w:hint="default" w:ascii="Calibri" w:hAnsi="Calibri" w:eastAsia="仿宋_GB2312" w:cs="Times New Roman"/>
                <w:color w:val="auto"/>
                <w:kern w:val="2"/>
                <w:sz w:val="24"/>
                <w:szCs w:val="24"/>
                <w:lang w:val="en-US" w:eastAsia="zh-CN" w:bidi="ar-SA"/>
              </w:rPr>
            </w:pPr>
            <w:r>
              <w:rPr>
                <w:rFonts w:hint="eastAsia"/>
                <w:color w:val="auto"/>
                <w:sz w:val="24"/>
                <w:lang w:val="en-US" w:eastAsia="zh-CN"/>
              </w:rPr>
              <w:t>各镇、街道、各政府部门、各相关单位</w:t>
            </w:r>
          </w:p>
        </w:tc>
        <w:tc>
          <w:tcPr>
            <w:tcW w:w="1541" w:type="dxa"/>
            <w:vMerge w:val="restart"/>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02" w:type="dxa"/>
            <w:vMerge w:val="continue"/>
            <w:vAlign w:val="center"/>
          </w:tcPr>
          <w:p>
            <w:pPr>
              <w:rPr>
                <w:rFonts w:hint="eastAsia"/>
                <w:color w:val="auto"/>
                <w:sz w:val="24"/>
              </w:rPr>
            </w:pPr>
          </w:p>
        </w:tc>
        <w:tc>
          <w:tcPr>
            <w:tcW w:w="1258" w:type="dxa"/>
            <w:vMerge w:val="continue"/>
            <w:vAlign w:val="center"/>
          </w:tcPr>
          <w:p>
            <w:pPr>
              <w:jc w:val="center"/>
              <w:rPr>
                <w:rFonts w:hint="eastAsia"/>
                <w:color w:val="auto"/>
                <w:sz w:val="24"/>
              </w:rPr>
            </w:pPr>
          </w:p>
        </w:tc>
        <w:tc>
          <w:tcPr>
            <w:tcW w:w="5077" w:type="dxa"/>
            <w:vAlign w:val="center"/>
          </w:tcPr>
          <w:p>
            <w:pPr>
              <w:rPr>
                <w:rFonts w:hint="eastAsia"/>
                <w:color w:val="auto"/>
                <w:sz w:val="24"/>
              </w:rPr>
            </w:pPr>
            <w:r>
              <w:rPr>
                <w:rFonts w:hint="eastAsia"/>
                <w:color w:val="auto"/>
                <w:sz w:val="24"/>
                <w:lang w:val="en-US" w:eastAsia="zh-CN"/>
              </w:rPr>
              <w:t>东胜区</w:t>
            </w:r>
            <w:r>
              <w:rPr>
                <w:rFonts w:hint="eastAsia"/>
                <w:color w:val="auto"/>
                <w:sz w:val="24"/>
              </w:rPr>
              <w:t>政务公开领导小组要切实发挥作用，加强监督调度，提升政务公开工作水平。</w:t>
            </w:r>
          </w:p>
        </w:tc>
        <w:tc>
          <w:tcPr>
            <w:tcW w:w="2007" w:type="dxa"/>
            <w:vMerge w:val="continue"/>
            <w:vAlign w:val="center"/>
          </w:tcPr>
          <w:p>
            <w:pPr>
              <w:rPr>
                <w:rFonts w:hint="default" w:eastAsia="仿宋_GB2312"/>
                <w:color w:val="auto"/>
                <w:sz w:val="24"/>
                <w:highlight w:val="green"/>
                <w:lang w:val="en-US" w:eastAsia="zh-CN"/>
              </w:rPr>
            </w:pPr>
          </w:p>
        </w:tc>
        <w:tc>
          <w:tcPr>
            <w:tcW w:w="1785" w:type="dxa"/>
            <w:vAlign w:val="center"/>
          </w:tcPr>
          <w:p>
            <w:pPr>
              <w:jc w:val="center"/>
              <w:rPr>
                <w:rFonts w:hint="default" w:eastAsia="仿宋_GB2312"/>
                <w:color w:val="auto"/>
                <w:sz w:val="24"/>
                <w:lang w:val="en-US" w:eastAsia="zh-CN"/>
              </w:rPr>
            </w:pPr>
            <w:r>
              <w:rPr>
                <w:rFonts w:hint="eastAsia"/>
                <w:color w:val="auto"/>
                <w:sz w:val="24"/>
                <w:lang w:val="en-US" w:eastAsia="zh-CN"/>
              </w:rPr>
              <w:t>区行政审批和政务服务局</w:t>
            </w:r>
          </w:p>
        </w:tc>
        <w:tc>
          <w:tcPr>
            <w:tcW w:w="1541" w:type="dxa"/>
            <w:vMerge w:val="continue"/>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02" w:type="dxa"/>
            <w:vMerge w:val="continue"/>
            <w:vAlign w:val="center"/>
          </w:tcPr>
          <w:p>
            <w:pPr>
              <w:rPr>
                <w:color w:val="auto"/>
                <w:sz w:val="24"/>
              </w:rPr>
            </w:pPr>
          </w:p>
        </w:tc>
        <w:tc>
          <w:tcPr>
            <w:tcW w:w="1258" w:type="dxa"/>
            <w:vMerge w:val="restart"/>
            <w:vAlign w:val="center"/>
          </w:tcPr>
          <w:p>
            <w:pPr>
              <w:jc w:val="center"/>
              <w:rPr>
                <w:color w:val="auto"/>
                <w:sz w:val="24"/>
              </w:rPr>
            </w:pPr>
            <w:r>
              <w:rPr>
                <w:rFonts w:hint="eastAsia"/>
                <w:color w:val="auto"/>
                <w:sz w:val="24"/>
              </w:rPr>
              <w:t>（</w:t>
            </w:r>
            <w:r>
              <w:rPr>
                <w:rFonts w:hint="eastAsia"/>
                <w:color w:val="auto"/>
                <w:sz w:val="24"/>
                <w:lang w:val="en-US" w:eastAsia="zh-CN"/>
              </w:rPr>
              <w:t>二十</w:t>
            </w:r>
            <w:r>
              <w:rPr>
                <w:rFonts w:hint="eastAsia"/>
                <w:color w:val="auto"/>
                <w:sz w:val="24"/>
              </w:rPr>
              <w:t>）强化队伍建设。</w:t>
            </w:r>
          </w:p>
        </w:tc>
        <w:tc>
          <w:tcPr>
            <w:tcW w:w="5077" w:type="dxa"/>
            <w:vAlign w:val="center"/>
          </w:tcPr>
          <w:p>
            <w:pPr>
              <w:rPr>
                <w:color w:val="auto"/>
                <w:sz w:val="24"/>
              </w:rPr>
            </w:pPr>
            <w:r>
              <w:rPr>
                <w:rFonts w:hint="eastAsia"/>
                <w:color w:val="auto"/>
                <w:sz w:val="24"/>
              </w:rPr>
              <w:t>抓好人员梯队建设，保持政务公开队伍基本稳定。</w:t>
            </w:r>
          </w:p>
        </w:tc>
        <w:tc>
          <w:tcPr>
            <w:tcW w:w="2007" w:type="dxa"/>
            <w:vMerge w:val="restart"/>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加强工作人员培训，积极参加各类线上和线下的培训，部门做到不随意更换工作人员。</w:t>
            </w:r>
          </w:p>
        </w:tc>
        <w:tc>
          <w:tcPr>
            <w:tcW w:w="1785" w:type="dxa"/>
            <w:vMerge w:val="restart"/>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lang w:val="en-US" w:eastAsia="zh-CN"/>
              </w:rPr>
              <w:t>区行政审批和政务服务局、各相关单位</w:t>
            </w:r>
          </w:p>
        </w:tc>
        <w:tc>
          <w:tcPr>
            <w:tcW w:w="1541"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02" w:type="dxa"/>
            <w:vMerge w:val="continue"/>
            <w:vAlign w:val="center"/>
          </w:tcPr>
          <w:p>
            <w:pPr>
              <w:rPr>
                <w:color w:val="auto"/>
                <w:sz w:val="24"/>
              </w:rPr>
            </w:pPr>
          </w:p>
        </w:tc>
        <w:tc>
          <w:tcPr>
            <w:tcW w:w="1258" w:type="dxa"/>
            <w:vMerge w:val="continue"/>
            <w:vAlign w:val="center"/>
          </w:tcPr>
          <w:p>
            <w:pPr>
              <w:jc w:val="center"/>
              <w:rPr>
                <w:rFonts w:hint="eastAsia"/>
                <w:color w:val="auto"/>
                <w:sz w:val="24"/>
              </w:rPr>
            </w:pPr>
          </w:p>
        </w:tc>
        <w:tc>
          <w:tcPr>
            <w:tcW w:w="5077" w:type="dxa"/>
            <w:vAlign w:val="center"/>
          </w:tcPr>
          <w:p>
            <w:pPr>
              <w:rPr>
                <w:rFonts w:hint="eastAsia"/>
                <w:color w:val="auto"/>
                <w:sz w:val="24"/>
              </w:rPr>
            </w:pPr>
            <w:r>
              <w:rPr>
                <w:rFonts w:hint="eastAsia"/>
                <w:color w:val="auto"/>
                <w:sz w:val="24"/>
              </w:rPr>
              <w:t>切实落实</w:t>
            </w:r>
            <w:r>
              <w:rPr>
                <w:rFonts w:hint="eastAsia"/>
                <w:color w:val="auto"/>
                <w:sz w:val="24"/>
                <w:lang w:val="en-US" w:eastAsia="zh-CN"/>
              </w:rPr>
              <w:t>市、区两级组织的</w:t>
            </w:r>
            <w:r>
              <w:rPr>
                <w:rFonts w:hint="eastAsia"/>
                <w:color w:val="auto"/>
                <w:sz w:val="24"/>
              </w:rPr>
              <w:t>政务公开业务培训的人员参训率</w:t>
            </w:r>
            <w:r>
              <w:rPr>
                <w:rFonts w:hint="eastAsia"/>
                <w:color w:val="auto"/>
                <w:sz w:val="24"/>
                <w:lang w:eastAsia="zh-CN"/>
              </w:rPr>
              <w:t>，</w:t>
            </w:r>
            <w:r>
              <w:rPr>
                <w:rFonts w:hint="eastAsia"/>
                <w:color w:val="auto"/>
                <w:sz w:val="24"/>
              </w:rPr>
              <w:t>提升现有政务公开工作队伍的业务水平和专业素质。</w:t>
            </w:r>
          </w:p>
        </w:tc>
        <w:tc>
          <w:tcPr>
            <w:tcW w:w="2007" w:type="dxa"/>
            <w:vMerge w:val="continue"/>
            <w:vAlign w:val="center"/>
          </w:tcPr>
          <w:p>
            <w:pPr>
              <w:rPr>
                <w:rFonts w:hint="eastAsia"/>
                <w:color w:val="auto"/>
                <w:sz w:val="24"/>
                <w:highlight w:val="green"/>
                <w:lang w:val="en-US" w:eastAsia="zh-CN"/>
              </w:rPr>
            </w:pPr>
          </w:p>
        </w:tc>
        <w:tc>
          <w:tcPr>
            <w:tcW w:w="1785" w:type="dxa"/>
            <w:vMerge w:val="continue"/>
            <w:vAlign w:val="center"/>
          </w:tcPr>
          <w:p>
            <w:pPr>
              <w:jc w:val="center"/>
              <w:rPr>
                <w:rFonts w:hint="eastAsia"/>
                <w:color w:val="auto"/>
                <w:sz w:val="24"/>
                <w:lang w:val="en-US" w:eastAsia="zh-CN"/>
              </w:rPr>
            </w:pPr>
          </w:p>
        </w:tc>
        <w:tc>
          <w:tcPr>
            <w:tcW w:w="1541" w:type="dxa"/>
            <w:vAlign w:val="center"/>
          </w:tcPr>
          <w:p>
            <w:pPr>
              <w:jc w:val="center"/>
              <w:rPr>
                <w:rFonts w:hint="eastAsia"/>
                <w:color w:val="auto"/>
                <w:sz w:val="24"/>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02" w:type="dxa"/>
            <w:vMerge w:val="continue"/>
            <w:vAlign w:val="center"/>
          </w:tcPr>
          <w:p>
            <w:pPr>
              <w:rPr>
                <w:color w:val="auto"/>
                <w:sz w:val="24"/>
              </w:rPr>
            </w:pPr>
          </w:p>
        </w:tc>
        <w:tc>
          <w:tcPr>
            <w:tcW w:w="1258" w:type="dxa"/>
            <w:vMerge w:val="continue"/>
            <w:vAlign w:val="center"/>
          </w:tcPr>
          <w:p>
            <w:pPr>
              <w:jc w:val="center"/>
              <w:rPr>
                <w:color w:val="auto"/>
                <w:sz w:val="24"/>
              </w:rPr>
            </w:pPr>
          </w:p>
        </w:tc>
        <w:tc>
          <w:tcPr>
            <w:tcW w:w="5077" w:type="dxa"/>
            <w:vAlign w:val="center"/>
          </w:tcPr>
          <w:p>
            <w:pPr>
              <w:rPr>
                <w:color w:val="auto"/>
                <w:sz w:val="24"/>
              </w:rPr>
            </w:pPr>
            <w:r>
              <w:rPr>
                <w:rFonts w:hint="eastAsia"/>
                <w:color w:val="auto"/>
                <w:sz w:val="24"/>
              </w:rPr>
              <w:t>建立政务公开典型经验做法及问题不足通报机制，对创新性开展工作的</w:t>
            </w:r>
            <w:r>
              <w:rPr>
                <w:rFonts w:hint="eastAsia"/>
                <w:color w:val="auto"/>
                <w:sz w:val="24"/>
                <w:lang w:val="en-US" w:eastAsia="zh-CN"/>
              </w:rPr>
              <w:t>单位</w:t>
            </w:r>
            <w:r>
              <w:rPr>
                <w:rFonts w:hint="eastAsia"/>
                <w:color w:val="auto"/>
                <w:sz w:val="24"/>
              </w:rPr>
              <w:t>进行通报表扬</w:t>
            </w:r>
            <w:r>
              <w:rPr>
                <w:rFonts w:hint="eastAsia"/>
                <w:color w:val="auto"/>
                <w:sz w:val="24"/>
                <w:lang w:eastAsia="zh-CN"/>
              </w:rPr>
              <w:t>；</w:t>
            </w:r>
            <w:r>
              <w:rPr>
                <w:rFonts w:hint="eastAsia"/>
                <w:color w:val="auto"/>
                <w:sz w:val="24"/>
              </w:rPr>
              <w:t>对未落实</w:t>
            </w:r>
            <w:r>
              <w:rPr>
                <w:rFonts w:hint="eastAsia"/>
                <w:color w:val="auto"/>
                <w:sz w:val="24"/>
                <w:lang w:val="en-US" w:eastAsia="zh-CN"/>
              </w:rPr>
              <w:t>各级</w:t>
            </w:r>
            <w:r>
              <w:rPr>
                <w:rFonts w:hint="eastAsia"/>
                <w:color w:val="auto"/>
                <w:sz w:val="24"/>
              </w:rPr>
              <w:t>政务公开方面政策要求的，或落实不力的</w:t>
            </w:r>
            <w:r>
              <w:rPr>
                <w:rFonts w:hint="eastAsia"/>
                <w:color w:val="auto"/>
                <w:sz w:val="24"/>
                <w:lang w:val="en-US" w:eastAsia="zh-CN"/>
              </w:rPr>
              <w:t>单位</w:t>
            </w:r>
            <w:r>
              <w:rPr>
                <w:rFonts w:hint="eastAsia"/>
                <w:color w:val="auto"/>
                <w:sz w:val="24"/>
              </w:rPr>
              <w:t>进行通报批评。</w:t>
            </w:r>
          </w:p>
        </w:tc>
        <w:tc>
          <w:tcPr>
            <w:tcW w:w="2007" w:type="dxa"/>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不定期出相关的通报，要求各单位及时整改，并将通报情况纳入年底考核。</w:t>
            </w:r>
          </w:p>
        </w:tc>
        <w:tc>
          <w:tcPr>
            <w:tcW w:w="1785" w:type="dxa"/>
            <w:vAlign w:val="center"/>
          </w:tcPr>
          <w:p>
            <w:pPr>
              <w:jc w:val="center"/>
              <w:rPr>
                <w:rFonts w:hint="default" w:ascii="Calibri" w:hAnsi="Calibri" w:eastAsia="仿宋_GB2312" w:cs="Times New Roman"/>
                <w:color w:val="auto"/>
                <w:kern w:val="2"/>
                <w:sz w:val="24"/>
                <w:szCs w:val="24"/>
                <w:lang w:val="en-US" w:eastAsia="zh-CN" w:bidi="ar-SA"/>
              </w:rPr>
            </w:pPr>
            <w:r>
              <w:rPr>
                <w:rFonts w:hint="eastAsia"/>
                <w:color w:val="auto"/>
                <w:sz w:val="24"/>
                <w:lang w:val="en-US" w:eastAsia="zh-CN"/>
              </w:rPr>
              <w:t>区行政审批和政务服务局</w:t>
            </w:r>
          </w:p>
        </w:tc>
        <w:tc>
          <w:tcPr>
            <w:tcW w:w="1541"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302" w:type="dxa"/>
            <w:vMerge w:val="continue"/>
            <w:vAlign w:val="center"/>
          </w:tcPr>
          <w:p>
            <w:pPr>
              <w:rPr>
                <w:color w:val="auto"/>
                <w:sz w:val="24"/>
              </w:rPr>
            </w:pPr>
          </w:p>
        </w:tc>
        <w:tc>
          <w:tcPr>
            <w:tcW w:w="1258" w:type="dxa"/>
            <w:vAlign w:val="center"/>
          </w:tcPr>
          <w:p>
            <w:pPr>
              <w:jc w:val="center"/>
              <w:rPr>
                <w:color w:val="auto"/>
                <w:sz w:val="24"/>
              </w:rPr>
            </w:pPr>
            <w:r>
              <w:rPr>
                <w:rFonts w:hint="eastAsia"/>
                <w:color w:val="auto"/>
                <w:sz w:val="24"/>
              </w:rPr>
              <w:t>（二十</w:t>
            </w:r>
            <w:r>
              <w:rPr>
                <w:rFonts w:hint="eastAsia"/>
                <w:color w:val="auto"/>
                <w:sz w:val="24"/>
                <w:lang w:val="en-US" w:eastAsia="zh-CN"/>
              </w:rPr>
              <w:t>一</w:t>
            </w:r>
            <w:r>
              <w:rPr>
                <w:rFonts w:hint="eastAsia"/>
                <w:color w:val="auto"/>
                <w:sz w:val="24"/>
              </w:rPr>
              <w:t>）强化监督保障。</w:t>
            </w:r>
          </w:p>
        </w:tc>
        <w:tc>
          <w:tcPr>
            <w:tcW w:w="5077" w:type="dxa"/>
            <w:vAlign w:val="center"/>
          </w:tcPr>
          <w:p>
            <w:pPr>
              <w:rPr>
                <w:color w:val="auto"/>
                <w:sz w:val="24"/>
              </w:rPr>
            </w:pPr>
            <w:r>
              <w:rPr>
                <w:rFonts w:hint="eastAsia"/>
                <w:color w:val="auto"/>
                <w:sz w:val="24"/>
                <w:lang w:val="en-US" w:eastAsia="zh-CN"/>
              </w:rPr>
              <w:t>区</w:t>
            </w:r>
            <w:r>
              <w:rPr>
                <w:rFonts w:hint="eastAsia"/>
                <w:color w:val="auto"/>
                <w:sz w:val="24"/>
              </w:rPr>
              <w:t>政务公开领导小组要加强对全</w:t>
            </w:r>
            <w:r>
              <w:rPr>
                <w:rFonts w:hint="eastAsia"/>
                <w:color w:val="auto"/>
                <w:sz w:val="24"/>
                <w:lang w:val="en-US" w:eastAsia="zh-CN"/>
              </w:rPr>
              <w:t>区</w:t>
            </w:r>
            <w:r>
              <w:rPr>
                <w:rFonts w:hint="eastAsia"/>
                <w:color w:val="auto"/>
                <w:sz w:val="24"/>
              </w:rPr>
              <w:t>政务公开工作的日常指导、监督，严格按照《国务院办公厅政府信息与政务公开办公室关于印发〈中华人民共和国政府信息公开工作年度报告格式〉的通知》（国办公开办函〔2021〕30号）要求，加强对政府信息公开工作年度报告编制，做到相关情况和数据应报尽报，全面准确。对不按时发布、发布内容不准确不全面或者发布内容雷同、敷衍塞责并造成不良后果的，严肃追究有关负责人和直接责任人责任。</w:t>
            </w:r>
          </w:p>
        </w:tc>
        <w:tc>
          <w:tcPr>
            <w:tcW w:w="2007" w:type="dxa"/>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按要求逐项完成。</w:t>
            </w:r>
          </w:p>
        </w:tc>
        <w:tc>
          <w:tcPr>
            <w:tcW w:w="1785" w:type="dxa"/>
            <w:vAlign w:val="center"/>
          </w:tcPr>
          <w:p>
            <w:pPr>
              <w:jc w:val="both"/>
              <w:rPr>
                <w:rFonts w:hint="default" w:ascii="Calibri" w:hAnsi="Calibri" w:eastAsia="仿宋_GB2312" w:cs="Times New Roman"/>
                <w:color w:val="auto"/>
                <w:kern w:val="2"/>
                <w:sz w:val="24"/>
                <w:szCs w:val="24"/>
                <w:lang w:val="en-US" w:eastAsia="zh-CN" w:bidi="ar-SA"/>
              </w:rPr>
            </w:pPr>
            <w:r>
              <w:rPr>
                <w:rFonts w:hint="eastAsia"/>
                <w:color w:val="auto"/>
                <w:sz w:val="24"/>
                <w:lang w:val="en-US" w:eastAsia="zh-CN"/>
              </w:rPr>
              <w:t>区行政审批和政务服务局、各相关单位</w:t>
            </w:r>
          </w:p>
        </w:tc>
        <w:tc>
          <w:tcPr>
            <w:tcW w:w="1541"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02" w:type="dxa"/>
            <w:vMerge w:val="continue"/>
            <w:vAlign w:val="center"/>
          </w:tcPr>
          <w:p>
            <w:pPr>
              <w:rPr>
                <w:color w:val="auto"/>
                <w:sz w:val="24"/>
              </w:rPr>
            </w:pPr>
          </w:p>
        </w:tc>
        <w:tc>
          <w:tcPr>
            <w:tcW w:w="1258" w:type="dxa"/>
            <w:vMerge w:val="restart"/>
            <w:vAlign w:val="center"/>
          </w:tcPr>
          <w:p>
            <w:pPr>
              <w:jc w:val="center"/>
              <w:rPr>
                <w:color w:val="auto"/>
                <w:sz w:val="24"/>
              </w:rPr>
            </w:pPr>
            <w:r>
              <w:rPr>
                <w:rFonts w:hint="eastAsia"/>
                <w:color w:val="auto"/>
                <w:sz w:val="24"/>
              </w:rPr>
              <w:t>（二十</w:t>
            </w:r>
            <w:r>
              <w:rPr>
                <w:rFonts w:hint="eastAsia"/>
                <w:color w:val="auto"/>
                <w:sz w:val="24"/>
                <w:lang w:val="en-US" w:eastAsia="zh-CN"/>
              </w:rPr>
              <w:t>二</w:t>
            </w:r>
            <w:r>
              <w:rPr>
                <w:rFonts w:hint="eastAsia"/>
                <w:color w:val="auto"/>
                <w:sz w:val="24"/>
              </w:rPr>
              <w:t>）强化工作落实。</w:t>
            </w:r>
          </w:p>
        </w:tc>
        <w:tc>
          <w:tcPr>
            <w:tcW w:w="5077" w:type="dxa"/>
            <w:vAlign w:val="center"/>
          </w:tcPr>
          <w:p>
            <w:pPr>
              <w:rPr>
                <w:color w:val="auto"/>
                <w:sz w:val="24"/>
              </w:rPr>
            </w:pPr>
            <w:r>
              <w:rPr>
                <w:rFonts w:hint="eastAsia"/>
                <w:color w:val="auto"/>
                <w:sz w:val="24"/>
              </w:rPr>
              <w:t>各</w:t>
            </w:r>
            <w:r>
              <w:rPr>
                <w:rFonts w:hint="eastAsia"/>
                <w:color w:val="auto"/>
                <w:sz w:val="24"/>
                <w:lang w:val="en-US" w:eastAsia="zh-CN"/>
              </w:rPr>
              <w:t>相关</w:t>
            </w:r>
            <w:r>
              <w:rPr>
                <w:rFonts w:hint="eastAsia"/>
                <w:color w:val="auto"/>
                <w:sz w:val="24"/>
              </w:rPr>
              <w:t>单位要对照本要点提出的重点任务，梳理本单位政务公开工作，逐项推动落实。</w:t>
            </w:r>
          </w:p>
        </w:tc>
        <w:tc>
          <w:tcPr>
            <w:tcW w:w="2007" w:type="dxa"/>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继续梳理政务公开目录清单，不断完善部门公开事项。</w:t>
            </w:r>
          </w:p>
        </w:tc>
        <w:tc>
          <w:tcPr>
            <w:tcW w:w="1785"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lang w:val="en-US" w:eastAsia="zh-CN"/>
              </w:rPr>
              <w:t>各相关单位</w:t>
            </w:r>
          </w:p>
        </w:tc>
        <w:tc>
          <w:tcPr>
            <w:tcW w:w="1541" w:type="dxa"/>
            <w:vMerge w:val="restart"/>
            <w:vAlign w:val="center"/>
          </w:tcPr>
          <w:p>
            <w:pPr>
              <w:jc w:val="center"/>
              <w:rPr>
                <w:rFonts w:ascii="Calibri" w:hAnsi="Calibri" w:eastAsia="仿宋_GB2312" w:cs="Times New Roman"/>
                <w:b/>
                <w:bCs/>
                <w:color w:val="auto"/>
                <w:kern w:val="2"/>
                <w:sz w:val="24"/>
                <w:szCs w:val="24"/>
                <w:lang w:val="en-US" w:eastAsia="zh-CN" w:bidi="ar-SA"/>
              </w:rPr>
            </w:pPr>
            <w:r>
              <w:rPr>
                <w:rFonts w:hint="eastAsia"/>
                <w:color w:val="auto"/>
                <w:sz w:val="24"/>
              </w:rPr>
              <w:t>2022年</w:t>
            </w:r>
            <w:r>
              <w:rPr>
                <w:rFonts w:hint="eastAsia"/>
                <w:color w:val="auto"/>
                <w:sz w:val="24"/>
                <w:lang w:val="en-US" w:eastAsia="zh-CN"/>
              </w:rPr>
              <w:t>12</w:t>
            </w:r>
            <w:r>
              <w:rPr>
                <w:rFonts w:hint="eastAsia"/>
                <w:color w:val="auto"/>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02" w:type="dxa"/>
            <w:vMerge w:val="continue"/>
            <w:tcBorders>
              <w:bottom w:val="nil"/>
            </w:tcBorders>
            <w:vAlign w:val="center"/>
          </w:tcPr>
          <w:p>
            <w:pPr>
              <w:jc w:val="center"/>
              <w:rPr>
                <w:color w:val="auto"/>
                <w:sz w:val="24"/>
              </w:rPr>
            </w:pPr>
          </w:p>
        </w:tc>
        <w:tc>
          <w:tcPr>
            <w:tcW w:w="1258" w:type="dxa"/>
            <w:vMerge w:val="continue"/>
            <w:vAlign w:val="center"/>
          </w:tcPr>
          <w:p>
            <w:pPr>
              <w:jc w:val="center"/>
              <w:rPr>
                <w:color w:val="auto"/>
                <w:sz w:val="24"/>
              </w:rPr>
            </w:pPr>
          </w:p>
        </w:tc>
        <w:tc>
          <w:tcPr>
            <w:tcW w:w="5077" w:type="dxa"/>
            <w:vAlign w:val="center"/>
          </w:tcPr>
          <w:p>
            <w:pPr>
              <w:rPr>
                <w:color w:val="auto"/>
                <w:sz w:val="24"/>
              </w:rPr>
            </w:pPr>
            <w:r>
              <w:rPr>
                <w:rFonts w:hint="eastAsia"/>
                <w:color w:val="auto"/>
                <w:sz w:val="24"/>
              </w:rPr>
              <w:t>对上一年度工作要点落实情况开展“回头看”，对未完成任务的依法督促整改。</w:t>
            </w:r>
          </w:p>
        </w:tc>
        <w:tc>
          <w:tcPr>
            <w:tcW w:w="2007" w:type="dxa"/>
            <w:vAlign w:val="center"/>
          </w:tcPr>
          <w:p>
            <w:pPr>
              <w:rPr>
                <w:rFonts w:hint="default" w:eastAsia="仿宋_GB2312"/>
                <w:color w:val="auto"/>
                <w:sz w:val="24"/>
                <w:highlight w:val="none"/>
                <w:lang w:val="en-US" w:eastAsia="zh-CN"/>
              </w:rPr>
            </w:pPr>
            <w:r>
              <w:rPr>
                <w:rFonts w:hint="eastAsia"/>
                <w:color w:val="auto"/>
                <w:sz w:val="24"/>
                <w:highlight w:val="none"/>
                <w:lang w:val="en-US" w:eastAsia="zh-CN"/>
              </w:rPr>
              <w:t>按时完成整改。</w:t>
            </w:r>
          </w:p>
        </w:tc>
        <w:tc>
          <w:tcPr>
            <w:tcW w:w="1785" w:type="dxa"/>
            <w:vAlign w:val="center"/>
          </w:tcPr>
          <w:p>
            <w:pPr>
              <w:jc w:val="center"/>
              <w:rPr>
                <w:rFonts w:ascii="Calibri" w:hAnsi="Calibri" w:eastAsia="仿宋_GB2312" w:cs="Times New Roman"/>
                <w:color w:val="auto"/>
                <w:kern w:val="2"/>
                <w:sz w:val="24"/>
                <w:szCs w:val="24"/>
                <w:lang w:val="en-US" w:eastAsia="zh-CN" w:bidi="ar-SA"/>
              </w:rPr>
            </w:pPr>
            <w:r>
              <w:rPr>
                <w:rFonts w:hint="eastAsia"/>
                <w:color w:val="auto"/>
                <w:sz w:val="24"/>
                <w:lang w:val="en-US" w:eastAsia="zh-CN"/>
              </w:rPr>
              <w:t>区行政审批和政务服务局</w:t>
            </w:r>
          </w:p>
        </w:tc>
        <w:tc>
          <w:tcPr>
            <w:tcW w:w="1541" w:type="dxa"/>
            <w:vMerge w:val="continue"/>
            <w:vAlign w:val="center"/>
          </w:tcPr>
          <w:p>
            <w:pPr>
              <w:jc w:val="center"/>
              <w:rPr>
                <w:rFonts w:ascii="Calibri" w:hAnsi="Calibri" w:eastAsia="仿宋_GB2312" w:cs="Times New Roman"/>
                <w:color w:val="auto"/>
                <w:kern w:val="2"/>
                <w:sz w:val="24"/>
                <w:szCs w:val="24"/>
                <w:lang w:val="en-US" w:eastAsia="zh-CN" w:bidi="ar-SA"/>
              </w:rPr>
            </w:pPr>
          </w:p>
        </w:tc>
      </w:tr>
    </w:tbl>
    <w:p/>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jEyYjJiYjI2ZTcyYjg0M2FiMTIyYjFhNzVmOTMifQ=="/>
  </w:docVars>
  <w:rsids>
    <w:rsidRoot w:val="47493BBF"/>
    <w:rsid w:val="01765527"/>
    <w:rsid w:val="02557C87"/>
    <w:rsid w:val="038500F8"/>
    <w:rsid w:val="04185410"/>
    <w:rsid w:val="044566F3"/>
    <w:rsid w:val="049D76C3"/>
    <w:rsid w:val="04ED0CC6"/>
    <w:rsid w:val="05E03FD0"/>
    <w:rsid w:val="06113EC5"/>
    <w:rsid w:val="07B436A2"/>
    <w:rsid w:val="09A339CE"/>
    <w:rsid w:val="09CF0AC5"/>
    <w:rsid w:val="0BF24799"/>
    <w:rsid w:val="0C2E40C8"/>
    <w:rsid w:val="0C607954"/>
    <w:rsid w:val="0CB437FC"/>
    <w:rsid w:val="0E5C3986"/>
    <w:rsid w:val="0EEA787F"/>
    <w:rsid w:val="0FBD0C1A"/>
    <w:rsid w:val="0FF71B15"/>
    <w:rsid w:val="10FD7E68"/>
    <w:rsid w:val="110631C0"/>
    <w:rsid w:val="120E1C01"/>
    <w:rsid w:val="13AC54C1"/>
    <w:rsid w:val="144E4536"/>
    <w:rsid w:val="150A42DA"/>
    <w:rsid w:val="15636CC7"/>
    <w:rsid w:val="15664A19"/>
    <w:rsid w:val="15E23CD6"/>
    <w:rsid w:val="161330A8"/>
    <w:rsid w:val="16DC71A3"/>
    <w:rsid w:val="16EF70D4"/>
    <w:rsid w:val="17DB07D7"/>
    <w:rsid w:val="17E163AD"/>
    <w:rsid w:val="185A763C"/>
    <w:rsid w:val="18D23988"/>
    <w:rsid w:val="19432AC5"/>
    <w:rsid w:val="19ED2537"/>
    <w:rsid w:val="1AD64472"/>
    <w:rsid w:val="1B843F38"/>
    <w:rsid w:val="1BCF75B2"/>
    <w:rsid w:val="1EAE09F3"/>
    <w:rsid w:val="20A200E4"/>
    <w:rsid w:val="210B0991"/>
    <w:rsid w:val="21262AC3"/>
    <w:rsid w:val="21E20D7C"/>
    <w:rsid w:val="230C3F3A"/>
    <w:rsid w:val="231D6147"/>
    <w:rsid w:val="24170DE9"/>
    <w:rsid w:val="245931AF"/>
    <w:rsid w:val="24752AB1"/>
    <w:rsid w:val="250A26FB"/>
    <w:rsid w:val="251B4E50"/>
    <w:rsid w:val="253714A9"/>
    <w:rsid w:val="25D22DCA"/>
    <w:rsid w:val="26606A77"/>
    <w:rsid w:val="26C568DA"/>
    <w:rsid w:val="26D1378F"/>
    <w:rsid w:val="26E476FA"/>
    <w:rsid w:val="27A10083"/>
    <w:rsid w:val="27A95490"/>
    <w:rsid w:val="283A50A6"/>
    <w:rsid w:val="29B42D36"/>
    <w:rsid w:val="2A8A2314"/>
    <w:rsid w:val="2B780CDA"/>
    <w:rsid w:val="2BDD70DE"/>
    <w:rsid w:val="2BFD6B16"/>
    <w:rsid w:val="2C1125C1"/>
    <w:rsid w:val="2C163734"/>
    <w:rsid w:val="2D6D61F7"/>
    <w:rsid w:val="2D8540DA"/>
    <w:rsid w:val="2E1972E0"/>
    <w:rsid w:val="2E772BB0"/>
    <w:rsid w:val="2E9D638E"/>
    <w:rsid w:val="2F391C13"/>
    <w:rsid w:val="31AF2660"/>
    <w:rsid w:val="33AE7649"/>
    <w:rsid w:val="36022E73"/>
    <w:rsid w:val="36603F29"/>
    <w:rsid w:val="36CC5A63"/>
    <w:rsid w:val="384004B6"/>
    <w:rsid w:val="397228F1"/>
    <w:rsid w:val="3A437DEA"/>
    <w:rsid w:val="3B616348"/>
    <w:rsid w:val="3BBD6D1E"/>
    <w:rsid w:val="3DDF2043"/>
    <w:rsid w:val="3F9F1F66"/>
    <w:rsid w:val="3FE05268"/>
    <w:rsid w:val="42572691"/>
    <w:rsid w:val="43293AF4"/>
    <w:rsid w:val="439A11F1"/>
    <w:rsid w:val="43FB7987"/>
    <w:rsid w:val="46E42955"/>
    <w:rsid w:val="47493BBF"/>
    <w:rsid w:val="482E032B"/>
    <w:rsid w:val="486E3F10"/>
    <w:rsid w:val="488B50D8"/>
    <w:rsid w:val="48D631F8"/>
    <w:rsid w:val="49366537"/>
    <w:rsid w:val="4968786D"/>
    <w:rsid w:val="4A1672C9"/>
    <w:rsid w:val="4A2805C0"/>
    <w:rsid w:val="4A965D14"/>
    <w:rsid w:val="4AB20789"/>
    <w:rsid w:val="4B7446D1"/>
    <w:rsid w:val="4BC6087B"/>
    <w:rsid w:val="4C9D00C0"/>
    <w:rsid w:val="4CE74703"/>
    <w:rsid w:val="4EF1759F"/>
    <w:rsid w:val="52140592"/>
    <w:rsid w:val="52302EF2"/>
    <w:rsid w:val="52365BBC"/>
    <w:rsid w:val="523C24EA"/>
    <w:rsid w:val="541F219E"/>
    <w:rsid w:val="549E2395"/>
    <w:rsid w:val="555D5DAC"/>
    <w:rsid w:val="57A51C8C"/>
    <w:rsid w:val="59945B14"/>
    <w:rsid w:val="59BD150F"/>
    <w:rsid w:val="5A403EEE"/>
    <w:rsid w:val="5AD27173"/>
    <w:rsid w:val="5ADF3707"/>
    <w:rsid w:val="5B48289B"/>
    <w:rsid w:val="5B6F12A8"/>
    <w:rsid w:val="5C7D31D8"/>
    <w:rsid w:val="5E9B02FA"/>
    <w:rsid w:val="5F2636B2"/>
    <w:rsid w:val="5F394E92"/>
    <w:rsid w:val="61554B37"/>
    <w:rsid w:val="620409A7"/>
    <w:rsid w:val="63CB3AB3"/>
    <w:rsid w:val="647E5D3F"/>
    <w:rsid w:val="649C61C5"/>
    <w:rsid w:val="66F81DD8"/>
    <w:rsid w:val="676C6322"/>
    <w:rsid w:val="677B47B7"/>
    <w:rsid w:val="67C223E6"/>
    <w:rsid w:val="69A918EE"/>
    <w:rsid w:val="6E0A61A6"/>
    <w:rsid w:val="6E872169"/>
    <w:rsid w:val="6F234115"/>
    <w:rsid w:val="6F4F3D12"/>
    <w:rsid w:val="6F5E051A"/>
    <w:rsid w:val="6FD9651F"/>
    <w:rsid w:val="6FE70C3C"/>
    <w:rsid w:val="70CB11F2"/>
    <w:rsid w:val="71015D2D"/>
    <w:rsid w:val="72E91AD7"/>
    <w:rsid w:val="73610D05"/>
    <w:rsid w:val="73A5390D"/>
    <w:rsid w:val="748C0517"/>
    <w:rsid w:val="74C75943"/>
    <w:rsid w:val="76952CDD"/>
    <w:rsid w:val="76B86E8E"/>
    <w:rsid w:val="76FB5C9A"/>
    <w:rsid w:val="773C186D"/>
    <w:rsid w:val="77ED700C"/>
    <w:rsid w:val="77EF4B32"/>
    <w:rsid w:val="780600CD"/>
    <w:rsid w:val="78540E39"/>
    <w:rsid w:val="78670EE5"/>
    <w:rsid w:val="78E41B86"/>
    <w:rsid w:val="79305402"/>
    <w:rsid w:val="797541D7"/>
    <w:rsid w:val="79B37E4E"/>
    <w:rsid w:val="7AB07421"/>
    <w:rsid w:val="7AFD57B8"/>
    <w:rsid w:val="7B1A0118"/>
    <w:rsid w:val="7CCE4FD0"/>
    <w:rsid w:val="7D3E79C1"/>
    <w:rsid w:val="7D4A64A4"/>
    <w:rsid w:val="7D761851"/>
    <w:rsid w:val="7EAD3051"/>
    <w:rsid w:val="7EC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20" w:beforeLines="0" w:after="20" w:afterLines="0" w:line="400" w:lineRule="exact"/>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5958</Words>
  <Characters>6021</Characters>
  <Lines>0</Lines>
  <Paragraphs>0</Paragraphs>
  <TotalTime>0</TotalTime>
  <ScaleCrop>false</ScaleCrop>
  <LinksUpToDate>false</LinksUpToDate>
  <CharactersWithSpaces>6024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2022-05-31T02:37:00Z</dcterms:created>
  <dc:creator>Administrator</dc:creator>
  <cp:lastModifiedBy>Administrator</cp:lastModifiedBy>
  <cp:lastPrinted>2022-07-06T08:44:00Z</cp:lastPrinted>
  <dcterms:modified xsi:type="dcterms:W3CDTF">2022-07-19T01:49:51Z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AE7620A23B3244C38307B1DA9C5B80EB</vt:lpwstr>
  </property>
</Properties>
</file>