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31D6D1">
      <w:pPr>
        <w:adjustRightInd w:val="0"/>
        <w:snapToGrid w:val="0"/>
        <w:jc w:val="center"/>
        <w:outlineLvl w:val="0"/>
        <w:rPr>
          <w:rFonts w:ascii="方正小标宋_GBK" w:eastAsia="方正小标宋_GBK"/>
          <w:bCs/>
          <w:color w:val="auto"/>
          <w:sz w:val="72"/>
          <w:szCs w:val="72"/>
        </w:rPr>
      </w:pPr>
      <w:bookmarkStart w:id="17" w:name="_GoBack"/>
      <w:bookmarkEnd w:id="17"/>
    </w:p>
    <w:p w14:paraId="6BB8FCEC">
      <w:pPr>
        <w:adjustRightInd w:val="0"/>
        <w:snapToGrid w:val="0"/>
        <w:jc w:val="center"/>
        <w:outlineLvl w:val="0"/>
        <w:rPr>
          <w:rFonts w:ascii="方正小标宋_GBK" w:eastAsia="方正小标宋_GBK"/>
          <w:bCs/>
          <w:color w:val="auto"/>
          <w:sz w:val="72"/>
          <w:szCs w:val="72"/>
        </w:rPr>
      </w:pPr>
      <w:r>
        <w:rPr>
          <w:rFonts w:hint="eastAsia" w:ascii="方正小标宋_GBK" w:eastAsia="方正小标宋_GBK"/>
          <w:bCs/>
          <w:color w:val="auto"/>
          <w:sz w:val="72"/>
          <w:szCs w:val="72"/>
        </w:rPr>
        <w:t>建设项目环境影响报告表</w:t>
      </w:r>
    </w:p>
    <w:p w14:paraId="7EB7B246">
      <w:pPr>
        <w:adjustRightInd w:val="0"/>
        <w:snapToGrid w:val="0"/>
        <w:spacing w:beforeLines="80"/>
        <w:jc w:val="center"/>
        <w:rPr>
          <w:rFonts w:ascii="楷体_GB2312" w:eastAsia="楷体_GB2312"/>
          <w:bCs/>
          <w:color w:val="auto"/>
          <w:sz w:val="48"/>
          <w:szCs w:val="48"/>
        </w:rPr>
      </w:pPr>
      <w:r>
        <w:rPr>
          <w:rFonts w:hint="eastAsia" w:ascii="楷体_GB2312" w:eastAsia="楷体_GB2312"/>
          <w:bCs/>
          <w:color w:val="auto"/>
          <w:sz w:val="48"/>
          <w:szCs w:val="48"/>
        </w:rPr>
        <w:t>（生态影响类）</w:t>
      </w:r>
    </w:p>
    <w:p w14:paraId="3388F98F">
      <w:pPr>
        <w:adjustRightInd w:val="0"/>
        <w:snapToGrid w:val="0"/>
        <w:spacing w:line="288" w:lineRule="auto"/>
        <w:jc w:val="center"/>
        <w:rPr>
          <w:rFonts w:ascii="华文仿宋" w:hAnsi="华文仿宋" w:eastAsia="华文仿宋" w:cs="华文仿宋"/>
          <w:color w:val="auto"/>
          <w:kern w:val="44"/>
          <w:sz w:val="44"/>
          <w:szCs w:val="44"/>
        </w:rPr>
      </w:pPr>
      <w:bookmarkStart w:id="0" w:name="_Hlk57883728"/>
    </w:p>
    <w:p w14:paraId="561356B0">
      <w:pPr>
        <w:jc w:val="center"/>
        <w:rPr>
          <w:rFonts w:eastAsia="仿宋"/>
          <w:color w:val="auto"/>
          <w:sz w:val="52"/>
          <w:szCs w:val="52"/>
        </w:rPr>
      </w:pPr>
    </w:p>
    <w:p w14:paraId="27FF8A5A">
      <w:pPr>
        <w:ind w:firstLine="1040"/>
        <w:rPr>
          <w:rFonts w:eastAsia="仿宋"/>
          <w:color w:val="auto"/>
          <w:sz w:val="44"/>
          <w:szCs w:val="44"/>
        </w:rPr>
      </w:pPr>
    </w:p>
    <w:p w14:paraId="03442DD5">
      <w:pPr>
        <w:ind w:firstLine="1040"/>
        <w:rPr>
          <w:rFonts w:eastAsia="仿宋"/>
          <w:color w:val="auto"/>
          <w:sz w:val="44"/>
          <w:szCs w:val="44"/>
        </w:rPr>
      </w:pPr>
    </w:p>
    <w:p w14:paraId="701DE8BE">
      <w:pPr>
        <w:ind w:firstLine="1040"/>
        <w:rPr>
          <w:rFonts w:eastAsia="仿宋"/>
          <w:color w:val="auto"/>
          <w:sz w:val="44"/>
          <w:szCs w:val="44"/>
        </w:rPr>
      </w:pPr>
    </w:p>
    <w:p w14:paraId="09041D07">
      <w:pPr>
        <w:ind w:firstLine="1040"/>
        <w:rPr>
          <w:rFonts w:eastAsia="仿宋"/>
          <w:color w:val="auto"/>
          <w:sz w:val="44"/>
          <w:szCs w:val="44"/>
        </w:rPr>
      </w:pPr>
    </w:p>
    <w:bookmarkEnd w:id="0"/>
    <w:p w14:paraId="72B25CC9">
      <w:pPr>
        <w:spacing w:line="288" w:lineRule="auto"/>
        <w:ind w:firstLine="1037"/>
        <w:rPr>
          <w:rFonts w:ascii="宋体" w:hAnsi="宋体" w:cs="宋体"/>
          <w:b/>
          <w:bCs/>
          <w:color w:val="auto"/>
          <w:sz w:val="36"/>
          <w:szCs w:val="36"/>
          <w:u w:val="single"/>
        </w:rPr>
      </w:pPr>
      <w:r>
        <w:rPr>
          <w:rFonts w:hint="eastAsia" w:ascii="宋体" w:hAnsi="宋体" w:cs="宋体"/>
          <w:b/>
          <w:bCs/>
          <w:color w:val="auto"/>
          <w:sz w:val="36"/>
          <w:szCs w:val="36"/>
        </w:rPr>
        <w:t>项目名称：</w:t>
      </w:r>
      <w:r>
        <w:rPr>
          <w:rFonts w:hint="eastAsia" w:ascii="宋体" w:hAnsi="宋体" w:cs="宋体"/>
          <w:b/>
          <w:bCs/>
          <w:color w:val="auto"/>
          <w:sz w:val="36"/>
          <w:szCs w:val="36"/>
          <w:u w:val="single"/>
        </w:rPr>
        <w:t xml:space="preserve">李家壕煤矿二号回风立井项目      </w:t>
      </w:r>
    </w:p>
    <w:p w14:paraId="4E6E4448">
      <w:pPr>
        <w:spacing w:line="288" w:lineRule="auto"/>
        <w:ind w:firstLine="1040"/>
        <w:rPr>
          <w:rFonts w:ascii="宋体" w:hAnsi="宋体" w:cs="宋体"/>
          <w:b/>
          <w:bCs/>
          <w:color w:val="auto"/>
          <w:sz w:val="36"/>
          <w:szCs w:val="36"/>
          <w:u w:val="single"/>
        </w:rPr>
      </w:pPr>
      <w:r>
        <w:rPr>
          <w:rFonts w:hint="eastAsia" w:ascii="宋体" w:hAnsi="宋体" w:cs="宋体"/>
          <w:b/>
          <w:bCs/>
          <w:color w:val="auto"/>
          <w:sz w:val="36"/>
          <w:szCs w:val="36"/>
        </w:rPr>
        <w:t>建设单位（盖章）：</w:t>
      </w:r>
      <w:r>
        <w:rPr>
          <w:rFonts w:hint="eastAsia" w:ascii="宋体" w:hAnsi="宋体" w:cs="宋体"/>
          <w:b/>
          <w:bCs/>
          <w:color w:val="auto"/>
          <w:sz w:val="36"/>
          <w:szCs w:val="36"/>
          <w:u w:val="single"/>
        </w:rPr>
        <w:t>国能包头能源有限责任公司</w:t>
      </w:r>
    </w:p>
    <w:p w14:paraId="74FAA072">
      <w:pPr>
        <w:spacing w:line="288" w:lineRule="auto"/>
        <w:ind w:firstLine="4312" w:firstLineChars="1193"/>
        <w:rPr>
          <w:rFonts w:ascii="宋体" w:hAnsi="宋体" w:cs="宋体"/>
          <w:b/>
          <w:bCs/>
          <w:color w:val="auto"/>
          <w:sz w:val="36"/>
          <w:szCs w:val="36"/>
          <w:u w:val="single"/>
        </w:rPr>
      </w:pPr>
      <w:r>
        <w:rPr>
          <w:rFonts w:hint="eastAsia" w:ascii="宋体" w:hAnsi="宋体" w:cs="宋体"/>
          <w:b/>
          <w:bCs/>
          <w:color w:val="auto"/>
          <w:sz w:val="36"/>
          <w:szCs w:val="36"/>
          <w:u w:val="single"/>
        </w:rPr>
        <w:t xml:space="preserve">李家壕煤矿              </w:t>
      </w:r>
    </w:p>
    <w:p w14:paraId="6AA180EC">
      <w:pPr>
        <w:spacing w:line="288" w:lineRule="auto"/>
        <w:ind w:firstLine="1040"/>
        <w:rPr>
          <w:rFonts w:ascii="仿宋_GB2312" w:eastAsia="仿宋_GB2312"/>
          <w:color w:val="auto"/>
          <w:sz w:val="36"/>
          <w:szCs w:val="36"/>
          <w:u w:val="single"/>
        </w:rPr>
      </w:pPr>
      <w:r>
        <w:rPr>
          <w:rFonts w:hint="eastAsia" w:ascii="宋体" w:hAnsi="宋体" w:cs="宋体"/>
          <w:b/>
          <w:bCs/>
          <w:color w:val="auto"/>
          <w:sz w:val="36"/>
          <w:szCs w:val="36"/>
        </w:rPr>
        <w:t>编制日期：</w:t>
      </w:r>
      <w:r>
        <w:rPr>
          <w:rFonts w:hint="eastAsia" w:ascii="宋体" w:hAnsi="宋体" w:cs="宋体"/>
          <w:b/>
          <w:bCs/>
          <w:color w:val="auto"/>
          <w:sz w:val="36"/>
          <w:szCs w:val="36"/>
          <w:u w:val="single"/>
        </w:rPr>
        <w:t xml:space="preserve">          2025年</w:t>
      </w:r>
      <w:r>
        <w:rPr>
          <w:rFonts w:hint="eastAsia" w:ascii="宋体" w:hAnsi="宋体" w:cs="宋体"/>
          <w:b/>
          <w:bCs/>
          <w:color w:val="auto"/>
          <w:sz w:val="36"/>
          <w:szCs w:val="36"/>
          <w:u w:val="single"/>
          <w:lang w:val="en-US" w:eastAsia="zh-CN"/>
        </w:rPr>
        <w:t>5</w:t>
      </w:r>
      <w:r>
        <w:rPr>
          <w:rFonts w:hint="eastAsia" w:ascii="宋体" w:hAnsi="宋体" w:cs="宋体"/>
          <w:b/>
          <w:bCs/>
          <w:color w:val="auto"/>
          <w:sz w:val="36"/>
          <w:szCs w:val="36"/>
          <w:u w:val="single"/>
        </w:rPr>
        <w:t xml:space="preserve">月            </w:t>
      </w:r>
    </w:p>
    <w:p w14:paraId="6985266C">
      <w:pPr>
        <w:adjustRightInd w:val="0"/>
        <w:snapToGrid w:val="0"/>
        <w:spacing w:line="288" w:lineRule="auto"/>
        <w:ind w:firstLine="1040"/>
        <w:rPr>
          <w:rFonts w:ascii="仿宋_GB2312" w:eastAsia="仿宋_GB2312"/>
          <w:color w:val="auto"/>
          <w:sz w:val="36"/>
          <w:szCs w:val="36"/>
          <w:u w:val="single"/>
        </w:rPr>
      </w:pPr>
    </w:p>
    <w:p w14:paraId="17821937">
      <w:pPr>
        <w:adjustRightInd w:val="0"/>
        <w:snapToGrid w:val="0"/>
        <w:spacing w:line="288" w:lineRule="auto"/>
        <w:ind w:firstLine="1040"/>
        <w:rPr>
          <w:rFonts w:ascii="仿宋_GB2312" w:eastAsia="仿宋_GB2312"/>
          <w:color w:val="auto"/>
          <w:sz w:val="36"/>
          <w:szCs w:val="36"/>
        </w:rPr>
      </w:pPr>
    </w:p>
    <w:p w14:paraId="05DD1D44">
      <w:pPr>
        <w:adjustRightInd w:val="0"/>
        <w:snapToGrid w:val="0"/>
        <w:spacing w:line="288" w:lineRule="auto"/>
        <w:ind w:firstLine="1040"/>
        <w:rPr>
          <w:rFonts w:ascii="仿宋_GB2312" w:eastAsia="仿宋_GB2312"/>
          <w:color w:val="auto"/>
          <w:sz w:val="36"/>
          <w:szCs w:val="36"/>
        </w:rPr>
      </w:pPr>
    </w:p>
    <w:p w14:paraId="2D70930D">
      <w:pPr>
        <w:adjustRightInd w:val="0"/>
        <w:snapToGrid w:val="0"/>
        <w:spacing w:line="288" w:lineRule="auto"/>
        <w:ind w:firstLine="1040"/>
        <w:rPr>
          <w:rFonts w:ascii="仿宋_GB2312" w:eastAsia="仿宋_GB2312"/>
          <w:color w:val="auto"/>
          <w:sz w:val="36"/>
          <w:szCs w:val="36"/>
        </w:rPr>
      </w:pPr>
    </w:p>
    <w:p w14:paraId="0632BB38">
      <w:pPr>
        <w:adjustRightInd w:val="0"/>
        <w:snapToGrid w:val="0"/>
        <w:spacing w:line="288" w:lineRule="auto"/>
        <w:ind w:firstLine="1040"/>
        <w:rPr>
          <w:rFonts w:ascii="仿宋_GB2312" w:eastAsia="仿宋_GB2312"/>
          <w:color w:val="auto"/>
          <w:sz w:val="36"/>
          <w:szCs w:val="36"/>
        </w:rPr>
      </w:pPr>
    </w:p>
    <w:p w14:paraId="43881D17">
      <w:pPr>
        <w:adjustRightInd w:val="0"/>
        <w:snapToGrid w:val="0"/>
        <w:spacing w:line="288" w:lineRule="auto"/>
        <w:jc w:val="center"/>
        <w:rPr>
          <w:rFonts w:ascii="仿宋_GB2312" w:eastAsia="仿宋_GB2312"/>
          <w:color w:val="auto"/>
          <w:sz w:val="36"/>
          <w:szCs w:val="36"/>
        </w:rPr>
        <w:sectPr>
          <w:headerReference r:id="rId3" w:type="default"/>
          <w:footerReference r:id="rId4" w:type="default"/>
          <w:footerReference r:id="rId5" w:type="even"/>
          <w:pgSz w:w="11906" w:h="16838"/>
          <w:pgMar w:top="1701" w:right="1531" w:bottom="1701" w:left="1531" w:header="851" w:footer="1077" w:gutter="0"/>
          <w:pgNumType w:fmt="numberInDash" w:start="1"/>
          <w:cols w:space="720" w:num="1"/>
          <w:docGrid w:linePitch="312" w:charSpace="0"/>
        </w:sectPr>
      </w:pPr>
      <w:r>
        <w:rPr>
          <w:rFonts w:hint="eastAsia" w:ascii="楷体_GB2312" w:eastAsia="楷体_GB2312"/>
          <w:color w:val="auto"/>
          <w:sz w:val="36"/>
          <w:szCs w:val="36"/>
        </w:rPr>
        <w:t>中华人民共和国生态环境部</w:t>
      </w:r>
    </w:p>
    <w:p w14:paraId="4B0F2CAB">
      <w:pPr>
        <w:pStyle w:val="25"/>
        <w:spacing w:beforeLines="100" w:beforeAutospacing="0" w:afterLines="100" w:afterAutospacing="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一、建设项目基本情况</w:t>
      </w:r>
    </w:p>
    <w:tbl>
      <w:tblPr>
        <w:tblStyle w:val="29"/>
        <w:tblW w:w="9039"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71"/>
        <w:gridCol w:w="2698"/>
        <w:gridCol w:w="1832"/>
        <w:gridCol w:w="2938"/>
      </w:tblGrid>
      <w:tr w14:paraId="711E07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44E43A62">
            <w:pPr>
              <w:adjustRightInd w:val="0"/>
              <w:snapToGrid w:val="0"/>
              <w:jc w:val="center"/>
              <w:rPr>
                <w:color w:val="auto"/>
                <w:sz w:val="24"/>
              </w:rPr>
            </w:pPr>
            <w:r>
              <w:rPr>
                <w:color w:val="auto"/>
                <w:sz w:val="24"/>
              </w:rPr>
              <w:t>建设项目名称</w:t>
            </w:r>
          </w:p>
        </w:tc>
        <w:tc>
          <w:tcPr>
            <w:tcW w:w="7468" w:type="dxa"/>
            <w:gridSpan w:val="3"/>
            <w:vAlign w:val="center"/>
          </w:tcPr>
          <w:p w14:paraId="0BEA073F">
            <w:pPr>
              <w:adjustRightInd w:val="0"/>
              <w:snapToGrid w:val="0"/>
              <w:jc w:val="center"/>
              <w:rPr>
                <w:color w:val="auto"/>
                <w:sz w:val="24"/>
              </w:rPr>
            </w:pPr>
            <w:bookmarkStart w:id="1" w:name="OLE_LINK7"/>
            <w:bookmarkStart w:id="2" w:name="OLE_LINK6"/>
            <w:bookmarkStart w:id="3" w:name="OLE_LINK8"/>
            <w:r>
              <w:rPr>
                <w:color w:val="auto"/>
                <w:sz w:val="24"/>
              </w:rPr>
              <w:t>李家壕煤矿二号回风立井项目</w:t>
            </w:r>
            <w:bookmarkEnd w:id="1"/>
            <w:bookmarkEnd w:id="2"/>
            <w:bookmarkEnd w:id="3"/>
          </w:p>
        </w:tc>
      </w:tr>
      <w:tr w14:paraId="00124C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3AAA5708">
            <w:pPr>
              <w:adjustRightInd w:val="0"/>
              <w:snapToGrid w:val="0"/>
              <w:jc w:val="center"/>
              <w:rPr>
                <w:color w:val="auto"/>
                <w:sz w:val="24"/>
              </w:rPr>
            </w:pPr>
            <w:r>
              <w:rPr>
                <w:color w:val="auto"/>
                <w:sz w:val="24"/>
              </w:rPr>
              <w:t>项目代码</w:t>
            </w:r>
          </w:p>
        </w:tc>
        <w:tc>
          <w:tcPr>
            <w:tcW w:w="7468" w:type="dxa"/>
            <w:gridSpan w:val="3"/>
            <w:vAlign w:val="center"/>
          </w:tcPr>
          <w:p w14:paraId="4555651A">
            <w:pPr>
              <w:adjustRightInd w:val="0"/>
              <w:snapToGrid w:val="0"/>
              <w:jc w:val="center"/>
              <w:rPr>
                <w:color w:val="auto"/>
                <w:sz w:val="24"/>
              </w:rPr>
            </w:pPr>
            <w:r>
              <w:rPr>
                <w:rFonts w:hint="eastAsia"/>
                <w:color w:val="auto"/>
                <w:sz w:val="24"/>
              </w:rPr>
              <w:t>2205</w:t>
            </w:r>
            <w:r>
              <w:rPr>
                <w:color w:val="auto"/>
                <w:sz w:val="24"/>
              </w:rPr>
              <w:t>-150</w:t>
            </w:r>
            <w:r>
              <w:rPr>
                <w:rFonts w:hint="eastAsia"/>
                <w:color w:val="auto"/>
                <w:sz w:val="24"/>
              </w:rPr>
              <w:t>602</w:t>
            </w:r>
            <w:r>
              <w:rPr>
                <w:color w:val="auto"/>
                <w:sz w:val="24"/>
              </w:rPr>
              <w:t>-</w:t>
            </w:r>
            <w:r>
              <w:rPr>
                <w:rFonts w:hint="eastAsia"/>
                <w:color w:val="auto"/>
                <w:sz w:val="24"/>
              </w:rPr>
              <w:t>60</w:t>
            </w:r>
            <w:r>
              <w:rPr>
                <w:color w:val="auto"/>
                <w:sz w:val="24"/>
              </w:rPr>
              <w:t>-0</w:t>
            </w:r>
            <w:r>
              <w:rPr>
                <w:rFonts w:hint="eastAsia"/>
                <w:color w:val="auto"/>
                <w:sz w:val="24"/>
              </w:rPr>
              <w:t>1</w:t>
            </w:r>
            <w:r>
              <w:rPr>
                <w:color w:val="auto"/>
                <w:sz w:val="24"/>
              </w:rPr>
              <w:t>-</w:t>
            </w:r>
            <w:r>
              <w:rPr>
                <w:rFonts w:hint="eastAsia"/>
                <w:color w:val="auto"/>
                <w:sz w:val="24"/>
              </w:rPr>
              <w:t>732567</w:t>
            </w:r>
          </w:p>
        </w:tc>
      </w:tr>
      <w:tr w14:paraId="6F82A8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57E1BF72">
            <w:pPr>
              <w:adjustRightInd w:val="0"/>
              <w:snapToGrid w:val="0"/>
              <w:jc w:val="center"/>
              <w:rPr>
                <w:color w:val="auto"/>
                <w:sz w:val="24"/>
              </w:rPr>
            </w:pPr>
            <w:bookmarkStart w:id="4" w:name="_Hlk195087465"/>
            <w:r>
              <w:rPr>
                <w:color w:val="auto"/>
                <w:sz w:val="24"/>
              </w:rPr>
              <w:t>建设单位</w:t>
            </w:r>
          </w:p>
          <w:p w14:paraId="3DDE9D9B">
            <w:pPr>
              <w:adjustRightInd w:val="0"/>
              <w:snapToGrid w:val="0"/>
              <w:jc w:val="center"/>
              <w:rPr>
                <w:color w:val="auto"/>
                <w:sz w:val="24"/>
              </w:rPr>
            </w:pPr>
            <w:r>
              <w:rPr>
                <w:color w:val="auto"/>
                <w:sz w:val="24"/>
              </w:rPr>
              <w:t>联系人</w:t>
            </w:r>
          </w:p>
        </w:tc>
        <w:tc>
          <w:tcPr>
            <w:tcW w:w="2698" w:type="dxa"/>
            <w:vAlign w:val="center"/>
          </w:tcPr>
          <w:p w14:paraId="5BE4A206">
            <w:pPr>
              <w:adjustRightInd w:val="0"/>
              <w:snapToGrid w:val="0"/>
              <w:jc w:val="center"/>
              <w:rPr>
                <w:color w:val="auto"/>
                <w:sz w:val="24"/>
              </w:rPr>
            </w:pPr>
            <w:bookmarkStart w:id="5" w:name="OLE_LINK2"/>
            <w:bookmarkStart w:id="6" w:name="OLE_LINK1"/>
            <w:r>
              <w:rPr>
                <w:color w:val="auto"/>
                <w:sz w:val="24"/>
              </w:rPr>
              <w:t>宋紫妹</w:t>
            </w:r>
            <w:bookmarkEnd w:id="5"/>
            <w:bookmarkEnd w:id="6"/>
          </w:p>
        </w:tc>
        <w:tc>
          <w:tcPr>
            <w:tcW w:w="1832" w:type="dxa"/>
            <w:vAlign w:val="center"/>
          </w:tcPr>
          <w:p w14:paraId="1EE8E0C0">
            <w:pPr>
              <w:adjustRightInd w:val="0"/>
              <w:snapToGrid w:val="0"/>
              <w:jc w:val="center"/>
              <w:rPr>
                <w:color w:val="auto"/>
                <w:sz w:val="24"/>
              </w:rPr>
            </w:pPr>
            <w:r>
              <w:rPr>
                <w:color w:val="auto"/>
                <w:sz w:val="24"/>
              </w:rPr>
              <w:t>联系方式</w:t>
            </w:r>
          </w:p>
        </w:tc>
        <w:tc>
          <w:tcPr>
            <w:tcW w:w="2938" w:type="dxa"/>
            <w:vAlign w:val="center"/>
          </w:tcPr>
          <w:p w14:paraId="4E1CB711">
            <w:pPr>
              <w:adjustRightInd w:val="0"/>
              <w:snapToGrid w:val="0"/>
              <w:jc w:val="center"/>
              <w:rPr>
                <w:color w:val="auto"/>
                <w:sz w:val="24"/>
              </w:rPr>
            </w:pPr>
            <w:r>
              <w:rPr>
                <w:color w:val="auto"/>
                <w:sz w:val="24"/>
              </w:rPr>
              <w:t>15047337940</w:t>
            </w:r>
          </w:p>
        </w:tc>
      </w:tr>
      <w:bookmarkEnd w:id="4"/>
      <w:tr w14:paraId="3D8175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35DF5D26">
            <w:pPr>
              <w:adjustRightInd w:val="0"/>
              <w:snapToGrid w:val="0"/>
              <w:jc w:val="center"/>
              <w:rPr>
                <w:color w:val="auto"/>
                <w:sz w:val="24"/>
              </w:rPr>
            </w:pPr>
            <w:r>
              <w:rPr>
                <w:color w:val="auto"/>
                <w:sz w:val="24"/>
              </w:rPr>
              <w:t>建设地点</w:t>
            </w:r>
          </w:p>
        </w:tc>
        <w:tc>
          <w:tcPr>
            <w:tcW w:w="7468" w:type="dxa"/>
            <w:gridSpan w:val="3"/>
            <w:vAlign w:val="center"/>
          </w:tcPr>
          <w:p w14:paraId="214025F5">
            <w:pPr>
              <w:adjustRightInd w:val="0"/>
              <w:snapToGrid w:val="0"/>
              <w:jc w:val="center"/>
              <w:rPr>
                <w:color w:val="auto"/>
                <w:sz w:val="24"/>
              </w:rPr>
            </w:pPr>
            <w:r>
              <w:rPr>
                <w:color w:val="auto"/>
                <w:sz w:val="24"/>
              </w:rPr>
              <w:t>内蒙古自治区鄂尔多斯市东胜区罕台镇查干</w:t>
            </w:r>
            <w:r>
              <w:rPr>
                <w:rFonts w:hint="eastAsia"/>
                <w:color w:val="auto"/>
                <w:sz w:val="24"/>
              </w:rPr>
              <w:t>布拉格</w:t>
            </w:r>
            <w:r>
              <w:rPr>
                <w:color w:val="auto"/>
                <w:sz w:val="24"/>
              </w:rPr>
              <w:t>村</w:t>
            </w:r>
            <w:r>
              <w:rPr>
                <w:rFonts w:hint="eastAsia"/>
                <w:color w:val="auto"/>
                <w:sz w:val="24"/>
              </w:rPr>
              <w:t>李家壕煤矿</w:t>
            </w:r>
          </w:p>
        </w:tc>
      </w:tr>
      <w:tr w14:paraId="24C67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22BDE672">
            <w:pPr>
              <w:adjustRightInd w:val="0"/>
              <w:snapToGrid w:val="0"/>
              <w:jc w:val="center"/>
              <w:rPr>
                <w:color w:val="auto"/>
                <w:sz w:val="24"/>
              </w:rPr>
            </w:pPr>
            <w:r>
              <w:rPr>
                <w:color w:val="auto"/>
                <w:sz w:val="24"/>
              </w:rPr>
              <w:t>地理坐标</w:t>
            </w:r>
          </w:p>
        </w:tc>
        <w:tc>
          <w:tcPr>
            <w:tcW w:w="7468" w:type="dxa"/>
            <w:gridSpan w:val="3"/>
            <w:vAlign w:val="center"/>
          </w:tcPr>
          <w:p w14:paraId="379F4814">
            <w:pPr>
              <w:adjustRightInd w:val="0"/>
              <w:snapToGrid w:val="0"/>
              <w:jc w:val="center"/>
              <w:rPr>
                <w:color w:val="auto"/>
                <w:sz w:val="24"/>
              </w:rPr>
            </w:pPr>
            <w:r>
              <w:rPr>
                <w:color w:val="auto"/>
                <w:kern w:val="0"/>
                <w:sz w:val="24"/>
              </w:rPr>
              <w:t>1</w:t>
            </w:r>
            <w:r>
              <w:rPr>
                <w:rFonts w:hint="eastAsia"/>
                <w:color w:val="auto"/>
                <w:kern w:val="0"/>
                <w:sz w:val="24"/>
              </w:rPr>
              <w:t>10</w:t>
            </w:r>
            <w:r>
              <w:rPr>
                <w:color w:val="auto"/>
                <w:kern w:val="0"/>
                <w:sz w:val="24"/>
              </w:rPr>
              <w:t>°</w:t>
            </w:r>
            <w:r>
              <w:rPr>
                <w:rFonts w:hint="eastAsia"/>
                <w:color w:val="auto"/>
                <w:kern w:val="0"/>
                <w:sz w:val="24"/>
              </w:rPr>
              <w:t>1</w:t>
            </w:r>
            <w:r>
              <w:rPr>
                <w:color w:val="auto"/>
                <w:kern w:val="0"/>
                <w:sz w:val="24"/>
              </w:rPr>
              <w:t>′</w:t>
            </w:r>
            <w:r>
              <w:rPr>
                <w:rFonts w:hint="eastAsia"/>
                <w:color w:val="auto"/>
                <w:kern w:val="0"/>
                <w:sz w:val="24"/>
              </w:rPr>
              <w:t>33.667</w:t>
            </w:r>
            <w:r>
              <w:rPr>
                <w:color w:val="auto"/>
                <w:kern w:val="0"/>
                <w:sz w:val="24"/>
              </w:rPr>
              <w:t>″，</w:t>
            </w:r>
            <w:r>
              <w:rPr>
                <w:rFonts w:hint="eastAsia"/>
                <w:color w:val="auto"/>
                <w:kern w:val="0"/>
                <w:sz w:val="24"/>
              </w:rPr>
              <w:t>39</w:t>
            </w:r>
            <w:r>
              <w:rPr>
                <w:color w:val="auto"/>
                <w:kern w:val="0"/>
                <w:sz w:val="24"/>
              </w:rPr>
              <w:t>°</w:t>
            </w:r>
            <w:r>
              <w:rPr>
                <w:rFonts w:hint="eastAsia"/>
                <w:color w:val="auto"/>
                <w:kern w:val="0"/>
                <w:sz w:val="24"/>
              </w:rPr>
              <w:t>44</w:t>
            </w:r>
            <w:r>
              <w:rPr>
                <w:color w:val="auto"/>
                <w:kern w:val="0"/>
                <w:sz w:val="24"/>
              </w:rPr>
              <w:t>′</w:t>
            </w:r>
            <w:r>
              <w:rPr>
                <w:rFonts w:hint="eastAsia"/>
                <w:color w:val="auto"/>
                <w:kern w:val="0"/>
                <w:sz w:val="24"/>
              </w:rPr>
              <w:t>52.315</w:t>
            </w:r>
            <w:r>
              <w:rPr>
                <w:color w:val="auto"/>
                <w:kern w:val="0"/>
                <w:sz w:val="24"/>
              </w:rPr>
              <w:t>″</w:t>
            </w:r>
          </w:p>
        </w:tc>
      </w:tr>
      <w:tr w14:paraId="352763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320E6C19">
            <w:pPr>
              <w:adjustRightInd w:val="0"/>
              <w:snapToGrid w:val="0"/>
              <w:jc w:val="center"/>
              <w:rPr>
                <w:color w:val="auto"/>
                <w:sz w:val="24"/>
              </w:rPr>
            </w:pPr>
            <w:r>
              <w:rPr>
                <w:color w:val="auto"/>
                <w:sz w:val="24"/>
              </w:rPr>
              <w:t>建设项目</w:t>
            </w:r>
          </w:p>
          <w:p w14:paraId="53E56437">
            <w:pPr>
              <w:adjustRightInd w:val="0"/>
              <w:snapToGrid w:val="0"/>
              <w:jc w:val="center"/>
              <w:rPr>
                <w:color w:val="auto"/>
                <w:sz w:val="24"/>
              </w:rPr>
            </w:pPr>
            <w:r>
              <w:rPr>
                <w:color w:val="auto"/>
                <w:sz w:val="24"/>
              </w:rPr>
              <w:t>行业类别</w:t>
            </w:r>
          </w:p>
        </w:tc>
        <w:tc>
          <w:tcPr>
            <w:tcW w:w="2698" w:type="dxa"/>
            <w:vAlign w:val="center"/>
          </w:tcPr>
          <w:p w14:paraId="597DCD2C">
            <w:pPr>
              <w:adjustRightInd w:val="0"/>
              <w:snapToGrid w:val="0"/>
              <w:jc w:val="center"/>
              <w:rPr>
                <w:color w:val="auto"/>
                <w:sz w:val="24"/>
              </w:rPr>
            </w:pPr>
            <w:r>
              <w:rPr>
                <w:color w:val="auto"/>
                <w:sz w:val="24"/>
              </w:rPr>
              <w:t>“四、煤炭开采和洗选业06”中的“煤炭洗选、配煤；煤炭储存、集运；风井场地、瓦斯抽放站；矿区修复治理工程”</w:t>
            </w:r>
          </w:p>
        </w:tc>
        <w:tc>
          <w:tcPr>
            <w:tcW w:w="1832" w:type="dxa"/>
            <w:vAlign w:val="center"/>
          </w:tcPr>
          <w:p w14:paraId="22724368">
            <w:pPr>
              <w:adjustRightInd w:val="0"/>
              <w:snapToGrid w:val="0"/>
              <w:jc w:val="center"/>
              <w:rPr>
                <w:color w:val="auto"/>
                <w:sz w:val="24"/>
              </w:rPr>
            </w:pPr>
            <w:r>
              <w:rPr>
                <w:color w:val="auto"/>
                <w:sz w:val="24"/>
              </w:rPr>
              <w:t>用地面积（m</w:t>
            </w:r>
            <w:r>
              <w:rPr>
                <w:color w:val="auto"/>
                <w:sz w:val="24"/>
                <w:vertAlign w:val="superscript"/>
              </w:rPr>
              <w:t>2</w:t>
            </w:r>
            <w:r>
              <w:rPr>
                <w:color w:val="auto"/>
                <w:sz w:val="24"/>
              </w:rPr>
              <w:t>）</w:t>
            </w:r>
          </w:p>
        </w:tc>
        <w:tc>
          <w:tcPr>
            <w:tcW w:w="2938" w:type="dxa"/>
            <w:vAlign w:val="center"/>
          </w:tcPr>
          <w:p w14:paraId="3896BCF5">
            <w:pPr>
              <w:adjustRightInd w:val="0"/>
              <w:snapToGrid w:val="0"/>
              <w:jc w:val="center"/>
              <w:rPr>
                <w:color w:val="auto"/>
                <w:sz w:val="24"/>
              </w:rPr>
            </w:pPr>
            <w:r>
              <w:rPr>
                <w:color w:val="auto"/>
                <w:sz w:val="24"/>
              </w:rPr>
              <w:t>总用地面积：</w:t>
            </w:r>
            <w:r>
              <w:rPr>
                <w:rFonts w:hint="eastAsia"/>
                <w:color w:val="auto"/>
                <w:sz w:val="24"/>
              </w:rPr>
              <w:t>10771</w:t>
            </w:r>
          </w:p>
        </w:tc>
      </w:tr>
      <w:tr w14:paraId="3E3059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11FEE2A9">
            <w:pPr>
              <w:adjustRightInd w:val="0"/>
              <w:snapToGrid w:val="0"/>
              <w:jc w:val="center"/>
              <w:rPr>
                <w:color w:val="auto"/>
                <w:sz w:val="24"/>
              </w:rPr>
            </w:pPr>
            <w:r>
              <w:rPr>
                <w:color w:val="auto"/>
                <w:sz w:val="24"/>
              </w:rPr>
              <w:t>建设性质</w:t>
            </w:r>
          </w:p>
        </w:tc>
        <w:tc>
          <w:tcPr>
            <w:tcW w:w="2698" w:type="dxa"/>
            <w:vAlign w:val="center"/>
          </w:tcPr>
          <w:p w14:paraId="0312F0BB">
            <w:pPr>
              <w:adjustRightInd w:val="0"/>
              <w:snapToGrid w:val="0"/>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新建（迁建）</w:t>
            </w:r>
          </w:p>
          <w:p w14:paraId="1D77A092">
            <w:pPr>
              <w:adjustRightInd w:val="0"/>
              <w:snapToGrid w:val="0"/>
              <w:jc w:val="left"/>
              <w:rPr>
                <w:rFonts w:ascii="宋体" w:hAnsi="宋体" w:cs="宋体"/>
                <w:color w:val="auto"/>
                <w:sz w:val="24"/>
              </w:rPr>
            </w:pPr>
            <w:r>
              <w:rPr>
                <w:rFonts w:hint="eastAsia" w:ascii="宋体" w:hAnsi="宋体" w:cs="宋体"/>
                <w:color w:val="auto"/>
                <w:sz w:val="24"/>
              </w:rPr>
              <w:t>□改建</w:t>
            </w:r>
          </w:p>
          <w:p w14:paraId="441879CF">
            <w:pPr>
              <w:adjustRightInd w:val="0"/>
              <w:snapToGrid w:val="0"/>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扩建</w:t>
            </w:r>
          </w:p>
          <w:p w14:paraId="002D14AD">
            <w:pPr>
              <w:adjustRightInd w:val="0"/>
              <w:snapToGrid w:val="0"/>
              <w:jc w:val="left"/>
              <w:rPr>
                <w:color w:val="auto"/>
                <w:sz w:val="24"/>
              </w:rPr>
            </w:pPr>
            <w:r>
              <w:rPr>
                <w:rFonts w:hint="eastAsia" w:ascii="宋体" w:hAnsi="宋体" w:cs="宋体"/>
                <w:color w:val="auto"/>
                <w:sz w:val="24"/>
              </w:rPr>
              <w:t>□技术改造</w:t>
            </w:r>
          </w:p>
        </w:tc>
        <w:tc>
          <w:tcPr>
            <w:tcW w:w="1832" w:type="dxa"/>
            <w:vAlign w:val="center"/>
          </w:tcPr>
          <w:p w14:paraId="724D61E4">
            <w:pPr>
              <w:adjustRightInd w:val="0"/>
              <w:snapToGrid w:val="0"/>
              <w:jc w:val="center"/>
              <w:rPr>
                <w:color w:val="auto"/>
                <w:sz w:val="24"/>
              </w:rPr>
            </w:pPr>
            <w:r>
              <w:rPr>
                <w:color w:val="auto"/>
                <w:sz w:val="24"/>
              </w:rPr>
              <w:t>建设项目</w:t>
            </w:r>
          </w:p>
          <w:p w14:paraId="1BEB2B8A">
            <w:pPr>
              <w:adjustRightInd w:val="0"/>
              <w:snapToGrid w:val="0"/>
              <w:jc w:val="center"/>
              <w:rPr>
                <w:color w:val="auto"/>
                <w:sz w:val="24"/>
              </w:rPr>
            </w:pPr>
            <w:r>
              <w:rPr>
                <w:color w:val="auto"/>
                <w:sz w:val="24"/>
              </w:rPr>
              <w:t>申报情形</w:t>
            </w:r>
          </w:p>
        </w:tc>
        <w:tc>
          <w:tcPr>
            <w:tcW w:w="2938" w:type="dxa"/>
            <w:vAlign w:val="center"/>
          </w:tcPr>
          <w:p w14:paraId="03E52C19">
            <w:pPr>
              <w:adjustRightInd w:val="0"/>
              <w:snapToGrid w:val="0"/>
              <w:jc w:val="left"/>
              <w:rPr>
                <w:rFonts w:ascii="宋体" w:hAnsi="宋体" w:cs="宋体"/>
                <w:color w:val="auto"/>
                <w:sz w:val="24"/>
              </w:rPr>
            </w:pPr>
            <w:r>
              <w:rPr>
                <w:rFonts w:hint="eastAsia" w:ascii="宋体" w:hAnsi="宋体" w:cs="宋体"/>
                <w:color w:val="auto"/>
                <w:sz w:val="24"/>
              </w:rPr>
              <w:t>☑首次申报项目</w:t>
            </w:r>
          </w:p>
          <w:p w14:paraId="257DE89D">
            <w:pPr>
              <w:adjustRightInd w:val="0"/>
              <w:snapToGrid w:val="0"/>
              <w:jc w:val="left"/>
              <w:rPr>
                <w:rFonts w:ascii="宋体" w:hAnsi="宋体" w:cs="宋体"/>
                <w:color w:val="auto"/>
                <w:sz w:val="24"/>
              </w:rPr>
            </w:pPr>
            <w:r>
              <w:rPr>
                <w:rFonts w:hint="eastAsia" w:ascii="宋体" w:hAnsi="宋体" w:cs="宋体"/>
                <w:color w:val="auto"/>
                <w:sz w:val="24"/>
              </w:rPr>
              <w:t>□不予批准后再次申报项目</w:t>
            </w:r>
          </w:p>
          <w:p w14:paraId="14A02A90">
            <w:pPr>
              <w:adjustRightInd w:val="0"/>
              <w:snapToGrid w:val="0"/>
              <w:jc w:val="left"/>
              <w:rPr>
                <w:rFonts w:ascii="宋体" w:hAnsi="宋体" w:cs="宋体"/>
                <w:color w:val="auto"/>
                <w:sz w:val="24"/>
              </w:rPr>
            </w:pPr>
            <w:r>
              <w:rPr>
                <w:rFonts w:hint="eastAsia" w:ascii="宋体" w:hAnsi="宋体" w:cs="宋体"/>
                <w:color w:val="auto"/>
                <w:sz w:val="24"/>
              </w:rPr>
              <w:t>□超五年重新审核项目</w:t>
            </w:r>
          </w:p>
          <w:p w14:paraId="45203288">
            <w:pPr>
              <w:adjustRightInd w:val="0"/>
              <w:snapToGrid w:val="0"/>
              <w:rPr>
                <w:color w:val="auto"/>
                <w:sz w:val="24"/>
              </w:rPr>
            </w:pPr>
            <w:r>
              <w:rPr>
                <w:rFonts w:hint="eastAsia" w:ascii="宋体" w:hAnsi="宋体" w:cs="宋体"/>
                <w:color w:val="auto"/>
                <w:sz w:val="24"/>
              </w:rPr>
              <w:t>□重大变动重新报批项目</w:t>
            </w:r>
          </w:p>
        </w:tc>
      </w:tr>
      <w:tr w14:paraId="6BE45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35DF9892">
            <w:pPr>
              <w:adjustRightInd w:val="0"/>
              <w:snapToGrid w:val="0"/>
              <w:jc w:val="center"/>
              <w:rPr>
                <w:color w:val="auto"/>
                <w:sz w:val="24"/>
              </w:rPr>
            </w:pPr>
            <w:r>
              <w:rPr>
                <w:color w:val="auto"/>
                <w:sz w:val="24"/>
              </w:rPr>
              <w:t>项目审批（核准/备案）部门（选填）</w:t>
            </w:r>
          </w:p>
        </w:tc>
        <w:tc>
          <w:tcPr>
            <w:tcW w:w="2698" w:type="dxa"/>
            <w:vAlign w:val="center"/>
          </w:tcPr>
          <w:p w14:paraId="54A81681">
            <w:pPr>
              <w:adjustRightInd w:val="0"/>
              <w:snapToGrid w:val="0"/>
              <w:jc w:val="center"/>
              <w:rPr>
                <w:color w:val="auto"/>
                <w:sz w:val="24"/>
              </w:rPr>
            </w:pPr>
            <w:r>
              <w:rPr>
                <w:color w:val="auto"/>
                <w:sz w:val="24"/>
              </w:rPr>
              <w:t>鄂尔多斯市东胜区能源局</w:t>
            </w:r>
          </w:p>
        </w:tc>
        <w:tc>
          <w:tcPr>
            <w:tcW w:w="1832" w:type="dxa"/>
            <w:vAlign w:val="center"/>
          </w:tcPr>
          <w:p w14:paraId="2D3276E7">
            <w:pPr>
              <w:adjustRightInd w:val="0"/>
              <w:snapToGrid w:val="0"/>
              <w:jc w:val="center"/>
              <w:rPr>
                <w:color w:val="auto"/>
                <w:sz w:val="24"/>
              </w:rPr>
            </w:pPr>
            <w:r>
              <w:rPr>
                <w:color w:val="auto"/>
                <w:sz w:val="24"/>
              </w:rPr>
              <w:t>项目审批（核准/</w:t>
            </w:r>
          </w:p>
          <w:p w14:paraId="24AC6B68">
            <w:pPr>
              <w:adjustRightInd w:val="0"/>
              <w:snapToGrid w:val="0"/>
              <w:jc w:val="center"/>
              <w:rPr>
                <w:color w:val="auto"/>
                <w:sz w:val="24"/>
              </w:rPr>
            </w:pPr>
            <w:r>
              <w:rPr>
                <w:color w:val="auto"/>
                <w:sz w:val="24"/>
              </w:rPr>
              <w:t>备案）文号（选填）</w:t>
            </w:r>
          </w:p>
        </w:tc>
        <w:tc>
          <w:tcPr>
            <w:tcW w:w="2938" w:type="dxa"/>
            <w:vAlign w:val="center"/>
          </w:tcPr>
          <w:p w14:paraId="66196D71">
            <w:pPr>
              <w:adjustRightInd w:val="0"/>
              <w:snapToGrid w:val="0"/>
              <w:jc w:val="center"/>
              <w:rPr>
                <w:color w:val="auto"/>
                <w:sz w:val="24"/>
              </w:rPr>
            </w:pPr>
            <w:r>
              <w:rPr>
                <w:color w:val="auto"/>
                <w:sz w:val="24"/>
              </w:rPr>
              <w:t>/</w:t>
            </w:r>
          </w:p>
        </w:tc>
      </w:tr>
      <w:tr w14:paraId="03DAE8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1FB920D2">
            <w:pPr>
              <w:adjustRightInd w:val="0"/>
              <w:snapToGrid w:val="0"/>
              <w:jc w:val="center"/>
              <w:rPr>
                <w:color w:val="auto"/>
                <w:sz w:val="24"/>
              </w:rPr>
            </w:pPr>
            <w:r>
              <w:rPr>
                <w:color w:val="auto"/>
                <w:sz w:val="24"/>
              </w:rPr>
              <w:t>总投资（万元）</w:t>
            </w:r>
          </w:p>
        </w:tc>
        <w:tc>
          <w:tcPr>
            <w:tcW w:w="2698" w:type="dxa"/>
            <w:vAlign w:val="center"/>
          </w:tcPr>
          <w:p w14:paraId="59BC4132">
            <w:pPr>
              <w:adjustRightInd w:val="0"/>
              <w:snapToGrid w:val="0"/>
              <w:jc w:val="center"/>
              <w:rPr>
                <w:color w:val="auto"/>
                <w:sz w:val="24"/>
              </w:rPr>
            </w:pPr>
            <w:r>
              <w:rPr>
                <w:rFonts w:hint="eastAsia"/>
                <w:color w:val="auto"/>
                <w:sz w:val="24"/>
              </w:rPr>
              <w:t>6000</w:t>
            </w:r>
          </w:p>
        </w:tc>
        <w:tc>
          <w:tcPr>
            <w:tcW w:w="1832" w:type="dxa"/>
            <w:tcMar>
              <w:top w:w="16" w:type="dxa"/>
              <w:left w:w="16" w:type="dxa"/>
              <w:right w:w="16" w:type="dxa"/>
            </w:tcMar>
            <w:vAlign w:val="center"/>
          </w:tcPr>
          <w:p w14:paraId="0E1EFAA1">
            <w:pPr>
              <w:adjustRightInd w:val="0"/>
              <w:snapToGrid w:val="0"/>
              <w:jc w:val="center"/>
              <w:rPr>
                <w:color w:val="auto"/>
                <w:sz w:val="24"/>
              </w:rPr>
            </w:pPr>
            <w:r>
              <w:rPr>
                <w:color w:val="auto"/>
                <w:sz w:val="24"/>
              </w:rPr>
              <w:t>环保投资（万元）</w:t>
            </w:r>
          </w:p>
        </w:tc>
        <w:tc>
          <w:tcPr>
            <w:tcW w:w="2938" w:type="dxa"/>
            <w:vAlign w:val="center"/>
          </w:tcPr>
          <w:p w14:paraId="29F9EC5E">
            <w:pPr>
              <w:adjustRightInd w:val="0"/>
              <w:snapToGrid w:val="0"/>
              <w:jc w:val="center"/>
              <w:rPr>
                <w:color w:val="auto"/>
                <w:sz w:val="24"/>
              </w:rPr>
            </w:pPr>
            <w:r>
              <w:rPr>
                <w:rFonts w:hint="eastAsia"/>
                <w:bCs/>
                <w:color w:val="auto"/>
                <w:sz w:val="24"/>
              </w:rPr>
              <w:t>79.1</w:t>
            </w:r>
          </w:p>
        </w:tc>
      </w:tr>
      <w:tr w14:paraId="48783D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52CA374E">
            <w:pPr>
              <w:adjustRightInd w:val="0"/>
              <w:snapToGrid w:val="0"/>
              <w:jc w:val="center"/>
              <w:rPr>
                <w:color w:val="auto"/>
                <w:sz w:val="24"/>
              </w:rPr>
            </w:pPr>
            <w:r>
              <w:rPr>
                <w:color w:val="auto"/>
                <w:sz w:val="24"/>
              </w:rPr>
              <w:t>环保投资占比（%）</w:t>
            </w:r>
          </w:p>
        </w:tc>
        <w:tc>
          <w:tcPr>
            <w:tcW w:w="2698" w:type="dxa"/>
            <w:vAlign w:val="center"/>
          </w:tcPr>
          <w:p w14:paraId="41389679">
            <w:pPr>
              <w:adjustRightInd w:val="0"/>
              <w:snapToGrid w:val="0"/>
              <w:jc w:val="center"/>
              <w:rPr>
                <w:color w:val="auto"/>
                <w:sz w:val="24"/>
              </w:rPr>
            </w:pPr>
            <w:r>
              <w:rPr>
                <w:rFonts w:hint="eastAsia"/>
                <w:color w:val="auto"/>
                <w:sz w:val="24"/>
              </w:rPr>
              <w:t>1.32</w:t>
            </w:r>
          </w:p>
        </w:tc>
        <w:tc>
          <w:tcPr>
            <w:tcW w:w="1832" w:type="dxa"/>
            <w:tcMar>
              <w:top w:w="16" w:type="dxa"/>
              <w:left w:w="16" w:type="dxa"/>
              <w:right w:w="16" w:type="dxa"/>
            </w:tcMar>
            <w:vAlign w:val="center"/>
          </w:tcPr>
          <w:p w14:paraId="779C29BB">
            <w:pPr>
              <w:adjustRightInd w:val="0"/>
              <w:snapToGrid w:val="0"/>
              <w:jc w:val="center"/>
              <w:rPr>
                <w:color w:val="auto"/>
                <w:sz w:val="24"/>
              </w:rPr>
            </w:pPr>
            <w:r>
              <w:rPr>
                <w:color w:val="auto"/>
                <w:sz w:val="24"/>
              </w:rPr>
              <w:t>施工工期</w:t>
            </w:r>
          </w:p>
        </w:tc>
        <w:tc>
          <w:tcPr>
            <w:tcW w:w="2938" w:type="dxa"/>
            <w:vAlign w:val="center"/>
          </w:tcPr>
          <w:p w14:paraId="2196EEC3">
            <w:pPr>
              <w:adjustRightInd w:val="0"/>
              <w:snapToGrid w:val="0"/>
              <w:jc w:val="center"/>
              <w:rPr>
                <w:color w:val="auto"/>
                <w:sz w:val="24"/>
              </w:rPr>
            </w:pPr>
            <w:r>
              <w:rPr>
                <w:rFonts w:hint="eastAsia"/>
                <w:color w:val="auto"/>
                <w:sz w:val="24"/>
              </w:rPr>
              <w:t>21.5</w:t>
            </w:r>
            <w:r>
              <w:rPr>
                <w:color w:val="auto"/>
                <w:sz w:val="24"/>
              </w:rPr>
              <w:t>个月</w:t>
            </w:r>
          </w:p>
        </w:tc>
      </w:tr>
      <w:tr w14:paraId="3BEFA6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297CEEBD">
            <w:pPr>
              <w:adjustRightInd w:val="0"/>
              <w:snapToGrid w:val="0"/>
              <w:jc w:val="center"/>
              <w:rPr>
                <w:color w:val="auto"/>
                <w:sz w:val="24"/>
              </w:rPr>
            </w:pPr>
            <w:r>
              <w:rPr>
                <w:color w:val="auto"/>
                <w:sz w:val="24"/>
              </w:rPr>
              <w:t>是否开工建设</w:t>
            </w:r>
          </w:p>
        </w:tc>
        <w:tc>
          <w:tcPr>
            <w:tcW w:w="7468" w:type="dxa"/>
            <w:gridSpan w:val="3"/>
            <w:vAlign w:val="center"/>
          </w:tcPr>
          <w:p w14:paraId="7A130E5E">
            <w:pPr>
              <w:adjustRightInd w:val="0"/>
              <w:snapToGrid w:val="0"/>
              <w:ind w:firstLine="105"/>
              <w:jc w:val="left"/>
              <w:rPr>
                <w:rFonts w:ascii="宋体" w:hAnsi="宋体" w:cs="宋体"/>
                <w:color w:val="auto"/>
                <w:sz w:val="24"/>
              </w:rPr>
            </w:pPr>
            <w:r>
              <w:rPr>
                <w:rFonts w:hint="eastAsia" w:ascii="宋体" w:hAnsi="宋体" w:cs="宋体"/>
                <w:color w:val="auto"/>
                <w:sz w:val="24"/>
              </w:rPr>
              <w:t>☑否</w:t>
            </w:r>
          </w:p>
          <w:p w14:paraId="3D21EE6D">
            <w:pPr>
              <w:adjustRightInd w:val="0"/>
              <w:snapToGrid w:val="0"/>
              <w:ind w:firstLine="92"/>
              <w:jc w:val="left"/>
              <w:rPr>
                <w:color w:val="auto"/>
                <w:sz w:val="24"/>
              </w:rPr>
            </w:pPr>
            <w:r>
              <w:rPr>
                <w:rFonts w:hint="eastAsia" w:ascii="宋体" w:hAnsi="宋体" w:cs="宋体"/>
                <w:color w:val="auto"/>
                <w:sz w:val="24"/>
              </w:rPr>
              <w:t>□是：</w:t>
            </w:r>
            <w:r>
              <w:rPr>
                <w:rFonts w:hint="eastAsia" w:ascii="宋体" w:hAnsi="宋体" w:cs="宋体"/>
                <w:color w:val="auto"/>
                <w:sz w:val="24"/>
                <w:u w:val="single"/>
              </w:rPr>
              <w:t xml:space="preserve">                             </w:t>
            </w:r>
          </w:p>
        </w:tc>
      </w:tr>
      <w:tr w14:paraId="6B547F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1571" w:type="dxa"/>
            <w:tcMar>
              <w:top w:w="16" w:type="dxa"/>
              <w:left w:w="16" w:type="dxa"/>
              <w:right w:w="16" w:type="dxa"/>
            </w:tcMar>
            <w:vAlign w:val="center"/>
          </w:tcPr>
          <w:p w14:paraId="54401F72">
            <w:pPr>
              <w:autoSpaceDE w:val="0"/>
              <w:autoSpaceDN w:val="0"/>
              <w:adjustRightInd w:val="0"/>
              <w:snapToGrid w:val="0"/>
              <w:jc w:val="center"/>
              <w:rPr>
                <w:color w:val="auto"/>
                <w:kern w:val="0"/>
                <w:sz w:val="24"/>
              </w:rPr>
            </w:pPr>
            <w:r>
              <w:rPr>
                <w:color w:val="auto"/>
                <w:kern w:val="0"/>
                <w:sz w:val="24"/>
              </w:rPr>
              <w:t>专项评价设置</w:t>
            </w:r>
          </w:p>
          <w:p w14:paraId="579673FF">
            <w:pPr>
              <w:autoSpaceDE w:val="0"/>
              <w:autoSpaceDN w:val="0"/>
              <w:adjustRightInd w:val="0"/>
              <w:snapToGrid w:val="0"/>
              <w:jc w:val="center"/>
              <w:rPr>
                <w:color w:val="auto"/>
                <w:kern w:val="0"/>
                <w:sz w:val="24"/>
              </w:rPr>
            </w:pPr>
            <w:r>
              <w:rPr>
                <w:color w:val="auto"/>
                <w:kern w:val="0"/>
                <w:sz w:val="24"/>
              </w:rPr>
              <w:t>情况</w:t>
            </w:r>
          </w:p>
        </w:tc>
        <w:tc>
          <w:tcPr>
            <w:tcW w:w="7468" w:type="dxa"/>
            <w:gridSpan w:val="3"/>
            <w:tcMar>
              <w:top w:w="16" w:type="dxa"/>
              <w:left w:w="16" w:type="dxa"/>
              <w:right w:w="16" w:type="dxa"/>
            </w:tcMar>
            <w:vAlign w:val="center"/>
          </w:tcPr>
          <w:p w14:paraId="6E09CBC4">
            <w:pPr>
              <w:autoSpaceDE w:val="0"/>
              <w:autoSpaceDN w:val="0"/>
              <w:adjustRightInd w:val="0"/>
              <w:snapToGrid w:val="0"/>
              <w:jc w:val="center"/>
              <w:rPr>
                <w:color w:val="auto"/>
                <w:kern w:val="0"/>
                <w:sz w:val="24"/>
              </w:rPr>
            </w:pPr>
            <w:r>
              <w:rPr>
                <w:color w:val="auto"/>
                <w:kern w:val="0"/>
                <w:sz w:val="24"/>
              </w:rPr>
              <w:t>无</w:t>
            </w:r>
          </w:p>
        </w:tc>
      </w:tr>
      <w:tr w14:paraId="7B7960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9" w:hRule="atLeast"/>
        </w:trPr>
        <w:tc>
          <w:tcPr>
            <w:tcW w:w="1571" w:type="dxa"/>
            <w:tcMar>
              <w:top w:w="16" w:type="dxa"/>
              <w:left w:w="16" w:type="dxa"/>
              <w:right w:w="16" w:type="dxa"/>
            </w:tcMar>
            <w:vAlign w:val="center"/>
          </w:tcPr>
          <w:p w14:paraId="5D6B0FD3">
            <w:pPr>
              <w:autoSpaceDE w:val="0"/>
              <w:autoSpaceDN w:val="0"/>
              <w:adjustRightInd w:val="0"/>
              <w:snapToGrid w:val="0"/>
              <w:jc w:val="center"/>
              <w:rPr>
                <w:color w:val="auto"/>
                <w:kern w:val="0"/>
                <w:sz w:val="24"/>
              </w:rPr>
            </w:pPr>
            <w:r>
              <w:rPr>
                <w:color w:val="auto"/>
                <w:sz w:val="24"/>
              </w:rPr>
              <w:t>规划情况</w:t>
            </w:r>
          </w:p>
        </w:tc>
        <w:tc>
          <w:tcPr>
            <w:tcW w:w="7468" w:type="dxa"/>
            <w:gridSpan w:val="3"/>
            <w:tcMar>
              <w:top w:w="16" w:type="dxa"/>
              <w:left w:w="16" w:type="dxa"/>
              <w:right w:w="16" w:type="dxa"/>
            </w:tcMar>
            <w:vAlign w:val="center"/>
          </w:tcPr>
          <w:p w14:paraId="0D74CD02">
            <w:pPr>
              <w:autoSpaceDE w:val="0"/>
              <w:autoSpaceDN w:val="0"/>
              <w:adjustRightInd w:val="0"/>
              <w:snapToGrid w:val="0"/>
              <w:spacing w:line="500" w:lineRule="exact"/>
              <w:ind w:firstLine="480" w:firstLineChars="200"/>
              <w:rPr>
                <w:rFonts w:hint="default" w:eastAsia="宋体"/>
                <w:color w:val="auto"/>
                <w:kern w:val="0"/>
                <w:sz w:val="24"/>
                <w:lang w:val="en-US" w:eastAsia="zh-CN"/>
              </w:rPr>
            </w:pPr>
            <w:r>
              <w:rPr>
                <w:color w:val="auto"/>
                <w:kern w:val="0"/>
                <w:sz w:val="24"/>
              </w:rPr>
              <w:t>2007年</w:t>
            </w:r>
            <w:r>
              <w:rPr>
                <w:rFonts w:hint="eastAsia"/>
                <w:color w:val="auto"/>
                <w:kern w:val="0"/>
                <w:sz w:val="24"/>
              </w:rPr>
              <w:t>1</w:t>
            </w:r>
            <w:r>
              <w:rPr>
                <w:color w:val="auto"/>
                <w:kern w:val="0"/>
                <w:sz w:val="24"/>
              </w:rPr>
              <w:t>月</w:t>
            </w:r>
            <w:r>
              <w:rPr>
                <w:rFonts w:hint="eastAsia"/>
                <w:color w:val="auto"/>
                <w:kern w:val="0"/>
                <w:sz w:val="24"/>
              </w:rPr>
              <w:t>8</w:t>
            </w:r>
            <w:r>
              <w:rPr>
                <w:color w:val="auto"/>
                <w:kern w:val="0"/>
                <w:sz w:val="24"/>
              </w:rPr>
              <w:t>日，国家发展和改革委员会以“发改能源〔2007〕</w:t>
            </w:r>
            <w:r>
              <w:rPr>
                <w:rFonts w:hint="eastAsia"/>
                <w:color w:val="auto"/>
                <w:kern w:val="0"/>
                <w:sz w:val="24"/>
              </w:rPr>
              <w:t>32</w:t>
            </w:r>
            <w:r>
              <w:rPr>
                <w:color w:val="auto"/>
                <w:kern w:val="0"/>
                <w:sz w:val="24"/>
              </w:rPr>
              <w:t>号”批复了《鄂尔多斯</w:t>
            </w:r>
            <w:r>
              <w:rPr>
                <w:rFonts w:hint="eastAsia"/>
                <w:color w:val="auto"/>
                <w:kern w:val="0"/>
                <w:sz w:val="24"/>
              </w:rPr>
              <w:t>万利</w:t>
            </w:r>
            <w:r>
              <w:rPr>
                <w:color w:val="auto"/>
                <w:kern w:val="0"/>
                <w:sz w:val="24"/>
              </w:rPr>
              <w:t>矿区总体规划》</w:t>
            </w:r>
            <w:r>
              <w:rPr>
                <w:rFonts w:hint="eastAsia"/>
                <w:color w:val="auto"/>
                <w:kern w:val="0"/>
                <w:sz w:val="24"/>
                <w:lang w:eastAsia="zh-CN"/>
              </w:rPr>
              <w:t>（</w:t>
            </w:r>
            <w:r>
              <w:rPr>
                <w:rFonts w:hint="eastAsia"/>
                <w:color w:val="auto"/>
                <w:kern w:val="0"/>
                <w:sz w:val="24"/>
                <w:lang w:val="en-US" w:eastAsia="zh-CN"/>
              </w:rPr>
              <w:t>见附件2</w:t>
            </w:r>
            <w:r>
              <w:rPr>
                <w:rFonts w:hint="eastAsia"/>
                <w:color w:val="auto"/>
                <w:kern w:val="0"/>
                <w:sz w:val="24"/>
                <w:lang w:eastAsia="zh-CN"/>
              </w:rPr>
              <w:t>）；</w:t>
            </w:r>
            <w:r>
              <w:rPr>
                <w:rFonts w:hint="eastAsia"/>
                <w:color w:val="auto"/>
                <w:kern w:val="0"/>
                <w:sz w:val="24"/>
                <w:lang w:val="en-US" w:eastAsia="zh-CN"/>
              </w:rPr>
              <w:t>2022年1月，中煤科工集团南京设计研究院有限公司编制完成了《内蒙古自治区鄂尔多斯万利煤炭矿区总体规划（修编）》，尚未批复。</w:t>
            </w:r>
          </w:p>
        </w:tc>
      </w:tr>
      <w:tr w14:paraId="53183A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571" w:type="dxa"/>
            <w:tcMar>
              <w:top w:w="16" w:type="dxa"/>
              <w:left w:w="16" w:type="dxa"/>
              <w:right w:w="16" w:type="dxa"/>
            </w:tcMar>
            <w:vAlign w:val="center"/>
          </w:tcPr>
          <w:p w14:paraId="00D4B856">
            <w:pPr>
              <w:adjustRightInd w:val="0"/>
              <w:snapToGrid w:val="0"/>
              <w:spacing w:line="400" w:lineRule="exact"/>
              <w:jc w:val="center"/>
              <w:rPr>
                <w:color w:val="auto"/>
                <w:kern w:val="0"/>
                <w:sz w:val="24"/>
              </w:rPr>
            </w:pPr>
            <w:r>
              <w:rPr>
                <w:color w:val="auto"/>
                <w:kern w:val="0"/>
                <w:sz w:val="24"/>
                <w:lang w:bidi="ar"/>
              </w:rPr>
              <w:t>规划环境影响评价情况</w:t>
            </w:r>
          </w:p>
        </w:tc>
        <w:tc>
          <w:tcPr>
            <w:tcW w:w="7468" w:type="dxa"/>
            <w:gridSpan w:val="3"/>
            <w:tcMar>
              <w:top w:w="16" w:type="dxa"/>
              <w:left w:w="16" w:type="dxa"/>
              <w:right w:w="16" w:type="dxa"/>
            </w:tcMar>
            <w:vAlign w:val="center"/>
          </w:tcPr>
          <w:p w14:paraId="38529483">
            <w:pPr>
              <w:adjustRightInd w:val="0"/>
              <w:snapToGrid w:val="0"/>
              <w:spacing w:line="500" w:lineRule="exact"/>
              <w:ind w:firstLine="480" w:firstLineChars="200"/>
              <w:rPr>
                <w:color w:val="auto"/>
                <w:kern w:val="0"/>
                <w:sz w:val="24"/>
              </w:rPr>
            </w:pPr>
            <w:r>
              <w:rPr>
                <w:rFonts w:hint="eastAsia"/>
                <w:color w:val="auto"/>
                <w:kern w:val="0"/>
                <w:sz w:val="24"/>
                <w:lang w:val="en-US" w:eastAsia="zh-CN"/>
              </w:rPr>
              <w:t>2023年5月，中煤科工集团南京设计研究院有限公司编制完成了</w:t>
            </w:r>
            <w:r>
              <w:rPr>
                <w:color w:val="auto"/>
                <w:kern w:val="0"/>
                <w:sz w:val="24"/>
              </w:rPr>
              <w:t>《内蒙古自治区鄂尔多斯</w:t>
            </w:r>
            <w:r>
              <w:rPr>
                <w:rFonts w:hint="eastAsia"/>
                <w:color w:val="auto"/>
                <w:kern w:val="0"/>
                <w:sz w:val="24"/>
              </w:rPr>
              <w:t>市东胜煤田万利煤炭矿区</w:t>
            </w:r>
            <w:r>
              <w:rPr>
                <w:color w:val="auto"/>
                <w:kern w:val="0"/>
                <w:sz w:val="24"/>
              </w:rPr>
              <w:t>总体规划</w:t>
            </w:r>
            <w:r>
              <w:rPr>
                <w:rFonts w:hint="eastAsia"/>
                <w:color w:val="auto"/>
                <w:kern w:val="0"/>
                <w:sz w:val="24"/>
              </w:rPr>
              <w:t>（修编）</w:t>
            </w:r>
            <w:r>
              <w:rPr>
                <w:color w:val="auto"/>
                <w:kern w:val="0"/>
                <w:sz w:val="24"/>
              </w:rPr>
              <w:t>环境影响报告书》</w:t>
            </w:r>
            <w:r>
              <w:rPr>
                <w:rFonts w:hint="eastAsia"/>
                <w:color w:val="auto"/>
                <w:kern w:val="0"/>
                <w:sz w:val="24"/>
                <w:lang w:eastAsia="zh-CN"/>
              </w:rPr>
              <w:t>；</w:t>
            </w:r>
            <w:r>
              <w:rPr>
                <w:color w:val="auto"/>
                <w:kern w:val="0"/>
                <w:sz w:val="24"/>
              </w:rPr>
              <w:t>20</w:t>
            </w:r>
            <w:r>
              <w:rPr>
                <w:rFonts w:hint="eastAsia"/>
                <w:color w:val="auto"/>
                <w:kern w:val="0"/>
                <w:sz w:val="24"/>
              </w:rPr>
              <w:t>23</w:t>
            </w:r>
            <w:r>
              <w:rPr>
                <w:color w:val="auto"/>
                <w:kern w:val="0"/>
                <w:sz w:val="24"/>
              </w:rPr>
              <w:t>年</w:t>
            </w:r>
            <w:r>
              <w:rPr>
                <w:rFonts w:hint="eastAsia"/>
                <w:color w:val="auto"/>
                <w:kern w:val="0"/>
                <w:sz w:val="24"/>
              </w:rPr>
              <w:t>7</w:t>
            </w:r>
            <w:r>
              <w:rPr>
                <w:color w:val="auto"/>
                <w:kern w:val="0"/>
                <w:sz w:val="24"/>
              </w:rPr>
              <w:t>月</w:t>
            </w:r>
            <w:r>
              <w:rPr>
                <w:rFonts w:hint="eastAsia"/>
                <w:color w:val="auto"/>
                <w:kern w:val="0"/>
                <w:sz w:val="24"/>
              </w:rPr>
              <w:t>1</w:t>
            </w:r>
            <w:r>
              <w:rPr>
                <w:rFonts w:hint="eastAsia"/>
                <w:color w:val="auto"/>
                <w:kern w:val="0"/>
                <w:sz w:val="24"/>
                <w:lang w:val="en-US" w:eastAsia="zh-CN"/>
              </w:rPr>
              <w:t>4</w:t>
            </w:r>
            <w:r>
              <w:rPr>
                <w:rFonts w:hint="eastAsia"/>
                <w:color w:val="auto"/>
                <w:kern w:val="0"/>
                <w:sz w:val="24"/>
              </w:rPr>
              <w:t>日</w:t>
            </w:r>
            <w:r>
              <w:rPr>
                <w:color w:val="auto"/>
                <w:kern w:val="0"/>
                <w:sz w:val="24"/>
              </w:rPr>
              <w:t>，</w:t>
            </w:r>
            <w:r>
              <w:rPr>
                <w:rFonts w:hint="eastAsia"/>
                <w:color w:val="auto"/>
                <w:kern w:val="0"/>
                <w:sz w:val="24"/>
              </w:rPr>
              <w:t>生态环境</w:t>
            </w:r>
            <w:r>
              <w:rPr>
                <w:color w:val="auto"/>
                <w:kern w:val="0"/>
                <w:sz w:val="24"/>
              </w:rPr>
              <w:t>部以“环审〔</w:t>
            </w:r>
            <w:r>
              <w:rPr>
                <w:rFonts w:hint="eastAsia"/>
                <w:color w:val="auto"/>
                <w:kern w:val="0"/>
                <w:sz w:val="24"/>
              </w:rPr>
              <w:t>2023</w:t>
            </w:r>
            <w:r>
              <w:rPr>
                <w:color w:val="auto"/>
                <w:kern w:val="0"/>
                <w:sz w:val="24"/>
              </w:rPr>
              <w:t>〕</w:t>
            </w:r>
            <w:r>
              <w:rPr>
                <w:rFonts w:hint="eastAsia"/>
                <w:color w:val="auto"/>
                <w:kern w:val="0"/>
                <w:sz w:val="24"/>
              </w:rPr>
              <w:t>78</w:t>
            </w:r>
            <w:r>
              <w:rPr>
                <w:color w:val="auto"/>
                <w:kern w:val="0"/>
                <w:sz w:val="24"/>
              </w:rPr>
              <w:t>号”文出具了对《内蒙古自治区鄂尔多斯</w:t>
            </w:r>
            <w:r>
              <w:rPr>
                <w:rFonts w:hint="eastAsia"/>
                <w:color w:val="auto"/>
                <w:kern w:val="0"/>
                <w:sz w:val="24"/>
              </w:rPr>
              <w:t>市东胜煤田万利煤炭矿区</w:t>
            </w:r>
            <w:r>
              <w:rPr>
                <w:color w:val="auto"/>
                <w:kern w:val="0"/>
                <w:sz w:val="24"/>
              </w:rPr>
              <w:t>总体规划</w:t>
            </w:r>
            <w:r>
              <w:rPr>
                <w:rFonts w:hint="eastAsia"/>
                <w:color w:val="auto"/>
                <w:kern w:val="0"/>
                <w:sz w:val="24"/>
              </w:rPr>
              <w:t>（修编）</w:t>
            </w:r>
            <w:r>
              <w:rPr>
                <w:color w:val="auto"/>
                <w:kern w:val="0"/>
                <w:sz w:val="24"/>
              </w:rPr>
              <w:t>环境影响报告书》的审查意见</w:t>
            </w:r>
            <w:r>
              <w:rPr>
                <w:rFonts w:hint="eastAsia"/>
                <w:color w:val="auto"/>
                <w:kern w:val="0"/>
                <w:sz w:val="24"/>
                <w:lang w:eastAsia="zh-CN"/>
              </w:rPr>
              <w:t>（</w:t>
            </w:r>
            <w:r>
              <w:rPr>
                <w:rFonts w:hint="eastAsia"/>
                <w:color w:val="auto"/>
                <w:kern w:val="0"/>
                <w:sz w:val="24"/>
                <w:lang w:val="en-US" w:eastAsia="zh-CN"/>
              </w:rPr>
              <w:t>见附件3</w:t>
            </w:r>
            <w:r>
              <w:rPr>
                <w:rFonts w:hint="eastAsia"/>
                <w:color w:val="auto"/>
                <w:kern w:val="0"/>
                <w:sz w:val="24"/>
                <w:lang w:eastAsia="zh-CN"/>
              </w:rPr>
              <w:t>）</w:t>
            </w:r>
            <w:r>
              <w:rPr>
                <w:color w:val="auto"/>
                <w:kern w:val="0"/>
                <w:sz w:val="24"/>
              </w:rPr>
              <w:t>。</w:t>
            </w:r>
          </w:p>
        </w:tc>
      </w:tr>
      <w:tr w14:paraId="06AFEE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2084" w:hRule="atLeast"/>
        </w:trPr>
        <w:tc>
          <w:tcPr>
            <w:tcW w:w="1571" w:type="dxa"/>
            <w:tcMar>
              <w:top w:w="16" w:type="dxa"/>
              <w:left w:w="16" w:type="dxa"/>
              <w:right w:w="16" w:type="dxa"/>
            </w:tcMar>
            <w:vAlign w:val="center"/>
          </w:tcPr>
          <w:p w14:paraId="24E6318E">
            <w:pPr>
              <w:autoSpaceDE w:val="0"/>
              <w:autoSpaceDN w:val="0"/>
              <w:adjustRightInd w:val="0"/>
              <w:snapToGrid w:val="0"/>
              <w:spacing w:line="500" w:lineRule="exact"/>
              <w:jc w:val="center"/>
              <w:rPr>
                <w:color w:val="auto"/>
                <w:kern w:val="0"/>
                <w:sz w:val="24"/>
              </w:rPr>
            </w:pPr>
            <w:r>
              <w:rPr>
                <w:color w:val="auto"/>
                <w:kern w:val="0"/>
                <w:sz w:val="24"/>
              </w:rPr>
              <w:t>规划及</w:t>
            </w:r>
            <w:r>
              <w:rPr>
                <w:color w:val="auto"/>
                <w:sz w:val="24"/>
              </w:rPr>
              <w:t>规划环境影响评价</w:t>
            </w:r>
            <w:r>
              <w:rPr>
                <w:color w:val="auto"/>
                <w:kern w:val="0"/>
                <w:sz w:val="24"/>
              </w:rPr>
              <w:t>符合性分析</w:t>
            </w:r>
          </w:p>
        </w:tc>
        <w:tc>
          <w:tcPr>
            <w:tcW w:w="7468" w:type="dxa"/>
            <w:gridSpan w:val="3"/>
            <w:tcMar>
              <w:top w:w="16" w:type="dxa"/>
              <w:left w:w="16" w:type="dxa"/>
              <w:right w:w="16" w:type="dxa"/>
            </w:tcMar>
            <w:vAlign w:val="center"/>
          </w:tcPr>
          <w:p w14:paraId="53EEEBEE">
            <w:pPr>
              <w:widowControl/>
              <w:spacing w:line="500" w:lineRule="exact"/>
              <w:ind w:firstLine="480" w:firstLineChars="200"/>
              <w:jc w:val="left"/>
              <w:rPr>
                <w:color w:val="auto"/>
                <w:sz w:val="24"/>
              </w:rPr>
            </w:pPr>
            <w:r>
              <w:rPr>
                <w:color w:val="auto"/>
                <w:sz w:val="24"/>
              </w:rPr>
              <w:t>1</w:t>
            </w:r>
            <w:r>
              <w:rPr>
                <w:rFonts w:hint="eastAsia"/>
                <w:color w:val="auto"/>
                <w:sz w:val="24"/>
              </w:rPr>
              <w:t>、</w:t>
            </w:r>
            <w:r>
              <w:rPr>
                <w:color w:val="auto"/>
                <w:kern w:val="0"/>
                <w:sz w:val="24"/>
              </w:rPr>
              <w:t>与</w:t>
            </w:r>
            <w:r>
              <w:rPr>
                <w:rFonts w:hint="eastAsia"/>
                <w:color w:val="auto"/>
                <w:kern w:val="0"/>
                <w:sz w:val="24"/>
                <w:lang w:val="en-US" w:eastAsia="zh-CN"/>
              </w:rPr>
              <w:t>《内蒙古自治区鄂尔多斯万利煤炭矿区总体规划（修编）》</w:t>
            </w:r>
            <w:r>
              <w:rPr>
                <w:color w:val="auto"/>
                <w:kern w:val="0"/>
                <w:sz w:val="24"/>
              </w:rPr>
              <w:t>的符合性分析</w:t>
            </w:r>
          </w:p>
          <w:p w14:paraId="7D51EB6D">
            <w:pPr>
              <w:widowControl/>
              <w:spacing w:line="500" w:lineRule="exact"/>
              <w:ind w:firstLine="480" w:firstLineChars="200"/>
              <w:jc w:val="left"/>
              <w:rPr>
                <w:rFonts w:hint="default"/>
                <w:color w:val="auto"/>
                <w:kern w:val="0"/>
                <w:sz w:val="24"/>
                <w:lang w:val="en-US"/>
              </w:rPr>
            </w:pPr>
            <w:r>
              <w:rPr>
                <w:rFonts w:hint="eastAsia"/>
                <w:color w:val="auto"/>
                <w:kern w:val="0"/>
                <w:sz w:val="24"/>
                <w:lang w:val="en-US" w:eastAsia="zh-CN"/>
              </w:rPr>
              <w:t>万利矿区总体规划修编后，矿区井田数量调整为</w:t>
            </w:r>
            <w:r>
              <w:rPr>
                <w:rFonts w:hint="default"/>
                <w:color w:val="auto"/>
                <w:kern w:val="0"/>
                <w:sz w:val="24"/>
                <w:lang w:val="en-US" w:eastAsia="zh-CN"/>
              </w:rPr>
              <w:t>51</w:t>
            </w:r>
            <w:r>
              <w:rPr>
                <w:rFonts w:hint="eastAsia"/>
                <w:color w:val="auto"/>
                <w:kern w:val="0"/>
                <w:sz w:val="24"/>
                <w:lang w:val="en-US" w:eastAsia="zh-CN"/>
              </w:rPr>
              <w:t>处，规划总规模由原批复的</w:t>
            </w:r>
            <w:r>
              <w:rPr>
                <w:rFonts w:hint="default"/>
                <w:color w:val="auto"/>
                <w:kern w:val="0"/>
                <w:sz w:val="24"/>
                <w:lang w:val="en-US" w:eastAsia="zh-CN"/>
              </w:rPr>
              <w:t>38.40Mt/a</w:t>
            </w:r>
            <w:r>
              <w:rPr>
                <w:rFonts w:hint="eastAsia"/>
                <w:color w:val="auto"/>
                <w:kern w:val="0"/>
                <w:sz w:val="24"/>
                <w:lang w:val="en-US" w:eastAsia="zh-CN"/>
              </w:rPr>
              <w:t>调整到</w:t>
            </w:r>
            <w:r>
              <w:rPr>
                <w:rFonts w:hint="default"/>
                <w:color w:val="auto"/>
                <w:kern w:val="0"/>
                <w:sz w:val="24"/>
                <w:lang w:val="en-US" w:eastAsia="zh-CN"/>
              </w:rPr>
              <w:t>193.50Mt/a</w:t>
            </w:r>
            <w:r>
              <w:rPr>
                <w:rFonts w:hint="eastAsia"/>
                <w:color w:val="auto"/>
                <w:kern w:val="0"/>
                <w:sz w:val="24"/>
                <w:lang w:val="en-US" w:eastAsia="zh-CN"/>
              </w:rPr>
              <w:t>，总规模增加</w:t>
            </w:r>
            <w:r>
              <w:rPr>
                <w:rFonts w:hint="default"/>
                <w:color w:val="auto"/>
                <w:kern w:val="0"/>
                <w:sz w:val="24"/>
                <w:lang w:val="en-US" w:eastAsia="zh-CN"/>
              </w:rPr>
              <w:t>155.10Mt/a</w:t>
            </w:r>
            <w:r>
              <w:rPr>
                <w:rFonts w:hint="eastAsia"/>
                <w:color w:val="auto"/>
                <w:kern w:val="0"/>
                <w:sz w:val="24"/>
                <w:lang w:val="en-US" w:eastAsia="zh-CN"/>
              </w:rPr>
              <w:t>，其中李家壕煤矿为保留矿井，规模调整为800万吨/年。修编后的矿区范围为东西宽</w:t>
            </w:r>
            <w:r>
              <w:rPr>
                <w:rFonts w:hint="default"/>
                <w:color w:val="auto"/>
                <w:kern w:val="0"/>
                <w:sz w:val="24"/>
                <w:lang w:val="en-US" w:eastAsia="zh-CN"/>
              </w:rPr>
              <w:t>6km</w:t>
            </w:r>
            <w:r>
              <w:rPr>
                <w:rFonts w:hint="eastAsia"/>
                <w:color w:val="auto"/>
                <w:kern w:val="0"/>
                <w:sz w:val="24"/>
                <w:lang w:val="en-US" w:eastAsia="zh-CN"/>
              </w:rPr>
              <w:t>～</w:t>
            </w:r>
            <w:r>
              <w:rPr>
                <w:rFonts w:hint="default"/>
                <w:color w:val="auto"/>
                <w:kern w:val="0"/>
                <w:sz w:val="24"/>
                <w:lang w:val="en-US" w:eastAsia="zh-CN"/>
              </w:rPr>
              <w:t>42km</w:t>
            </w:r>
            <w:r>
              <w:rPr>
                <w:rFonts w:hint="eastAsia"/>
                <w:color w:val="auto"/>
                <w:kern w:val="0"/>
                <w:sz w:val="24"/>
                <w:lang w:val="en-US" w:eastAsia="zh-CN"/>
              </w:rPr>
              <w:t xml:space="preserve">，南北长 </w:t>
            </w:r>
            <w:r>
              <w:rPr>
                <w:rFonts w:hint="default"/>
                <w:color w:val="auto"/>
                <w:kern w:val="0"/>
                <w:sz w:val="24"/>
                <w:lang w:val="en-US" w:eastAsia="zh-CN"/>
              </w:rPr>
              <w:t>24km</w:t>
            </w:r>
            <w:r>
              <w:rPr>
                <w:rFonts w:hint="eastAsia"/>
                <w:color w:val="auto"/>
                <w:kern w:val="0"/>
                <w:sz w:val="24"/>
                <w:lang w:val="en-US" w:eastAsia="zh-CN"/>
              </w:rPr>
              <w:t>～</w:t>
            </w:r>
            <w:r>
              <w:rPr>
                <w:rFonts w:hint="default"/>
                <w:color w:val="auto"/>
                <w:kern w:val="0"/>
                <w:sz w:val="24"/>
                <w:lang w:val="en-US" w:eastAsia="zh-CN"/>
              </w:rPr>
              <w:t>50km</w:t>
            </w:r>
            <w:r>
              <w:rPr>
                <w:rFonts w:hint="eastAsia"/>
                <w:color w:val="auto"/>
                <w:kern w:val="0"/>
                <w:sz w:val="24"/>
                <w:lang w:val="en-US" w:eastAsia="zh-CN"/>
              </w:rPr>
              <w:t xml:space="preserve">，面积 </w:t>
            </w:r>
            <w:r>
              <w:rPr>
                <w:rFonts w:hint="default"/>
                <w:color w:val="auto"/>
                <w:kern w:val="0"/>
                <w:sz w:val="24"/>
                <w:lang w:val="en-US" w:eastAsia="zh-CN"/>
              </w:rPr>
              <w:t>1092.90km</w:t>
            </w:r>
            <w:r>
              <w:rPr>
                <w:rFonts w:hint="default"/>
                <w:color w:val="auto"/>
                <w:kern w:val="0"/>
                <w:sz w:val="24"/>
                <w:vertAlign w:val="superscript"/>
                <w:lang w:val="en-US" w:eastAsia="zh-CN"/>
              </w:rPr>
              <w:t>2</w:t>
            </w:r>
            <w:r>
              <w:rPr>
                <w:rFonts w:hint="eastAsia"/>
                <w:color w:val="auto"/>
                <w:kern w:val="0"/>
                <w:sz w:val="24"/>
                <w:lang w:val="en-US" w:eastAsia="zh-CN"/>
              </w:rPr>
              <w:t>，形状为一不规则多边形。</w:t>
            </w:r>
          </w:p>
          <w:p w14:paraId="0084866B">
            <w:pPr>
              <w:widowControl/>
              <w:spacing w:line="500" w:lineRule="exact"/>
              <w:ind w:firstLine="480" w:firstLineChars="200"/>
              <w:jc w:val="left"/>
              <w:rPr>
                <w:color w:val="auto"/>
                <w:sz w:val="24"/>
              </w:rPr>
            </w:pPr>
            <w:r>
              <w:rPr>
                <w:rFonts w:hint="eastAsia"/>
                <w:color w:val="auto"/>
                <w:kern w:val="0"/>
                <w:sz w:val="24"/>
              </w:rPr>
              <w:t>李家壕</w:t>
            </w:r>
            <w:r>
              <w:rPr>
                <w:rFonts w:hint="eastAsia"/>
                <w:color w:val="auto"/>
                <w:kern w:val="0"/>
                <w:sz w:val="24"/>
                <w:lang w:val="en-US" w:eastAsia="zh-CN"/>
              </w:rPr>
              <w:t>煤矿目前实际</w:t>
            </w:r>
            <w:r>
              <w:rPr>
                <w:color w:val="auto"/>
                <w:kern w:val="0"/>
                <w:sz w:val="24"/>
              </w:rPr>
              <w:t>建设规模为</w:t>
            </w:r>
            <w:r>
              <w:rPr>
                <w:rFonts w:hint="eastAsia"/>
                <w:color w:val="auto"/>
                <w:kern w:val="0"/>
                <w:sz w:val="24"/>
              </w:rPr>
              <w:t>6</w:t>
            </w:r>
            <w:r>
              <w:rPr>
                <w:color w:val="auto"/>
                <w:kern w:val="0"/>
                <w:sz w:val="24"/>
              </w:rPr>
              <w:t>00万吨/年，是</w:t>
            </w:r>
            <w:r>
              <w:rPr>
                <w:rFonts w:hint="eastAsia"/>
                <w:color w:val="auto"/>
                <w:kern w:val="0"/>
                <w:sz w:val="24"/>
              </w:rPr>
              <w:t>万利</w:t>
            </w:r>
            <w:r>
              <w:rPr>
                <w:color w:val="auto"/>
                <w:kern w:val="0"/>
                <w:sz w:val="24"/>
              </w:rPr>
              <w:t>矿区规划的矿井之一。</w:t>
            </w:r>
            <w:r>
              <w:rPr>
                <w:rFonts w:hint="eastAsia"/>
                <w:color w:val="auto"/>
                <w:kern w:val="0"/>
                <w:sz w:val="24"/>
              </w:rPr>
              <w:t>李家壕煤矿</w:t>
            </w:r>
            <w:r>
              <w:rPr>
                <w:color w:val="auto"/>
                <w:kern w:val="0"/>
                <w:sz w:val="24"/>
              </w:rPr>
              <w:t>建设规模、开发方式及建设时序均符合矿区总体规划要求。本项目是</w:t>
            </w:r>
            <w:r>
              <w:rPr>
                <w:rFonts w:hint="eastAsia"/>
                <w:color w:val="auto"/>
                <w:kern w:val="0"/>
                <w:sz w:val="24"/>
              </w:rPr>
              <w:t>李家壕煤矿</w:t>
            </w:r>
            <w:r>
              <w:rPr>
                <w:color w:val="auto"/>
                <w:kern w:val="0"/>
                <w:sz w:val="24"/>
              </w:rPr>
              <w:t>的一项附属工程，主要建设</w:t>
            </w:r>
            <w:r>
              <w:rPr>
                <w:color w:val="auto"/>
                <w:sz w:val="24"/>
              </w:rPr>
              <w:t>内容</w:t>
            </w:r>
            <w:r>
              <w:rPr>
                <w:rFonts w:hint="eastAsia"/>
                <w:color w:val="auto"/>
                <w:sz w:val="24"/>
                <w:lang w:val="en-US" w:eastAsia="zh-CN"/>
              </w:rPr>
              <w:t>为新建了1座风井场地，主要</w:t>
            </w:r>
            <w:r>
              <w:rPr>
                <w:color w:val="auto"/>
                <w:sz w:val="24"/>
              </w:rPr>
              <w:t>包括</w:t>
            </w:r>
            <w:r>
              <w:rPr>
                <w:rFonts w:hint="eastAsia"/>
                <w:color w:val="auto"/>
                <w:sz w:val="24"/>
                <w:szCs w:val="24"/>
                <w:lang w:val="en-US" w:eastAsia="zh-CN"/>
              </w:rPr>
              <w:t>1座进风立井、1座回风立井</w:t>
            </w:r>
            <w:r>
              <w:rPr>
                <w:color w:val="auto"/>
                <w:sz w:val="24"/>
                <w:szCs w:val="24"/>
              </w:rPr>
              <w:t>及配套</w:t>
            </w:r>
            <w:r>
              <w:rPr>
                <w:rFonts w:hint="eastAsia"/>
                <w:color w:val="auto"/>
                <w:sz w:val="24"/>
                <w:szCs w:val="24"/>
                <w:lang w:val="en-US" w:eastAsia="zh-CN"/>
              </w:rPr>
              <w:t>的公辅工程和环保工程</w:t>
            </w:r>
            <w:r>
              <w:rPr>
                <w:color w:val="auto"/>
                <w:sz w:val="24"/>
              </w:rPr>
              <w:t>等</w:t>
            </w:r>
            <w:r>
              <w:rPr>
                <w:color w:val="auto"/>
                <w:kern w:val="0"/>
                <w:sz w:val="24"/>
              </w:rPr>
              <w:t>，项目建设符合</w:t>
            </w:r>
            <w:r>
              <w:rPr>
                <w:rFonts w:hint="eastAsia"/>
                <w:color w:val="auto"/>
                <w:kern w:val="0"/>
                <w:sz w:val="24"/>
              </w:rPr>
              <w:t>万利</w:t>
            </w:r>
            <w:r>
              <w:rPr>
                <w:color w:val="auto"/>
                <w:kern w:val="0"/>
                <w:sz w:val="24"/>
              </w:rPr>
              <w:t>矿区总体规划</w:t>
            </w:r>
            <w:r>
              <w:rPr>
                <w:rFonts w:hint="eastAsia"/>
                <w:color w:val="auto"/>
                <w:kern w:val="0"/>
                <w:sz w:val="24"/>
                <w:lang w:val="en-US" w:eastAsia="zh-CN"/>
              </w:rPr>
              <w:t>（修编）</w:t>
            </w:r>
            <w:r>
              <w:rPr>
                <w:color w:val="auto"/>
                <w:kern w:val="0"/>
                <w:sz w:val="24"/>
              </w:rPr>
              <w:t>的要求。</w:t>
            </w:r>
          </w:p>
          <w:p w14:paraId="4DFD0D0B">
            <w:pPr>
              <w:widowControl/>
              <w:spacing w:line="500" w:lineRule="exact"/>
              <w:ind w:firstLine="480" w:firstLineChars="200"/>
              <w:jc w:val="left"/>
              <w:rPr>
                <w:rFonts w:hint="eastAsia"/>
                <w:color w:val="auto"/>
                <w:kern w:val="0"/>
                <w:sz w:val="24"/>
              </w:rPr>
            </w:pPr>
            <w:r>
              <w:rPr>
                <w:color w:val="auto"/>
                <w:kern w:val="0"/>
                <w:sz w:val="24"/>
              </w:rPr>
              <w:t>2</w:t>
            </w:r>
            <w:r>
              <w:rPr>
                <w:rFonts w:hint="eastAsia"/>
                <w:color w:val="auto"/>
                <w:kern w:val="0"/>
                <w:sz w:val="24"/>
              </w:rPr>
              <w:t>、</w:t>
            </w:r>
            <w:r>
              <w:rPr>
                <w:color w:val="auto"/>
                <w:kern w:val="0"/>
                <w:sz w:val="24"/>
                <w:lang w:bidi="ar"/>
              </w:rPr>
              <w:t>与《内蒙古自治区鄂尔多斯</w:t>
            </w:r>
            <w:r>
              <w:rPr>
                <w:rFonts w:hint="eastAsia"/>
                <w:color w:val="auto"/>
                <w:kern w:val="0"/>
                <w:sz w:val="24"/>
                <w:lang w:bidi="ar"/>
              </w:rPr>
              <w:t>市东胜煤田万利煤炭矿区</w:t>
            </w:r>
            <w:r>
              <w:rPr>
                <w:color w:val="auto"/>
                <w:kern w:val="0"/>
                <w:sz w:val="24"/>
                <w:lang w:bidi="ar"/>
              </w:rPr>
              <w:t>总体规划</w:t>
            </w:r>
            <w:r>
              <w:rPr>
                <w:rFonts w:hint="eastAsia"/>
                <w:color w:val="auto"/>
                <w:kern w:val="0"/>
                <w:sz w:val="24"/>
                <w:lang w:bidi="ar"/>
              </w:rPr>
              <w:t>（修编）</w:t>
            </w:r>
            <w:r>
              <w:rPr>
                <w:color w:val="auto"/>
                <w:kern w:val="0"/>
                <w:sz w:val="24"/>
                <w:lang w:bidi="ar"/>
              </w:rPr>
              <w:t>环境影响报告书》</w:t>
            </w:r>
            <w:r>
              <w:rPr>
                <w:rFonts w:hint="eastAsia"/>
                <w:color w:val="auto"/>
                <w:kern w:val="0"/>
                <w:sz w:val="24"/>
                <w:lang w:val="en-US" w:eastAsia="zh-CN"/>
              </w:rPr>
              <w:t>及审查意见</w:t>
            </w:r>
            <w:r>
              <w:rPr>
                <w:color w:val="auto"/>
                <w:kern w:val="0"/>
                <w:sz w:val="24"/>
                <w:lang w:bidi="ar"/>
              </w:rPr>
              <w:t>的符合性分析</w:t>
            </w:r>
          </w:p>
          <w:p w14:paraId="400390B8">
            <w:pPr>
              <w:widowControl/>
              <w:spacing w:line="500" w:lineRule="exact"/>
              <w:ind w:firstLine="480" w:firstLineChars="200"/>
              <w:rPr>
                <w:color w:val="auto"/>
                <w:kern w:val="0"/>
                <w:sz w:val="24"/>
                <w:lang w:bidi="ar"/>
              </w:rPr>
            </w:pPr>
            <w:r>
              <w:rPr>
                <w:rFonts w:hint="eastAsia"/>
                <w:color w:val="auto"/>
                <w:kern w:val="0"/>
                <w:sz w:val="24"/>
                <w:lang w:val="en-US" w:eastAsia="zh-CN"/>
              </w:rPr>
              <w:t>2023年5月，中煤科工集团南京设计研究院有限公司编制完成了</w:t>
            </w:r>
            <w:r>
              <w:rPr>
                <w:color w:val="auto"/>
                <w:kern w:val="0"/>
                <w:sz w:val="24"/>
              </w:rPr>
              <w:t>《内蒙古自治区鄂尔多斯</w:t>
            </w:r>
            <w:r>
              <w:rPr>
                <w:rFonts w:hint="eastAsia"/>
                <w:color w:val="auto"/>
                <w:kern w:val="0"/>
                <w:sz w:val="24"/>
              </w:rPr>
              <w:t>市东胜煤田万利煤炭矿区</w:t>
            </w:r>
            <w:r>
              <w:rPr>
                <w:color w:val="auto"/>
                <w:kern w:val="0"/>
                <w:sz w:val="24"/>
              </w:rPr>
              <w:t>总体规划</w:t>
            </w:r>
            <w:r>
              <w:rPr>
                <w:rFonts w:hint="eastAsia"/>
                <w:color w:val="auto"/>
                <w:kern w:val="0"/>
                <w:sz w:val="24"/>
              </w:rPr>
              <w:t>（修编）</w:t>
            </w:r>
            <w:r>
              <w:rPr>
                <w:color w:val="auto"/>
                <w:kern w:val="0"/>
                <w:sz w:val="24"/>
              </w:rPr>
              <w:t>环境影响报告书》</w:t>
            </w:r>
            <w:r>
              <w:rPr>
                <w:rFonts w:hint="eastAsia"/>
                <w:color w:val="auto"/>
                <w:kern w:val="0"/>
                <w:sz w:val="24"/>
                <w:lang w:eastAsia="zh-CN"/>
              </w:rPr>
              <w:t>，</w:t>
            </w:r>
            <w:r>
              <w:rPr>
                <w:rFonts w:hint="eastAsia"/>
                <w:color w:val="auto"/>
                <w:kern w:val="0"/>
                <w:sz w:val="24"/>
                <w:lang w:val="en-US" w:eastAsia="zh-CN"/>
              </w:rPr>
              <w:t>尚未批复</w:t>
            </w:r>
            <w:r>
              <w:rPr>
                <w:rFonts w:hint="eastAsia"/>
                <w:color w:val="auto"/>
                <w:kern w:val="0"/>
                <w:sz w:val="24"/>
                <w:lang w:eastAsia="zh-CN"/>
              </w:rPr>
              <w:t>；</w:t>
            </w:r>
            <w:r>
              <w:rPr>
                <w:color w:val="auto"/>
                <w:kern w:val="0"/>
                <w:sz w:val="24"/>
              </w:rPr>
              <w:t>20</w:t>
            </w:r>
            <w:r>
              <w:rPr>
                <w:rFonts w:hint="eastAsia"/>
                <w:color w:val="auto"/>
                <w:kern w:val="0"/>
                <w:sz w:val="24"/>
              </w:rPr>
              <w:t>23</w:t>
            </w:r>
            <w:r>
              <w:rPr>
                <w:color w:val="auto"/>
                <w:kern w:val="0"/>
                <w:sz w:val="24"/>
              </w:rPr>
              <w:t>年</w:t>
            </w:r>
            <w:r>
              <w:rPr>
                <w:rFonts w:hint="eastAsia"/>
                <w:color w:val="auto"/>
                <w:kern w:val="0"/>
                <w:sz w:val="24"/>
              </w:rPr>
              <w:t>7</w:t>
            </w:r>
            <w:r>
              <w:rPr>
                <w:color w:val="auto"/>
                <w:kern w:val="0"/>
                <w:sz w:val="24"/>
              </w:rPr>
              <w:t>月</w:t>
            </w:r>
            <w:r>
              <w:rPr>
                <w:rFonts w:hint="eastAsia"/>
                <w:color w:val="auto"/>
                <w:kern w:val="0"/>
                <w:sz w:val="24"/>
              </w:rPr>
              <w:t>1</w:t>
            </w:r>
            <w:r>
              <w:rPr>
                <w:rFonts w:hint="eastAsia"/>
                <w:color w:val="auto"/>
                <w:kern w:val="0"/>
                <w:sz w:val="24"/>
                <w:lang w:val="en-US" w:eastAsia="zh-CN"/>
              </w:rPr>
              <w:t>4</w:t>
            </w:r>
            <w:r>
              <w:rPr>
                <w:rFonts w:hint="eastAsia"/>
                <w:color w:val="auto"/>
                <w:kern w:val="0"/>
                <w:sz w:val="24"/>
              </w:rPr>
              <w:t>日</w:t>
            </w:r>
            <w:r>
              <w:rPr>
                <w:color w:val="auto"/>
                <w:kern w:val="0"/>
                <w:sz w:val="24"/>
              </w:rPr>
              <w:t>，</w:t>
            </w:r>
            <w:r>
              <w:rPr>
                <w:rFonts w:hint="eastAsia"/>
                <w:color w:val="auto"/>
                <w:kern w:val="0"/>
                <w:sz w:val="24"/>
              </w:rPr>
              <w:t>生态环境</w:t>
            </w:r>
            <w:r>
              <w:rPr>
                <w:color w:val="auto"/>
                <w:kern w:val="0"/>
                <w:sz w:val="24"/>
              </w:rPr>
              <w:t>部以“环审〔</w:t>
            </w:r>
            <w:r>
              <w:rPr>
                <w:rFonts w:hint="eastAsia"/>
                <w:color w:val="auto"/>
                <w:kern w:val="0"/>
                <w:sz w:val="24"/>
              </w:rPr>
              <w:t>2023</w:t>
            </w:r>
            <w:r>
              <w:rPr>
                <w:color w:val="auto"/>
                <w:kern w:val="0"/>
                <w:sz w:val="24"/>
              </w:rPr>
              <w:t>〕</w:t>
            </w:r>
            <w:r>
              <w:rPr>
                <w:rFonts w:hint="eastAsia"/>
                <w:color w:val="auto"/>
                <w:kern w:val="0"/>
                <w:sz w:val="24"/>
              </w:rPr>
              <w:t>78</w:t>
            </w:r>
            <w:r>
              <w:rPr>
                <w:color w:val="auto"/>
                <w:kern w:val="0"/>
                <w:sz w:val="24"/>
              </w:rPr>
              <w:t>号”文出具了对《内蒙古自治区鄂尔多斯</w:t>
            </w:r>
            <w:r>
              <w:rPr>
                <w:rFonts w:hint="eastAsia"/>
                <w:color w:val="auto"/>
                <w:kern w:val="0"/>
                <w:sz w:val="24"/>
              </w:rPr>
              <w:t>市东胜煤田万利煤炭矿区</w:t>
            </w:r>
            <w:r>
              <w:rPr>
                <w:color w:val="auto"/>
                <w:kern w:val="0"/>
                <w:sz w:val="24"/>
              </w:rPr>
              <w:t>总体规划</w:t>
            </w:r>
            <w:r>
              <w:rPr>
                <w:rFonts w:hint="eastAsia"/>
                <w:color w:val="auto"/>
                <w:kern w:val="0"/>
                <w:sz w:val="24"/>
              </w:rPr>
              <w:t>（修编）</w:t>
            </w:r>
            <w:r>
              <w:rPr>
                <w:color w:val="auto"/>
                <w:kern w:val="0"/>
                <w:sz w:val="24"/>
              </w:rPr>
              <w:t>环境影响报告书》的审查意见。</w:t>
            </w:r>
            <w:r>
              <w:rPr>
                <w:rFonts w:hint="eastAsia"/>
                <w:color w:val="auto"/>
                <w:kern w:val="0"/>
                <w:sz w:val="24"/>
                <w:lang w:val="en-US" w:eastAsia="zh-CN"/>
              </w:rPr>
              <w:t>符合性分析</w:t>
            </w:r>
            <w:r>
              <w:rPr>
                <w:color w:val="auto"/>
                <w:kern w:val="0"/>
                <w:sz w:val="24"/>
                <w:lang w:bidi="ar"/>
              </w:rPr>
              <w:t>见表1-1。</w:t>
            </w:r>
          </w:p>
          <w:p w14:paraId="473F82E8">
            <w:pPr>
              <w:pStyle w:val="5"/>
              <w:spacing w:before="0" w:after="0" w:line="500" w:lineRule="exact"/>
              <w:ind w:right="0"/>
              <w:jc w:val="center"/>
              <w:rPr>
                <w:b/>
                <w:bCs/>
                <w:color w:val="auto"/>
                <w:sz w:val="24"/>
                <w:szCs w:val="24"/>
              </w:rPr>
            </w:pPr>
            <w:r>
              <w:rPr>
                <w:b/>
                <w:bCs/>
                <w:color w:val="auto"/>
                <w:sz w:val="24"/>
                <w:szCs w:val="24"/>
              </w:rPr>
              <w:t>表1-1</w:t>
            </w:r>
            <w:r>
              <w:rPr>
                <w:rFonts w:hint="eastAsia"/>
                <w:b/>
                <w:bCs/>
                <w:color w:val="auto"/>
                <w:sz w:val="24"/>
                <w:szCs w:val="24"/>
              </w:rPr>
              <w:t xml:space="preserve">   </w:t>
            </w:r>
            <w:r>
              <w:rPr>
                <w:b/>
                <w:bCs/>
                <w:color w:val="auto"/>
                <w:sz w:val="24"/>
                <w:szCs w:val="24"/>
              </w:rPr>
              <w:t>项目与规划环评的符合性分析</w:t>
            </w:r>
          </w:p>
          <w:tbl>
            <w:tblPr>
              <w:tblStyle w:val="46"/>
              <w:tblW w:w="489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96"/>
              <w:gridCol w:w="3852"/>
              <w:gridCol w:w="2174"/>
              <w:gridCol w:w="553"/>
            </w:tblGrid>
            <w:tr w14:paraId="7A292D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vAlign w:val="center"/>
                </w:tcPr>
                <w:p w14:paraId="188C5DC0">
                  <w:pPr>
                    <w:pStyle w:val="47"/>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序号</w:t>
                  </w:r>
                </w:p>
              </w:tc>
              <w:tc>
                <w:tcPr>
                  <w:tcW w:w="2647" w:type="pct"/>
                  <w:vAlign w:val="center"/>
                </w:tcPr>
                <w:p w14:paraId="7176395C">
                  <w:pPr>
                    <w:pStyle w:val="47"/>
                    <w:jc w:val="center"/>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矿区规划环评要求</w:t>
                  </w:r>
                </w:p>
              </w:tc>
              <w:tc>
                <w:tcPr>
                  <w:tcW w:w="1494" w:type="pct"/>
                  <w:vAlign w:val="center"/>
                </w:tcPr>
                <w:p w14:paraId="7B40634E">
                  <w:pPr>
                    <w:pStyle w:val="47"/>
                    <w:jc w:val="center"/>
                    <w:rPr>
                      <w:rFonts w:ascii="Times New Roman" w:hAnsi="Times New Roman" w:cs="Times New Roman"/>
                      <w:color w:val="auto"/>
                      <w:sz w:val="21"/>
                      <w:szCs w:val="21"/>
                    </w:rPr>
                  </w:pPr>
                  <w:r>
                    <w:rPr>
                      <w:rFonts w:ascii="Times New Roman" w:hAnsi="Times New Roman" w:cs="Times New Roman"/>
                      <w:color w:val="auto"/>
                      <w:sz w:val="21"/>
                      <w:szCs w:val="21"/>
                      <w:lang w:eastAsia="zh-CN"/>
                    </w:rPr>
                    <w:t>本</w:t>
                  </w:r>
                  <w:r>
                    <w:rPr>
                      <w:rFonts w:ascii="Times New Roman" w:hAnsi="Times New Roman" w:cs="Times New Roman"/>
                      <w:color w:val="auto"/>
                      <w:sz w:val="21"/>
                      <w:szCs w:val="21"/>
                    </w:rPr>
                    <w:t>项目</w:t>
                  </w:r>
                </w:p>
              </w:tc>
              <w:tc>
                <w:tcPr>
                  <w:tcW w:w="380" w:type="pct"/>
                  <w:vAlign w:val="center"/>
                </w:tcPr>
                <w:p w14:paraId="138CDB0D">
                  <w:pPr>
                    <w:pStyle w:val="47"/>
                    <w:jc w:val="center"/>
                    <w:rPr>
                      <w:rFonts w:ascii="Times New Roman" w:hAnsi="Times New Roman" w:cs="Times New Roman"/>
                      <w:color w:val="auto"/>
                      <w:sz w:val="21"/>
                      <w:szCs w:val="21"/>
                    </w:rPr>
                  </w:pPr>
                  <w:r>
                    <w:rPr>
                      <w:rFonts w:ascii="Times New Roman" w:hAnsi="Times New Roman" w:cs="Times New Roman"/>
                      <w:color w:val="auto"/>
                      <w:sz w:val="21"/>
                      <w:szCs w:val="21"/>
                    </w:rPr>
                    <w:t>符合</w:t>
                  </w:r>
                </w:p>
                <w:p w14:paraId="476CBB19">
                  <w:pPr>
                    <w:pStyle w:val="47"/>
                    <w:jc w:val="center"/>
                    <w:rPr>
                      <w:rFonts w:ascii="Times New Roman" w:hAnsi="Times New Roman" w:cs="Times New Roman"/>
                      <w:color w:val="auto"/>
                      <w:sz w:val="21"/>
                      <w:szCs w:val="21"/>
                    </w:rPr>
                  </w:pPr>
                  <w:r>
                    <w:rPr>
                      <w:rFonts w:ascii="Times New Roman" w:hAnsi="Times New Roman" w:cs="Times New Roman"/>
                      <w:color w:val="auto"/>
                      <w:sz w:val="21"/>
                      <w:szCs w:val="21"/>
                    </w:rPr>
                    <w:t>性</w:t>
                  </w:r>
                </w:p>
              </w:tc>
            </w:tr>
            <w:tr w14:paraId="6CBD3A9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bottom w:val="single" w:color="auto" w:sz="4" w:space="0"/>
                  </w:tcBorders>
                  <w:vAlign w:val="center"/>
                </w:tcPr>
                <w:p w14:paraId="3531A1DC">
                  <w:pPr>
                    <w:pStyle w:val="47"/>
                    <w:jc w:val="center"/>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2647" w:type="pct"/>
                  <w:vAlign w:val="center"/>
                </w:tcPr>
                <w:p w14:paraId="7A6CAA85">
                  <w:pPr>
                    <w:pStyle w:val="47"/>
                    <w:jc w:val="lef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矿区生态综合整治：根据规划开采区内的项目类型、生态破坏类型等，重点对露天采区、排土场、地表沉陷区、工业场地、规划铁路及公路两侧、排矸场等区域制定了治理措施。露天采区及排土场及时平整复垦，工业场地道路两侧及空地进行绿化，控制建设区周边土地荒漠化。</w:t>
                  </w:r>
                </w:p>
              </w:tc>
              <w:tc>
                <w:tcPr>
                  <w:tcW w:w="1494" w:type="pct"/>
                  <w:vAlign w:val="center"/>
                </w:tcPr>
                <w:p w14:paraId="27F48CBD">
                  <w:pPr>
                    <w:pStyle w:val="47"/>
                    <w:jc w:val="lef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本项目</w:t>
                  </w:r>
                  <w:r>
                    <w:rPr>
                      <w:rFonts w:hint="default" w:ascii="Times New Roman" w:hAnsi="Times New Roman" w:cs="Times New Roman"/>
                      <w:color w:val="auto"/>
                      <w:sz w:val="21"/>
                      <w:szCs w:val="21"/>
                    </w:rPr>
                    <w:t>对风井场地进行绿化，场内绿化面积</w:t>
                  </w:r>
                  <w:r>
                    <w:rPr>
                      <w:rFonts w:hint="eastAsia" w:ascii="Times New Roman" w:hAnsi="Times New Roman" w:cs="Times New Roman"/>
                      <w:color w:val="auto"/>
                      <w:spacing w:val="-3"/>
                      <w:sz w:val="21"/>
                      <w:szCs w:val="21"/>
                      <w:lang w:val="en-US" w:eastAsia="zh-CN"/>
                    </w:rPr>
                    <w:t>0.14h</w:t>
                  </w:r>
                  <w:r>
                    <w:rPr>
                      <w:rFonts w:hint="default" w:ascii="Times New Roman" w:hAnsi="Times New Roman" w:cs="Times New Roman"/>
                      <w:color w:val="auto"/>
                      <w:spacing w:val="-3"/>
                      <w:sz w:val="21"/>
                      <w:szCs w:val="21"/>
                    </w:rPr>
                    <w:t>m</w:t>
                  </w:r>
                  <w:r>
                    <w:rPr>
                      <w:rFonts w:hint="default" w:ascii="Times New Roman" w:hAnsi="Times New Roman" w:cs="Times New Roman"/>
                      <w:color w:val="auto"/>
                      <w:spacing w:val="-3"/>
                      <w:sz w:val="21"/>
                      <w:szCs w:val="21"/>
                      <w:vertAlign w:val="superscript"/>
                    </w:rPr>
                    <w:t>2</w:t>
                  </w:r>
                  <w:r>
                    <w:rPr>
                      <w:rFonts w:hint="default" w:ascii="Times New Roman" w:hAnsi="Times New Roman" w:cs="Times New Roman"/>
                      <w:color w:val="auto"/>
                      <w:spacing w:val="-3"/>
                      <w:sz w:val="21"/>
                      <w:szCs w:val="21"/>
                    </w:rPr>
                    <w:t>，边坡防护面积</w:t>
                  </w:r>
                  <w:r>
                    <w:rPr>
                      <w:rFonts w:hint="eastAsia" w:ascii="Times New Roman" w:hAnsi="Times New Roman" w:cs="Times New Roman"/>
                      <w:color w:val="auto"/>
                      <w:spacing w:val="-3"/>
                      <w:sz w:val="21"/>
                      <w:szCs w:val="21"/>
                      <w:lang w:val="en-US" w:eastAsia="zh-CN"/>
                    </w:rPr>
                    <w:t>0.23h</w:t>
                  </w:r>
                  <w:r>
                    <w:rPr>
                      <w:rFonts w:hint="default" w:ascii="Times New Roman" w:hAnsi="Times New Roman" w:cs="Times New Roman"/>
                      <w:color w:val="auto"/>
                      <w:spacing w:val="-3"/>
                      <w:sz w:val="21"/>
                      <w:szCs w:val="21"/>
                    </w:rPr>
                    <w:t>m</w:t>
                  </w:r>
                  <w:r>
                    <w:rPr>
                      <w:rFonts w:hint="default" w:ascii="Times New Roman" w:hAnsi="Times New Roman" w:cs="Times New Roman"/>
                      <w:color w:val="auto"/>
                      <w:spacing w:val="-3"/>
                      <w:sz w:val="21"/>
                      <w:szCs w:val="21"/>
                      <w:vertAlign w:val="superscript"/>
                    </w:rPr>
                    <w:t>2</w:t>
                  </w:r>
                  <w:r>
                    <w:rPr>
                      <w:rFonts w:hint="default" w:ascii="Times New Roman" w:hAnsi="Times New Roman" w:cs="Times New Roman"/>
                      <w:color w:val="auto"/>
                      <w:spacing w:val="-3"/>
                      <w:sz w:val="21"/>
                      <w:szCs w:val="21"/>
                    </w:rPr>
                    <w:t>。</w:t>
                  </w:r>
                </w:p>
              </w:tc>
              <w:tc>
                <w:tcPr>
                  <w:tcW w:w="380" w:type="pct"/>
                  <w:vAlign w:val="center"/>
                </w:tcPr>
                <w:p w14:paraId="4000DCA1">
                  <w:pPr>
                    <w:pStyle w:val="47"/>
                    <w:jc w:val="center"/>
                    <w:rPr>
                      <w:rFonts w:ascii="Times New Roman" w:hAnsi="Times New Roman" w:cs="Times New Roman"/>
                      <w:color w:val="auto"/>
                      <w:sz w:val="21"/>
                      <w:szCs w:val="21"/>
                    </w:rPr>
                  </w:pPr>
                  <w:r>
                    <w:rPr>
                      <w:rFonts w:ascii="Times New Roman" w:hAnsi="Times New Roman" w:cs="Times New Roman"/>
                      <w:color w:val="auto"/>
                      <w:sz w:val="21"/>
                      <w:szCs w:val="21"/>
                    </w:rPr>
                    <w:t>符合</w:t>
                  </w:r>
                </w:p>
              </w:tc>
            </w:tr>
            <w:tr w14:paraId="20367D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bottom w:val="single" w:color="auto" w:sz="4" w:space="0"/>
                  </w:tcBorders>
                  <w:vAlign w:val="center"/>
                </w:tcPr>
                <w:p w14:paraId="54D8673E">
                  <w:pPr>
                    <w:pStyle w:val="47"/>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2</w:t>
                  </w:r>
                </w:p>
              </w:tc>
              <w:tc>
                <w:tcPr>
                  <w:tcW w:w="2647" w:type="pct"/>
                  <w:vAlign w:val="center"/>
                </w:tcPr>
                <w:p w14:paraId="407AAF56">
                  <w:pPr>
                    <w:pStyle w:val="47"/>
                    <w:jc w:val="lef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水污染防治及资源综合利用：矿井水经过常规处理后回用于矿区内部的矿井井下消防洒水、选煤厂生产补充水、生产用水等，多余矿井水部分可用于附近电厂等，矿井水全部回用不外排。</w:t>
                  </w:r>
                </w:p>
              </w:tc>
              <w:tc>
                <w:tcPr>
                  <w:tcW w:w="1494" w:type="pct"/>
                  <w:vAlign w:val="center"/>
                </w:tcPr>
                <w:p w14:paraId="679F5345">
                  <w:pPr>
                    <w:pStyle w:val="47"/>
                    <w:jc w:val="lef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乏风取热设施定期冲洗废水，经废水收集池收集后送至李家壕煤矿矿井水处理站进行处理，处理后用于井下消防等，不外排。</w:t>
                  </w:r>
                </w:p>
              </w:tc>
              <w:tc>
                <w:tcPr>
                  <w:tcW w:w="380" w:type="pct"/>
                  <w:vAlign w:val="center"/>
                </w:tcPr>
                <w:p w14:paraId="3296D6ED">
                  <w:pPr>
                    <w:pStyle w:val="47"/>
                    <w:jc w:val="center"/>
                    <w:rPr>
                      <w:rFonts w:ascii="Times New Roman" w:hAnsi="Times New Roman" w:cs="Times New Roman"/>
                      <w:color w:val="auto"/>
                      <w:sz w:val="21"/>
                      <w:szCs w:val="21"/>
                    </w:rPr>
                  </w:pPr>
                </w:p>
              </w:tc>
            </w:tr>
            <w:tr w14:paraId="79A1E0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top w:val="single" w:color="auto" w:sz="4" w:space="0"/>
                    <w:bottom w:val="single" w:color="auto" w:sz="4" w:space="0"/>
                  </w:tcBorders>
                  <w:vAlign w:val="center"/>
                </w:tcPr>
                <w:p w14:paraId="512B900A">
                  <w:pPr>
                    <w:jc w:val="center"/>
                    <w:rPr>
                      <w:rFonts w:hint="eastAsia" w:eastAsia="宋体"/>
                      <w:color w:val="auto"/>
                      <w:szCs w:val="21"/>
                      <w:lang w:val="en-US" w:eastAsia="zh-CN"/>
                    </w:rPr>
                  </w:pPr>
                  <w:r>
                    <w:rPr>
                      <w:rFonts w:hint="eastAsia"/>
                      <w:color w:val="auto"/>
                      <w:szCs w:val="21"/>
                      <w:lang w:val="en-US" w:eastAsia="zh-CN"/>
                    </w:rPr>
                    <w:t>3</w:t>
                  </w:r>
                </w:p>
              </w:tc>
              <w:tc>
                <w:tcPr>
                  <w:tcW w:w="2647" w:type="pct"/>
                  <w:vAlign w:val="center"/>
                </w:tcPr>
                <w:p w14:paraId="6F67A0FD">
                  <w:pPr>
                    <w:pStyle w:val="47"/>
                    <w:jc w:val="left"/>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固体废物处置及综合利用：废机油及废油桶在煤矿生产维护中产生，均属于危险废物，按照《危险废物贮存污染控制标准》（GB18597-2023）要求，各煤矿工业场地需设置1座危废贮存间暂存于危废贮存间，并交给有专业资质单位进行处置。</w:t>
                  </w:r>
                </w:p>
              </w:tc>
              <w:tc>
                <w:tcPr>
                  <w:tcW w:w="1494" w:type="pct"/>
                  <w:vAlign w:val="center"/>
                </w:tcPr>
                <w:p w14:paraId="2CFF3CF8">
                  <w:pPr>
                    <w:jc w:val="left"/>
                    <w:rPr>
                      <w:rFonts w:hint="default" w:eastAsia="宋体"/>
                      <w:color w:val="auto"/>
                      <w:szCs w:val="21"/>
                      <w:lang w:val="en-US" w:eastAsia="zh-CN"/>
                    </w:rPr>
                  </w:pPr>
                  <w:r>
                    <w:rPr>
                      <w:rFonts w:hint="eastAsia"/>
                      <w:color w:val="auto"/>
                      <w:szCs w:val="21"/>
                      <w:lang w:val="en-US" w:eastAsia="zh-CN"/>
                    </w:rPr>
                    <w:t>项目产生的危废主要为废机油和废油桶，暂存于李家壕煤矿现有危废暂存库（360m</w:t>
                  </w:r>
                  <w:r>
                    <w:rPr>
                      <w:rFonts w:hint="eastAsia"/>
                      <w:color w:val="auto"/>
                      <w:szCs w:val="21"/>
                      <w:vertAlign w:val="superscript"/>
                      <w:lang w:val="en-US" w:eastAsia="zh-CN"/>
                    </w:rPr>
                    <w:t>2</w:t>
                  </w:r>
                  <w:r>
                    <w:rPr>
                      <w:rFonts w:hint="eastAsia"/>
                      <w:color w:val="auto"/>
                      <w:szCs w:val="21"/>
                      <w:lang w:val="en-US" w:eastAsia="zh-CN"/>
                    </w:rPr>
                    <w:t>），委托有资质单位集中处置。</w:t>
                  </w:r>
                </w:p>
              </w:tc>
              <w:tc>
                <w:tcPr>
                  <w:tcW w:w="380" w:type="pct"/>
                  <w:vAlign w:val="center"/>
                </w:tcPr>
                <w:p w14:paraId="7293738F">
                  <w:pPr>
                    <w:pStyle w:val="47"/>
                    <w:jc w:val="center"/>
                    <w:rPr>
                      <w:rFonts w:ascii="Times New Roman" w:hAnsi="Times New Roman" w:cs="Times New Roman"/>
                      <w:color w:val="auto"/>
                      <w:sz w:val="21"/>
                      <w:szCs w:val="21"/>
                    </w:rPr>
                  </w:pPr>
                  <w:r>
                    <w:rPr>
                      <w:rFonts w:ascii="Times New Roman" w:hAnsi="Times New Roman" w:cs="Times New Roman"/>
                      <w:color w:val="auto"/>
                      <w:sz w:val="21"/>
                      <w:szCs w:val="21"/>
                    </w:rPr>
                    <w:t>符合</w:t>
                  </w:r>
                </w:p>
              </w:tc>
            </w:tr>
          </w:tbl>
          <w:p w14:paraId="41AA0CA6">
            <w:pPr>
              <w:pStyle w:val="5"/>
              <w:spacing w:before="0" w:after="0" w:line="500" w:lineRule="exact"/>
              <w:ind w:right="0"/>
              <w:jc w:val="center"/>
              <w:rPr>
                <w:b/>
                <w:bCs/>
                <w:color w:val="auto"/>
                <w:sz w:val="24"/>
                <w:szCs w:val="24"/>
              </w:rPr>
            </w:pPr>
            <w:r>
              <w:rPr>
                <w:b/>
                <w:bCs/>
                <w:color w:val="auto"/>
                <w:sz w:val="24"/>
                <w:szCs w:val="24"/>
              </w:rPr>
              <w:t>表1-</w:t>
            </w:r>
            <w:r>
              <w:rPr>
                <w:rFonts w:hint="eastAsia"/>
                <w:b/>
                <w:bCs/>
                <w:color w:val="auto"/>
                <w:sz w:val="24"/>
                <w:szCs w:val="24"/>
                <w:lang w:val="en-US" w:eastAsia="zh-CN"/>
              </w:rPr>
              <w:t>2</w:t>
            </w:r>
            <w:r>
              <w:rPr>
                <w:rFonts w:hint="eastAsia"/>
                <w:b/>
                <w:bCs/>
                <w:color w:val="auto"/>
                <w:sz w:val="24"/>
                <w:szCs w:val="24"/>
              </w:rPr>
              <w:t xml:space="preserve">   </w:t>
            </w:r>
            <w:r>
              <w:rPr>
                <w:b/>
                <w:bCs/>
                <w:color w:val="auto"/>
                <w:sz w:val="24"/>
                <w:szCs w:val="24"/>
              </w:rPr>
              <w:t>项目与规划环评</w:t>
            </w:r>
            <w:r>
              <w:rPr>
                <w:rFonts w:hint="eastAsia"/>
                <w:b/>
                <w:bCs/>
                <w:color w:val="auto"/>
                <w:sz w:val="24"/>
                <w:szCs w:val="24"/>
                <w:lang w:val="en-US" w:eastAsia="zh-CN"/>
              </w:rPr>
              <w:t>审查意见</w:t>
            </w:r>
            <w:r>
              <w:rPr>
                <w:b/>
                <w:bCs/>
                <w:color w:val="auto"/>
                <w:sz w:val="24"/>
                <w:szCs w:val="24"/>
                <w:lang w:bidi="ar"/>
              </w:rPr>
              <w:t>的</w:t>
            </w:r>
            <w:r>
              <w:rPr>
                <w:b/>
                <w:bCs/>
                <w:color w:val="auto"/>
                <w:sz w:val="24"/>
                <w:szCs w:val="24"/>
              </w:rPr>
              <w:t>符合性分析</w:t>
            </w:r>
          </w:p>
          <w:p w14:paraId="5F1884FB">
            <w:pPr>
              <w:spacing w:line="87" w:lineRule="auto"/>
              <w:rPr>
                <w:color w:val="auto"/>
                <w:sz w:val="2"/>
              </w:rPr>
            </w:pPr>
          </w:p>
          <w:tbl>
            <w:tblPr>
              <w:tblStyle w:val="46"/>
              <w:tblW w:w="4895"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96"/>
              <w:gridCol w:w="3852"/>
              <w:gridCol w:w="2174"/>
              <w:gridCol w:w="553"/>
            </w:tblGrid>
            <w:tr w14:paraId="72B048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vAlign w:val="center"/>
                </w:tcPr>
                <w:p w14:paraId="061FA1D3">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序号</w:t>
                  </w:r>
                </w:p>
              </w:tc>
              <w:tc>
                <w:tcPr>
                  <w:tcW w:w="2647" w:type="pct"/>
                  <w:vAlign w:val="center"/>
                </w:tcPr>
                <w:p w14:paraId="6AB0125C">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矿区规划环评</w:t>
                  </w:r>
                  <w:r>
                    <w:rPr>
                      <w:rFonts w:hint="eastAsia" w:ascii="Times New Roman" w:hAnsi="Times New Roman" w:cs="Times New Roman"/>
                      <w:color w:val="auto"/>
                      <w:sz w:val="21"/>
                      <w:szCs w:val="21"/>
                      <w:lang w:val="en-US" w:eastAsia="zh-CN"/>
                    </w:rPr>
                    <w:t>审查意见</w:t>
                  </w:r>
                  <w:r>
                    <w:rPr>
                      <w:rFonts w:ascii="Times New Roman" w:hAnsi="Times New Roman" w:cs="Times New Roman"/>
                      <w:color w:val="auto"/>
                      <w:sz w:val="21"/>
                      <w:szCs w:val="21"/>
                      <w:lang w:eastAsia="zh-CN"/>
                    </w:rPr>
                    <w:t>中相关要求</w:t>
                  </w:r>
                </w:p>
              </w:tc>
              <w:tc>
                <w:tcPr>
                  <w:tcW w:w="1494" w:type="pct"/>
                  <w:vAlign w:val="center"/>
                </w:tcPr>
                <w:p w14:paraId="3A0618D3">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lang w:eastAsia="zh-CN"/>
                    </w:rPr>
                    <w:t>本</w:t>
                  </w:r>
                  <w:r>
                    <w:rPr>
                      <w:rFonts w:ascii="Times New Roman" w:hAnsi="Times New Roman" w:cs="Times New Roman"/>
                      <w:color w:val="auto"/>
                      <w:sz w:val="21"/>
                      <w:szCs w:val="21"/>
                    </w:rPr>
                    <w:t>项目</w:t>
                  </w:r>
                </w:p>
              </w:tc>
              <w:tc>
                <w:tcPr>
                  <w:tcW w:w="380" w:type="pct"/>
                  <w:vAlign w:val="center"/>
                </w:tcPr>
                <w:p w14:paraId="53B778EE">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符合</w:t>
                  </w:r>
                </w:p>
                <w:p w14:paraId="233EBB3F">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性</w:t>
                  </w:r>
                </w:p>
              </w:tc>
            </w:tr>
            <w:tr w14:paraId="3FA959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bottom w:val="single" w:color="auto" w:sz="4" w:space="0"/>
                  </w:tcBorders>
                  <w:vAlign w:val="center"/>
                </w:tcPr>
                <w:p w14:paraId="17F2A00C">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p>
              </w:tc>
              <w:tc>
                <w:tcPr>
                  <w:tcW w:w="2647" w:type="pct"/>
                  <w:vAlign w:val="center"/>
                </w:tcPr>
                <w:p w14:paraId="6346FE20">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坚持生态优先、节约集约、绿色低碳发展</w:t>
                  </w:r>
                  <w:r>
                    <w:rPr>
                      <w:rFonts w:ascii="Times New Roman" w:hAnsi="Times New Roman" w:cs="Times New Roman"/>
                      <w:color w:val="auto"/>
                      <w:sz w:val="21"/>
                      <w:szCs w:val="21"/>
                      <w:lang w:eastAsia="zh-CN"/>
                    </w:rPr>
                    <w:t>。</w:t>
                  </w:r>
                  <w:r>
                    <w:rPr>
                      <w:rFonts w:hint="eastAsia" w:ascii="Times New Roman" w:hAnsi="Times New Roman" w:cs="Times New Roman"/>
                      <w:color w:val="auto"/>
                      <w:sz w:val="21"/>
                      <w:szCs w:val="21"/>
                      <w:lang w:eastAsia="zh-CN"/>
                    </w:rPr>
                    <w:t>坚持以习近平生态文明思想为指导，严格落实习近平总书记关于内蒙古生态环境保护的重要指示批示精神，根据区域草原沙漠化控制的主体功能定位，将严守生态保护红线、严格维护区域生态功能、保护周边水生态环境等内容纳入《规划》的生态环境保护目标。切实落实《报告书》提出的各项《规划》优化调整建议和生态环境保护对策措施，促进煤炭矿区开发与生态环境保护相协调，维护区域生态安全。</w:t>
                  </w:r>
                </w:p>
              </w:tc>
              <w:tc>
                <w:tcPr>
                  <w:tcW w:w="1494" w:type="pct"/>
                  <w:vAlign w:val="center"/>
                </w:tcPr>
                <w:p w14:paraId="36F9FC2C">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val="en-US" w:eastAsia="zh-CN"/>
                    </w:rPr>
                    <w:t>本项目涉及重点管控单元和一般管控单元，不在生态红线范围内</w:t>
                  </w:r>
                  <w:r>
                    <w:rPr>
                      <w:rFonts w:ascii="Times New Roman" w:hAnsi="Times New Roman" w:cs="Times New Roman"/>
                      <w:color w:val="auto"/>
                      <w:sz w:val="21"/>
                      <w:szCs w:val="21"/>
                      <w:lang w:eastAsia="zh-CN"/>
                    </w:rPr>
                    <w:t>。</w:t>
                  </w:r>
                </w:p>
              </w:tc>
              <w:tc>
                <w:tcPr>
                  <w:tcW w:w="380" w:type="pct"/>
                  <w:vAlign w:val="center"/>
                </w:tcPr>
                <w:p w14:paraId="2BEF18B3">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符合</w:t>
                  </w:r>
                </w:p>
              </w:tc>
            </w:tr>
            <w:tr w14:paraId="5DD995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top w:val="single" w:color="auto" w:sz="4" w:space="0"/>
                    <w:bottom w:val="single" w:color="auto" w:sz="4" w:space="0"/>
                  </w:tcBorders>
                  <w:vAlign w:val="center"/>
                </w:tcPr>
                <w:p w14:paraId="2A556450">
                  <w:pPr>
                    <w:keepNext w:val="0"/>
                    <w:keepLines w:val="0"/>
                    <w:pageBreakBefore w:val="0"/>
                    <w:widowControl w:val="0"/>
                    <w:kinsoku/>
                    <w:wordWrap/>
                    <w:overflowPunct/>
                    <w:topLinePunct w:val="0"/>
                    <w:autoSpaceDE/>
                    <w:autoSpaceDN/>
                    <w:bidi w:val="0"/>
                    <w:ind w:left="0" w:leftChars="0" w:right="0" w:rightChars="0"/>
                    <w:jc w:val="center"/>
                    <w:textAlignment w:val="auto"/>
                    <w:rPr>
                      <w:rFonts w:hint="eastAsia" w:eastAsia="宋体"/>
                      <w:color w:val="auto"/>
                      <w:szCs w:val="21"/>
                      <w:lang w:val="en-US" w:eastAsia="zh-CN"/>
                    </w:rPr>
                  </w:pPr>
                  <w:r>
                    <w:rPr>
                      <w:rFonts w:hint="eastAsia"/>
                      <w:color w:val="auto"/>
                      <w:szCs w:val="21"/>
                      <w:lang w:val="en-US" w:eastAsia="zh-CN"/>
                    </w:rPr>
                    <w:t>2</w:t>
                  </w:r>
                </w:p>
              </w:tc>
              <w:tc>
                <w:tcPr>
                  <w:tcW w:w="2647" w:type="pct"/>
                  <w:vAlign w:val="center"/>
                </w:tcPr>
                <w:p w14:paraId="06D3DBFB">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严格保护生态空间，优化矿区开发布局。主动对接内蒙古自治区和鄂尔多斯市国土空间规划，加强《规划》与生态环境分区管控方案、主体功能区规划、生态功能区划、内蒙古自治区“十四五”矿产资源总体规划及规划环评等有关要求的协调衔接，确保符合相关管控和保护要求......项目实施应符合《内蒙古自治区煤炭管理条例》第九条“禁止在生态保护红线内草原区规划煤炭开发项目。严格控制在生态保护红线外草原区规划建设新的煤炭开发项目、扩大露天开采区域，确有特殊需要的，由自治区人民政府依照国家和自治区有关规定审批”的规定，否则不得开发。</w:t>
                  </w:r>
                </w:p>
              </w:tc>
              <w:tc>
                <w:tcPr>
                  <w:tcW w:w="1494" w:type="pct"/>
                  <w:vAlign w:val="center"/>
                </w:tcPr>
                <w:p w14:paraId="51B018FD">
                  <w:pPr>
                    <w:keepNext w:val="0"/>
                    <w:keepLines w:val="0"/>
                    <w:pageBreakBefore w:val="0"/>
                    <w:widowControl w:val="0"/>
                    <w:kinsoku/>
                    <w:wordWrap/>
                    <w:overflowPunct/>
                    <w:topLinePunct w:val="0"/>
                    <w:autoSpaceDE/>
                    <w:autoSpaceDN/>
                    <w:bidi w:val="0"/>
                    <w:ind w:left="0" w:leftChars="0" w:right="0" w:rightChars="0"/>
                    <w:jc w:val="left"/>
                    <w:textAlignment w:val="auto"/>
                    <w:rPr>
                      <w:rFonts w:hint="eastAsia" w:eastAsia="宋体"/>
                      <w:color w:val="auto"/>
                      <w:szCs w:val="21"/>
                      <w:lang w:eastAsia="zh-CN"/>
                    </w:rPr>
                  </w:pPr>
                  <w:r>
                    <w:rPr>
                      <w:color w:val="auto"/>
                      <w:kern w:val="0"/>
                      <w:szCs w:val="21"/>
                    </w:rPr>
                    <w:t>本项目为</w:t>
                  </w:r>
                  <w:r>
                    <w:rPr>
                      <w:rFonts w:hint="eastAsia"/>
                      <w:color w:val="auto"/>
                      <w:kern w:val="0"/>
                      <w:szCs w:val="21"/>
                    </w:rPr>
                    <w:t>李家壕煤矿</w:t>
                  </w:r>
                  <w:r>
                    <w:rPr>
                      <w:color w:val="auto"/>
                      <w:kern w:val="0"/>
                      <w:szCs w:val="21"/>
                    </w:rPr>
                    <w:t>附属工程，</w:t>
                  </w:r>
                  <w:r>
                    <w:rPr>
                      <w:rFonts w:hint="eastAsia"/>
                      <w:color w:val="auto"/>
                      <w:kern w:val="0"/>
                      <w:szCs w:val="21"/>
                    </w:rPr>
                    <w:t>位于李家壕煤矿矿区范围内，本次新建风井工业场地位置、尺寸已纳入鄂尔多斯市东胜区国土空间规划范围</w:t>
                  </w:r>
                  <w:r>
                    <w:rPr>
                      <w:rFonts w:hint="eastAsia"/>
                      <w:color w:val="auto"/>
                      <w:kern w:val="0"/>
                      <w:szCs w:val="21"/>
                      <w:lang w:eastAsia="zh-CN"/>
                    </w:rPr>
                    <w:t>。</w:t>
                  </w:r>
                </w:p>
              </w:tc>
              <w:tc>
                <w:tcPr>
                  <w:tcW w:w="380" w:type="pct"/>
                  <w:vAlign w:val="center"/>
                </w:tcPr>
                <w:p w14:paraId="396C9DA4">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符合</w:t>
                  </w:r>
                </w:p>
              </w:tc>
            </w:tr>
            <w:tr w14:paraId="725EC7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top w:val="single" w:color="auto" w:sz="4" w:space="0"/>
                    <w:bottom w:val="single" w:color="auto" w:sz="4" w:space="0"/>
                  </w:tcBorders>
                  <w:vAlign w:val="center"/>
                </w:tcPr>
                <w:p w14:paraId="63425CB1">
                  <w:pPr>
                    <w:keepNext w:val="0"/>
                    <w:keepLines w:val="0"/>
                    <w:pageBreakBefore w:val="0"/>
                    <w:widowControl w:val="0"/>
                    <w:kinsoku/>
                    <w:wordWrap/>
                    <w:overflowPunct/>
                    <w:topLinePunct w:val="0"/>
                    <w:autoSpaceDE/>
                    <w:autoSpaceDN/>
                    <w:bidi w:val="0"/>
                    <w:ind w:left="0" w:leftChars="0" w:right="0" w:rightChars="0"/>
                    <w:jc w:val="center"/>
                    <w:textAlignment w:val="auto"/>
                    <w:rPr>
                      <w:rFonts w:hint="eastAsia" w:eastAsia="宋体"/>
                      <w:color w:val="auto"/>
                      <w:szCs w:val="21"/>
                      <w:lang w:val="en-US" w:eastAsia="zh-CN"/>
                    </w:rPr>
                  </w:pPr>
                  <w:r>
                    <w:rPr>
                      <w:rFonts w:hint="eastAsia"/>
                      <w:color w:val="auto"/>
                      <w:szCs w:val="21"/>
                      <w:lang w:val="en-US" w:eastAsia="zh-CN"/>
                    </w:rPr>
                    <w:t>3</w:t>
                  </w:r>
                </w:p>
              </w:tc>
              <w:tc>
                <w:tcPr>
                  <w:tcW w:w="2647" w:type="pct"/>
                  <w:vAlign w:val="center"/>
                </w:tcPr>
                <w:p w14:paraId="68AFCA8D">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控制矿区开发强度，优化建设时序。应深入开展相关煤矿开发对乌兰木伦河、㹀牛川、罕台川、哈什拉川及支流的影响研究，优化开发布局、加强监测，必要时调整开发方案，确保河流水体功能不降低。</w:t>
                  </w:r>
                </w:p>
              </w:tc>
              <w:tc>
                <w:tcPr>
                  <w:tcW w:w="1494" w:type="pct"/>
                  <w:vAlign w:val="center"/>
                </w:tcPr>
                <w:p w14:paraId="7AF088D4">
                  <w:pPr>
                    <w:keepNext w:val="0"/>
                    <w:keepLines w:val="0"/>
                    <w:pageBreakBefore w:val="0"/>
                    <w:widowControl w:val="0"/>
                    <w:kinsoku/>
                    <w:wordWrap/>
                    <w:overflowPunct/>
                    <w:topLinePunct w:val="0"/>
                    <w:autoSpaceDE/>
                    <w:autoSpaceDN/>
                    <w:bidi w:val="0"/>
                    <w:adjustRightInd w:val="0"/>
                    <w:snapToGrid w:val="0"/>
                    <w:ind w:left="0" w:leftChars="0" w:right="0" w:rightChars="0"/>
                    <w:jc w:val="left"/>
                    <w:textAlignment w:val="auto"/>
                    <w:rPr>
                      <w:color w:val="auto"/>
                      <w:szCs w:val="21"/>
                    </w:rPr>
                  </w:pPr>
                  <w:r>
                    <w:rPr>
                      <w:color w:val="auto"/>
                      <w:kern w:val="0"/>
                      <w:szCs w:val="21"/>
                    </w:rPr>
                    <w:t>本项目为</w:t>
                  </w:r>
                  <w:r>
                    <w:rPr>
                      <w:rFonts w:hint="eastAsia"/>
                      <w:color w:val="auto"/>
                      <w:kern w:val="0"/>
                      <w:szCs w:val="21"/>
                    </w:rPr>
                    <w:t>李家壕煤矿</w:t>
                  </w:r>
                  <w:r>
                    <w:rPr>
                      <w:color w:val="auto"/>
                      <w:kern w:val="0"/>
                      <w:szCs w:val="21"/>
                    </w:rPr>
                    <w:t>附属工程，</w:t>
                  </w:r>
                  <w:r>
                    <w:rPr>
                      <w:rFonts w:hint="eastAsia"/>
                      <w:color w:val="auto"/>
                      <w:kern w:val="0"/>
                      <w:szCs w:val="21"/>
                      <w:lang w:val="en-US" w:eastAsia="zh-CN"/>
                    </w:rPr>
                    <w:t>本</w:t>
                  </w:r>
                  <w:r>
                    <w:rPr>
                      <w:rFonts w:hint="eastAsia"/>
                      <w:color w:val="auto"/>
                      <w:kern w:val="0"/>
                      <w:szCs w:val="21"/>
                    </w:rPr>
                    <w:t>项目区周边无地表水体</w:t>
                  </w:r>
                  <w:r>
                    <w:rPr>
                      <w:color w:val="auto"/>
                      <w:szCs w:val="21"/>
                    </w:rPr>
                    <w:t>。</w:t>
                  </w:r>
                </w:p>
              </w:tc>
              <w:tc>
                <w:tcPr>
                  <w:tcW w:w="380" w:type="pct"/>
                  <w:vAlign w:val="center"/>
                </w:tcPr>
                <w:p w14:paraId="2BBCEBDC">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z w:val="21"/>
                      <w:szCs w:val="21"/>
                    </w:rPr>
                    <w:t>符合</w:t>
                  </w:r>
                </w:p>
              </w:tc>
            </w:tr>
            <w:tr w14:paraId="5E8EF2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top w:val="single" w:color="auto" w:sz="4" w:space="0"/>
                    <w:bottom w:val="single" w:color="auto" w:sz="4" w:space="0"/>
                  </w:tcBorders>
                  <w:vAlign w:val="center"/>
                </w:tcPr>
                <w:p w14:paraId="23146DE2">
                  <w:pPr>
                    <w:keepNext w:val="0"/>
                    <w:keepLines w:val="0"/>
                    <w:pageBreakBefore w:val="0"/>
                    <w:widowControl w:val="0"/>
                    <w:kinsoku/>
                    <w:wordWrap/>
                    <w:overflowPunct/>
                    <w:topLinePunct w:val="0"/>
                    <w:autoSpaceDE/>
                    <w:autoSpaceDN/>
                    <w:bidi w:val="0"/>
                    <w:ind w:left="0" w:leftChars="0" w:right="0" w:rightChars="0"/>
                    <w:jc w:val="center"/>
                    <w:textAlignment w:val="auto"/>
                    <w:rPr>
                      <w:rFonts w:hint="eastAsia" w:eastAsia="宋体"/>
                      <w:color w:val="auto"/>
                      <w:szCs w:val="21"/>
                      <w:lang w:val="en-US" w:eastAsia="zh-CN"/>
                    </w:rPr>
                  </w:pPr>
                  <w:r>
                    <w:rPr>
                      <w:rFonts w:hint="eastAsia"/>
                      <w:color w:val="auto"/>
                      <w:szCs w:val="21"/>
                      <w:lang w:val="en-US" w:eastAsia="zh-CN"/>
                    </w:rPr>
                    <w:t>4</w:t>
                  </w:r>
                </w:p>
              </w:tc>
              <w:tc>
                <w:tcPr>
                  <w:tcW w:w="2647" w:type="pct"/>
                  <w:vAlign w:val="center"/>
                </w:tcPr>
                <w:p w14:paraId="67E985C4">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pacing w:val="8"/>
                      <w:sz w:val="21"/>
                      <w:szCs w:val="21"/>
                      <w:lang w:eastAsia="zh-CN"/>
                    </w:rPr>
                    <w:t>严格煤矿开发的生态环境准入。全面落实各项资源环境要求，矿区煤炭开采污染物排放以及生产用水、能耗、物耗应达到清洁生产一级指标......加强矿井乏风余热利用，优先使用清洁能源取暖；实施煤矿瓦斯监测、抽采及利用，控制温室气体排放。进一步提高铁路运输、全封闭皮带运输等清洁运输方式比例，在2025年前矿区清洁运输比例达到70%以上。矿区开发应优先选用新能源机械，提高矿区绿化工艺水平。</w:t>
                  </w:r>
                </w:p>
              </w:tc>
              <w:tc>
                <w:tcPr>
                  <w:tcW w:w="1494" w:type="pct"/>
                  <w:vAlign w:val="center"/>
                </w:tcPr>
                <w:p w14:paraId="6809B946">
                  <w:pPr>
                    <w:keepNext w:val="0"/>
                    <w:keepLines w:val="0"/>
                    <w:pageBreakBefore w:val="0"/>
                    <w:widowControl w:val="0"/>
                    <w:kinsoku/>
                    <w:wordWrap/>
                    <w:overflowPunct/>
                    <w:topLinePunct w:val="0"/>
                    <w:autoSpaceDE/>
                    <w:autoSpaceDN/>
                    <w:bidi w:val="0"/>
                    <w:adjustRightInd w:val="0"/>
                    <w:snapToGrid w:val="0"/>
                    <w:ind w:left="0" w:leftChars="0" w:right="0" w:rightChars="0"/>
                    <w:jc w:val="left"/>
                    <w:textAlignment w:val="auto"/>
                    <w:rPr>
                      <w:rFonts w:hint="default" w:ascii="Times New Roman" w:hAnsi="Times New Roman" w:cs="Times New Roman"/>
                      <w:color w:val="auto"/>
                      <w:szCs w:val="21"/>
                    </w:rPr>
                  </w:pPr>
                  <w:r>
                    <w:rPr>
                      <w:rFonts w:hint="default" w:ascii="Times New Roman" w:hAnsi="Times New Roman" w:cs="Times New Roman"/>
                      <w:color w:val="auto"/>
                      <w:kern w:val="0"/>
                      <w:szCs w:val="21"/>
                    </w:rPr>
                    <w:t>本项目供热采用</w:t>
                  </w:r>
                  <w:r>
                    <w:rPr>
                      <w:rFonts w:hint="default" w:ascii="Times New Roman" w:hAnsi="Times New Roman" w:cs="Times New Roman"/>
                      <w:color w:val="auto"/>
                      <w:szCs w:val="21"/>
                    </w:rPr>
                    <w:t>乏风余热利用方案，并对风井场地进行绿化，场内绿化面积</w:t>
                  </w:r>
                  <w:r>
                    <w:rPr>
                      <w:rFonts w:hint="eastAsia" w:ascii="Times New Roman" w:hAnsi="Times New Roman" w:cs="Times New Roman"/>
                      <w:color w:val="auto"/>
                      <w:spacing w:val="-3"/>
                      <w:szCs w:val="21"/>
                      <w:lang w:val="en-US" w:eastAsia="zh-CN"/>
                    </w:rPr>
                    <w:t>0.14h</w:t>
                  </w:r>
                  <w:r>
                    <w:rPr>
                      <w:rFonts w:hint="default" w:ascii="Times New Roman" w:hAnsi="Times New Roman" w:cs="Times New Roman"/>
                      <w:color w:val="auto"/>
                      <w:spacing w:val="-3"/>
                      <w:szCs w:val="21"/>
                    </w:rPr>
                    <w:t>m</w:t>
                  </w:r>
                  <w:r>
                    <w:rPr>
                      <w:rFonts w:hint="default" w:ascii="Times New Roman" w:hAnsi="Times New Roman" w:cs="Times New Roman"/>
                      <w:color w:val="auto"/>
                      <w:spacing w:val="-3"/>
                      <w:szCs w:val="21"/>
                      <w:vertAlign w:val="superscript"/>
                    </w:rPr>
                    <w:t>2</w:t>
                  </w:r>
                  <w:r>
                    <w:rPr>
                      <w:rFonts w:hint="default" w:ascii="Times New Roman" w:hAnsi="Times New Roman" w:cs="Times New Roman"/>
                      <w:color w:val="auto"/>
                      <w:spacing w:val="-3"/>
                      <w:szCs w:val="21"/>
                    </w:rPr>
                    <w:t>，边坡防护面积</w:t>
                  </w:r>
                  <w:r>
                    <w:rPr>
                      <w:rFonts w:hint="eastAsia" w:ascii="Times New Roman" w:hAnsi="Times New Roman" w:cs="Times New Roman"/>
                      <w:color w:val="auto"/>
                      <w:spacing w:val="-3"/>
                      <w:szCs w:val="21"/>
                      <w:lang w:val="en-US" w:eastAsia="zh-CN"/>
                    </w:rPr>
                    <w:t>0.23h</w:t>
                  </w:r>
                  <w:r>
                    <w:rPr>
                      <w:rFonts w:hint="default" w:ascii="Times New Roman" w:hAnsi="Times New Roman" w:cs="Times New Roman"/>
                      <w:color w:val="auto"/>
                      <w:spacing w:val="-3"/>
                      <w:szCs w:val="21"/>
                    </w:rPr>
                    <w:t>m</w:t>
                  </w:r>
                  <w:r>
                    <w:rPr>
                      <w:rFonts w:hint="default" w:ascii="Times New Roman" w:hAnsi="Times New Roman" w:cs="Times New Roman"/>
                      <w:color w:val="auto"/>
                      <w:spacing w:val="-3"/>
                      <w:szCs w:val="21"/>
                      <w:vertAlign w:val="superscript"/>
                    </w:rPr>
                    <w:t>2</w:t>
                  </w:r>
                  <w:r>
                    <w:rPr>
                      <w:rFonts w:hint="default" w:ascii="Times New Roman" w:hAnsi="Times New Roman" w:cs="Times New Roman"/>
                      <w:color w:val="auto"/>
                      <w:spacing w:val="-3"/>
                      <w:szCs w:val="21"/>
                    </w:rPr>
                    <w:t>。</w:t>
                  </w:r>
                </w:p>
              </w:tc>
              <w:tc>
                <w:tcPr>
                  <w:tcW w:w="380" w:type="pct"/>
                  <w:vAlign w:val="center"/>
                </w:tcPr>
                <w:p w14:paraId="2FBC9DFA">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pacing w:val="3"/>
                      <w:sz w:val="21"/>
                      <w:szCs w:val="21"/>
                    </w:rPr>
                    <w:t>符合</w:t>
                  </w:r>
                </w:p>
              </w:tc>
            </w:tr>
            <w:tr w14:paraId="6FD6063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top w:val="single" w:color="auto" w:sz="4" w:space="0"/>
                    <w:bottom w:val="single" w:color="auto" w:sz="4" w:space="0"/>
                  </w:tcBorders>
                  <w:vAlign w:val="center"/>
                </w:tcPr>
                <w:p w14:paraId="50F912E5">
                  <w:pPr>
                    <w:keepNext w:val="0"/>
                    <w:keepLines w:val="0"/>
                    <w:pageBreakBefore w:val="0"/>
                    <w:widowControl w:val="0"/>
                    <w:kinsoku/>
                    <w:wordWrap/>
                    <w:overflowPunct/>
                    <w:topLinePunct w:val="0"/>
                    <w:autoSpaceDE/>
                    <w:autoSpaceDN/>
                    <w:bidi w:val="0"/>
                    <w:ind w:left="0" w:leftChars="0" w:right="0" w:rightChars="0"/>
                    <w:jc w:val="center"/>
                    <w:textAlignment w:val="auto"/>
                    <w:rPr>
                      <w:rFonts w:hint="eastAsia" w:eastAsia="宋体"/>
                      <w:color w:val="auto"/>
                      <w:szCs w:val="21"/>
                      <w:lang w:val="en-US" w:eastAsia="zh-CN"/>
                    </w:rPr>
                  </w:pPr>
                  <w:r>
                    <w:rPr>
                      <w:rFonts w:hint="eastAsia"/>
                      <w:color w:val="auto"/>
                      <w:szCs w:val="21"/>
                      <w:lang w:val="en-US" w:eastAsia="zh-CN"/>
                    </w:rPr>
                    <w:t>5</w:t>
                  </w:r>
                </w:p>
              </w:tc>
              <w:tc>
                <w:tcPr>
                  <w:tcW w:w="2647" w:type="pct"/>
                  <w:vAlign w:val="center"/>
                </w:tcPr>
                <w:p w14:paraId="245D82A9">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pacing w:val="8"/>
                      <w:sz w:val="21"/>
                      <w:szCs w:val="21"/>
                      <w:lang w:eastAsia="zh-CN"/>
                    </w:rPr>
                    <w:t>加强设计，强化区域生态修复</w:t>
                  </w:r>
                  <w:r>
                    <w:rPr>
                      <w:rFonts w:ascii="Times New Roman" w:hAnsi="Times New Roman" w:cs="Times New Roman"/>
                      <w:color w:val="auto"/>
                      <w:spacing w:val="6"/>
                      <w:sz w:val="21"/>
                      <w:szCs w:val="21"/>
                      <w:lang w:eastAsia="zh-CN"/>
                    </w:rPr>
                    <w:t>。</w:t>
                  </w:r>
                  <w:r>
                    <w:rPr>
                      <w:rFonts w:hint="eastAsia" w:ascii="Times New Roman" w:hAnsi="Times New Roman" w:cs="Times New Roman"/>
                      <w:color w:val="auto"/>
                      <w:spacing w:val="6"/>
                      <w:sz w:val="21"/>
                      <w:szCs w:val="21"/>
                      <w:lang w:eastAsia="zh-CN"/>
                    </w:rPr>
                    <w:t>严格控制矿区开发扰动范围，加大环境治理和生态修复力度，切实预防或者减轻规划实施的生态影响，维护区域生态安全。生态修复应坚持因地制宜原则，重建与周边生态环境相协调的植物群落，保护和修复生物多样性，最终形成可自然维持的生态系统。</w:t>
                  </w:r>
                </w:p>
              </w:tc>
              <w:tc>
                <w:tcPr>
                  <w:tcW w:w="1494" w:type="pct"/>
                  <w:vAlign w:val="center"/>
                </w:tcPr>
                <w:p w14:paraId="140F3158">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kern w:val="0"/>
                      <w:sz w:val="21"/>
                      <w:szCs w:val="21"/>
                      <w:lang w:eastAsia="zh-CN"/>
                    </w:rPr>
                    <w:t>本项目</w:t>
                  </w:r>
                  <w:r>
                    <w:rPr>
                      <w:rFonts w:hint="default" w:ascii="Times New Roman" w:hAnsi="Times New Roman" w:cs="Times New Roman"/>
                      <w:color w:val="auto"/>
                      <w:spacing w:val="-1"/>
                      <w:sz w:val="21"/>
                      <w:szCs w:val="21"/>
                      <w:lang w:eastAsia="zh-CN"/>
                    </w:rPr>
                    <w:t>施工期间严格控制施工作业带宽度，</w:t>
                  </w:r>
                  <w:r>
                    <w:rPr>
                      <w:rFonts w:hint="default" w:ascii="Times New Roman" w:hAnsi="Times New Roman" w:cs="Times New Roman"/>
                      <w:color w:val="auto"/>
                      <w:sz w:val="21"/>
                      <w:szCs w:val="21"/>
                      <w:lang w:eastAsia="zh-CN"/>
                    </w:rPr>
                    <w:t>各种施工活动严格控制在施工区域内，并对风井场地进行绿化，场内绿化面积</w:t>
                  </w:r>
                  <w:r>
                    <w:rPr>
                      <w:rFonts w:hint="default" w:ascii="Times New Roman" w:hAnsi="Times New Roman" w:cs="Times New Roman"/>
                      <w:color w:val="auto"/>
                      <w:sz w:val="21"/>
                      <w:szCs w:val="21"/>
                      <w:lang w:val="en-US" w:eastAsia="zh-CN"/>
                    </w:rPr>
                    <w:t>0.14h</w:t>
                  </w:r>
                  <w:r>
                    <w:rPr>
                      <w:rFonts w:hint="default" w:ascii="Times New Roman" w:hAnsi="Times New Roman" w:cs="Times New Roman"/>
                      <w:color w:val="auto"/>
                      <w:sz w:val="21"/>
                      <w:szCs w:val="21"/>
                      <w:lang w:eastAsia="zh-CN"/>
                    </w:rPr>
                    <w:t>m</w:t>
                  </w:r>
                  <w:r>
                    <w:rPr>
                      <w:rFonts w:hint="default" w:ascii="Times New Roman" w:hAnsi="Times New Roman" w:cs="Times New Roman"/>
                      <w:color w:val="auto"/>
                      <w:sz w:val="21"/>
                      <w:szCs w:val="21"/>
                      <w:vertAlign w:val="superscript"/>
                      <w:lang w:eastAsia="zh-CN"/>
                    </w:rPr>
                    <w:t>2</w:t>
                  </w:r>
                  <w:r>
                    <w:rPr>
                      <w:rFonts w:hint="default" w:ascii="Times New Roman" w:hAnsi="Times New Roman" w:cs="Times New Roman"/>
                      <w:color w:val="auto"/>
                      <w:sz w:val="21"/>
                      <w:szCs w:val="21"/>
                      <w:lang w:eastAsia="zh-CN"/>
                    </w:rPr>
                    <w:t>，边坡防护面积</w:t>
                  </w:r>
                  <w:r>
                    <w:rPr>
                      <w:rFonts w:hint="default" w:ascii="Times New Roman" w:hAnsi="Times New Roman" w:cs="Times New Roman"/>
                      <w:color w:val="auto"/>
                      <w:sz w:val="21"/>
                      <w:szCs w:val="21"/>
                      <w:lang w:val="en-US" w:eastAsia="zh-CN"/>
                    </w:rPr>
                    <w:t>0.23h</w:t>
                  </w:r>
                  <w:r>
                    <w:rPr>
                      <w:rFonts w:hint="default" w:ascii="Times New Roman" w:hAnsi="Times New Roman" w:cs="Times New Roman"/>
                      <w:color w:val="auto"/>
                      <w:sz w:val="21"/>
                      <w:szCs w:val="21"/>
                      <w:lang w:eastAsia="zh-CN"/>
                    </w:rPr>
                    <w:t>m</w:t>
                  </w:r>
                  <w:r>
                    <w:rPr>
                      <w:rFonts w:hint="default" w:ascii="Times New Roman" w:hAnsi="Times New Roman" w:cs="Times New Roman"/>
                      <w:color w:val="auto"/>
                      <w:sz w:val="21"/>
                      <w:szCs w:val="21"/>
                      <w:vertAlign w:val="superscript"/>
                      <w:lang w:eastAsia="zh-CN"/>
                    </w:rPr>
                    <w:t>2</w:t>
                  </w:r>
                  <w:r>
                    <w:rPr>
                      <w:rFonts w:hint="default" w:ascii="Times New Roman" w:hAnsi="Times New Roman" w:cs="Times New Roman"/>
                      <w:color w:val="auto"/>
                      <w:sz w:val="21"/>
                      <w:szCs w:val="21"/>
                      <w:lang w:eastAsia="zh-CN"/>
                    </w:rPr>
                    <w:t>。</w:t>
                  </w:r>
                </w:p>
              </w:tc>
              <w:tc>
                <w:tcPr>
                  <w:tcW w:w="380" w:type="pct"/>
                  <w:vAlign w:val="center"/>
                </w:tcPr>
                <w:p w14:paraId="7EA9FF12">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rPr>
                  </w:pPr>
                  <w:r>
                    <w:rPr>
                      <w:rFonts w:ascii="Times New Roman" w:hAnsi="Times New Roman" w:cs="Times New Roman"/>
                      <w:color w:val="auto"/>
                      <w:spacing w:val="3"/>
                      <w:sz w:val="21"/>
                      <w:szCs w:val="21"/>
                    </w:rPr>
                    <w:t>符合</w:t>
                  </w:r>
                </w:p>
              </w:tc>
            </w:tr>
            <w:tr w14:paraId="1DD652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478" w:type="pct"/>
                  <w:tcBorders>
                    <w:top w:val="single" w:color="auto" w:sz="4" w:space="0"/>
                    <w:bottom w:val="single" w:color="auto" w:sz="4" w:space="0"/>
                  </w:tcBorders>
                  <w:vAlign w:val="center"/>
                </w:tcPr>
                <w:p w14:paraId="4D1BC4BF">
                  <w:pPr>
                    <w:keepNext w:val="0"/>
                    <w:keepLines w:val="0"/>
                    <w:pageBreakBefore w:val="0"/>
                    <w:widowControl w:val="0"/>
                    <w:kinsoku/>
                    <w:wordWrap/>
                    <w:overflowPunct/>
                    <w:topLinePunct w:val="0"/>
                    <w:autoSpaceDE/>
                    <w:autoSpaceDN/>
                    <w:bidi w:val="0"/>
                    <w:ind w:left="0" w:leftChars="0" w:right="0" w:rightChars="0"/>
                    <w:jc w:val="center"/>
                    <w:textAlignment w:val="auto"/>
                    <w:rPr>
                      <w:rFonts w:hint="eastAsia" w:eastAsia="宋体"/>
                      <w:color w:val="auto"/>
                      <w:szCs w:val="21"/>
                      <w:lang w:val="en-US" w:eastAsia="zh-CN"/>
                    </w:rPr>
                  </w:pPr>
                  <w:r>
                    <w:rPr>
                      <w:rFonts w:hint="eastAsia"/>
                      <w:color w:val="auto"/>
                      <w:szCs w:val="21"/>
                      <w:lang w:val="en-US" w:eastAsia="zh-CN"/>
                    </w:rPr>
                    <w:t>6</w:t>
                  </w:r>
                </w:p>
              </w:tc>
              <w:tc>
                <w:tcPr>
                  <w:tcW w:w="2647" w:type="pct"/>
                  <w:vAlign w:val="center"/>
                </w:tcPr>
                <w:p w14:paraId="12628319">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hint="eastAsia" w:ascii="Times New Roman" w:hAnsi="Times New Roman" w:cs="Times New Roman"/>
                      <w:color w:val="auto"/>
                      <w:spacing w:val="17"/>
                      <w:sz w:val="21"/>
                      <w:szCs w:val="21"/>
                      <w:lang w:eastAsia="zh-CN"/>
                    </w:rPr>
                    <w:t>完善并加强矿区生态环境监测体系建设。建立地下水长期跟踪监测系统，加强水位、水质、水量监测，加强导水裂隙带发育高度观测，制定居民供水预案，确保居民用水不受采煤影响。加强煤炭、矸石、矿井水等的放射性监测，一旦发现异常情况立即根据有关要求采取有效措施，并及时向主管部门报告。加强对矿区周边生态系统、环境敏感区以及珍稀濒危保护物种跟踪监测，适时开展生态修复效果评估，根据监测和评估结果，必要时进一步优化开采方案或强化生态环保对策措施。</w:t>
                  </w:r>
                </w:p>
              </w:tc>
              <w:tc>
                <w:tcPr>
                  <w:tcW w:w="1494" w:type="pct"/>
                  <w:vAlign w:val="center"/>
                </w:tcPr>
                <w:p w14:paraId="1BBD6257">
                  <w:pPr>
                    <w:pStyle w:val="47"/>
                    <w:keepNext w:val="0"/>
                    <w:keepLines w:val="0"/>
                    <w:pageBreakBefore w:val="0"/>
                    <w:widowControl w:val="0"/>
                    <w:kinsoku/>
                    <w:wordWrap/>
                    <w:overflowPunct/>
                    <w:topLinePunct w:val="0"/>
                    <w:autoSpaceDE/>
                    <w:autoSpaceDN/>
                    <w:bidi w:val="0"/>
                    <w:ind w:left="0" w:leftChars="0" w:right="0" w:rightChars="0"/>
                    <w:jc w:val="left"/>
                    <w:textAlignment w:val="auto"/>
                    <w:rPr>
                      <w:rFonts w:ascii="Times New Roman" w:hAnsi="Times New Roman" w:cs="Times New Roman"/>
                      <w:color w:val="auto"/>
                      <w:sz w:val="21"/>
                      <w:szCs w:val="21"/>
                      <w:lang w:eastAsia="zh-CN"/>
                    </w:rPr>
                  </w:pPr>
                  <w:r>
                    <w:rPr>
                      <w:rFonts w:ascii="Times New Roman" w:hAnsi="Times New Roman" w:cs="Times New Roman"/>
                      <w:color w:val="auto"/>
                      <w:kern w:val="0"/>
                      <w:sz w:val="21"/>
                      <w:szCs w:val="21"/>
                      <w:lang w:eastAsia="zh-CN"/>
                    </w:rPr>
                    <w:t>本项目为</w:t>
                  </w:r>
                  <w:r>
                    <w:rPr>
                      <w:rFonts w:hint="eastAsia" w:ascii="Times New Roman" w:hAnsi="Times New Roman" w:cs="Times New Roman"/>
                      <w:color w:val="auto"/>
                      <w:kern w:val="0"/>
                      <w:sz w:val="21"/>
                      <w:szCs w:val="21"/>
                      <w:lang w:eastAsia="zh-CN"/>
                    </w:rPr>
                    <w:t>李家壕煤矿</w:t>
                  </w:r>
                  <w:r>
                    <w:rPr>
                      <w:rFonts w:ascii="Times New Roman" w:hAnsi="Times New Roman" w:cs="Times New Roman"/>
                      <w:color w:val="auto"/>
                      <w:kern w:val="0"/>
                      <w:sz w:val="21"/>
                      <w:szCs w:val="21"/>
                      <w:lang w:eastAsia="zh-CN"/>
                    </w:rPr>
                    <w:t>附属工程，主要建设</w:t>
                  </w:r>
                  <w:r>
                    <w:rPr>
                      <w:rFonts w:hint="eastAsia" w:ascii="Times New Roman" w:hAnsi="Times New Roman" w:cs="Times New Roman"/>
                      <w:color w:val="auto"/>
                      <w:kern w:val="0"/>
                      <w:sz w:val="21"/>
                      <w:szCs w:val="21"/>
                      <w:lang w:val="en-US" w:eastAsia="zh-CN"/>
                    </w:rPr>
                    <w:t>1座风井场地</w:t>
                  </w:r>
                  <w:r>
                    <w:rPr>
                      <w:rFonts w:ascii="Times New Roman" w:hAnsi="Times New Roman" w:cs="Times New Roman"/>
                      <w:color w:val="auto"/>
                      <w:sz w:val="21"/>
                      <w:szCs w:val="21"/>
                      <w:lang w:eastAsia="zh-CN"/>
                    </w:rPr>
                    <w:t>，</w:t>
                  </w:r>
                  <w:r>
                    <w:rPr>
                      <w:rFonts w:ascii="Times New Roman" w:hAnsi="Times New Roman" w:cs="Times New Roman"/>
                      <w:color w:val="auto"/>
                      <w:kern w:val="0"/>
                      <w:sz w:val="21"/>
                      <w:szCs w:val="21"/>
                      <w:lang w:eastAsia="zh-CN"/>
                    </w:rPr>
                    <w:t>不涉及</w:t>
                  </w:r>
                  <w:r>
                    <w:rPr>
                      <w:rFonts w:hint="eastAsia" w:ascii="Times New Roman" w:hAnsi="Times New Roman" w:cs="Times New Roman"/>
                      <w:color w:val="auto"/>
                      <w:sz w:val="21"/>
                      <w:szCs w:val="21"/>
                      <w:lang w:eastAsia="zh-CN"/>
                    </w:rPr>
                    <w:t>煤炭开采。</w:t>
                  </w:r>
                </w:p>
              </w:tc>
              <w:tc>
                <w:tcPr>
                  <w:tcW w:w="380" w:type="pct"/>
                  <w:vAlign w:val="center"/>
                </w:tcPr>
                <w:p w14:paraId="6743A3BF">
                  <w:pPr>
                    <w:pStyle w:val="47"/>
                    <w:keepNext w:val="0"/>
                    <w:keepLines w:val="0"/>
                    <w:pageBreakBefore w:val="0"/>
                    <w:widowControl w:val="0"/>
                    <w:kinsoku/>
                    <w:wordWrap/>
                    <w:overflowPunct/>
                    <w:topLinePunct w:val="0"/>
                    <w:autoSpaceDE/>
                    <w:autoSpaceDN/>
                    <w:bidi w:val="0"/>
                    <w:ind w:left="0" w:leftChars="0" w:right="0" w:rightChars="0"/>
                    <w:jc w:val="center"/>
                    <w:textAlignment w:val="auto"/>
                    <w:rPr>
                      <w:rFonts w:ascii="Times New Roman" w:hAnsi="Times New Roman" w:cs="Times New Roman"/>
                      <w:color w:val="auto"/>
                      <w:sz w:val="21"/>
                      <w:szCs w:val="21"/>
                      <w:lang w:eastAsia="zh-CN"/>
                    </w:rPr>
                  </w:pPr>
                  <w:r>
                    <w:rPr>
                      <w:rFonts w:ascii="Times New Roman" w:hAnsi="Times New Roman" w:cs="Times New Roman"/>
                      <w:color w:val="auto"/>
                      <w:spacing w:val="3"/>
                      <w:sz w:val="21"/>
                      <w:szCs w:val="21"/>
                      <w:lang w:eastAsia="zh-CN"/>
                    </w:rPr>
                    <w:t>符合</w:t>
                  </w:r>
                </w:p>
              </w:tc>
            </w:tr>
          </w:tbl>
          <w:p w14:paraId="070DB70C">
            <w:pPr>
              <w:widowControl/>
              <w:spacing w:line="500" w:lineRule="exact"/>
              <w:ind w:firstLine="480" w:firstLineChars="200"/>
              <w:rPr>
                <w:color w:val="auto"/>
                <w:kern w:val="0"/>
                <w:sz w:val="24"/>
              </w:rPr>
            </w:pPr>
            <w:r>
              <w:rPr>
                <w:color w:val="auto"/>
                <w:kern w:val="0"/>
                <w:sz w:val="24"/>
              </w:rPr>
              <w:t>由上表可知，本项目符合规划环评审查意见的要求。</w:t>
            </w:r>
          </w:p>
        </w:tc>
      </w:tr>
      <w:tr w14:paraId="0985EC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1" w:hRule="atLeast"/>
        </w:trPr>
        <w:tc>
          <w:tcPr>
            <w:tcW w:w="1571" w:type="dxa"/>
            <w:tcMar>
              <w:top w:w="16" w:type="dxa"/>
              <w:left w:w="16" w:type="dxa"/>
              <w:right w:w="16" w:type="dxa"/>
            </w:tcMar>
            <w:vAlign w:val="center"/>
          </w:tcPr>
          <w:p w14:paraId="6857D5B9">
            <w:pPr>
              <w:autoSpaceDE w:val="0"/>
              <w:autoSpaceDN w:val="0"/>
              <w:adjustRightInd w:val="0"/>
              <w:snapToGrid w:val="0"/>
              <w:jc w:val="center"/>
              <w:rPr>
                <w:color w:val="auto"/>
                <w:kern w:val="0"/>
                <w:sz w:val="24"/>
              </w:rPr>
            </w:pPr>
            <w:bookmarkStart w:id="7" w:name="_Hlk56690880"/>
            <w:r>
              <w:rPr>
                <w:color w:val="auto"/>
                <w:kern w:val="0"/>
                <w:sz w:val="24"/>
              </w:rPr>
              <w:t>其他符合性</w:t>
            </w:r>
          </w:p>
          <w:p w14:paraId="2C81CB87">
            <w:pPr>
              <w:autoSpaceDE w:val="0"/>
              <w:autoSpaceDN w:val="0"/>
              <w:adjustRightInd w:val="0"/>
              <w:snapToGrid w:val="0"/>
              <w:jc w:val="center"/>
              <w:rPr>
                <w:color w:val="auto"/>
                <w:kern w:val="0"/>
                <w:szCs w:val="21"/>
              </w:rPr>
            </w:pPr>
            <w:r>
              <w:rPr>
                <w:color w:val="auto"/>
                <w:kern w:val="0"/>
                <w:sz w:val="24"/>
              </w:rPr>
              <w:t>分析</w:t>
            </w:r>
            <w:bookmarkEnd w:id="7"/>
          </w:p>
        </w:tc>
        <w:tc>
          <w:tcPr>
            <w:tcW w:w="7468" w:type="dxa"/>
            <w:gridSpan w:val="3"/>
            <w:tcMar>
              <w:top w:w="16" w:type="dxa"/>
              <w:left w:w="16" w:type="dxa"/>
              <w:right w:w="16" w:type="dxa"/>
            </w:tcMar>
            <w:vAlign w:val="center"/>
          </w:tcPr>
          <w:p w14:paraId="7B331271">
            <w:pPr>
              <w:autoSpaceDE w:val="0"/>
              <w:autoSpaceDN w:val="0"/>
              <w:adjustRightInd w:val="0"/>
              <w:snapToGrid w:val="0"/>
              <w:spacing w:line="500" w:lineRule="exact"/>
              <w:ind w:firstLine="482" w:firstLineChars="200"/>
              <w:jc w:val="left"/>
              <w:rPr>
                <w:b/>
                <w:bCs/>
                <w:color w:val="auto"/>
                <w:sz w:val="24"/>
              </w:rPr>
            </w:pPr>
            <w:r>
              <w:rPr>
                <w:rFonts w:hint="eastAsia"/>
                <w:b/>
                <w:bCs/>
                <w:color w:val="auto"/>
                <w:sz w:val="24"/>
              </w:rPr>
              <w:t>1</w:t>
            </w:r>
            <w:r>
              <w:rPr>
                <w:b/>
                <w:bCs/>
                <w:color w:val="auto"/>
                <w:sz w:val="24"/>
              </w:rPr>
              <w:t>、产业政策符合性分析</w:t>
            </w:r>
          </w:p>
          <w:p w14:paraId="3F6AB456">
            <w:pPr>
              <w:autoSpaceDE w:val="0"/>
              <w:autoSpaceDN w:val="0"/>
              <w:adjustRightInd w:val="0"/>
              <w:snapToGrid w:val="0"/>
              <w:spacing w:line="500" w:lineRule="exact"/>
              <w:ind w:firstLine="480" w:firstLineChars="200"/>
              <w:rPr>
                <w:color w:val="auto"/>
                <w:sz w:val="24"/>
              </w:rPr>
            </w:pPr>
            <w:r>
              <w:rPr>
                <w:color w:val="auto"/>
                <w:sz w:val="24"/>
              </w:rPr>
              <w:t>本项目为</w:t>
            </w:r>
            <w:r>
              <w:rPr>
                <w:rFonts w:hint="eastAsia"/>
                <w:color w:val="auto"/>
                <w:sz w:val="24"/>
              </w:rPr>
              <w:t>进、</w:t>
            </w:r>
            <w:r>
              <w:rPr>
                <w:color w:val="auto"/>
                <w:sz w:val="24"/>
              </w:rPr>
              <w:t>回风立井</w:t>
            </w:r>
            <w:r>
              <w:rPr>
                <w:rFonts w:hint="eastAsia"/>
                <w:color w:val="auto"/>
                <w:sz w:val="24"/>
                <w:lang w:val="en-US" w:eastAsia="zh-CN"/>
              </w:rPr>
              <w:t>建设</w:t>
            </w:r>
            <w:r>
              <w:rPr>
                <w:color w:val="auto"/>
                <w:sz w:val="24"/>
              </w:rPr>
              <w:t>项目，不属于《产业结构调整指导目录（2024年本）》中的限制类、淘汰类项目，属于允许类</w:t>
            </w:r>
            <w:r>
              <w:rPr>
                <w:rFonts w:hint="eastAsia"/>
                <w:color w:val="auto"/>
                <w:sz w:val="24"/>
              </w:rPr>
              <w:t>，</w:t>
            </w:r>
            <w:r>
              <w:rPr>
                <w:color w:val="auto"/>
                <w:sz w:val="24"/>
              </w:rPr>
              <w:t xml:space="preserve">因此符合国家现行产业政策。 </w:t>
            </w:r>
          </w:p>
          <w:p w14:paraId="4833C71F">
            <w:pPr>
              <w:autoSpaceDE w:val="0"/>
              <w:autoSpaceDN w:val="0"/>
              <w:adjustRightInd w:val="0"/>
              <w:snapToGrid w:val="0"/>
              <w:spacing w:line="500" w:lineRule="exact"/>
              <w:ind w:firstLine="480" w:firstLineChars="200"/>
              <w:rPr>
                <w:color w:val="auto"/>
                <w:sz w:val="24"/>
              </w:rPr>
            </w:pPr>
            <w:r>
              <w:rPr>
                <w:rFonts w:hint="eastAsia"/>
                <w:color w:val="auto"/>
                <w:sz w:val="24"/>
                <w:lang w:val="en-US" w:eastAsia="zh-CN"/>
              </w:rPr>
              <w:t>鄂尔多斯市</w:t>
            </w:r>
            <w:r>
              <w:rPr>
                <w:rFonts w:hint="eastAsia"/>
                <w:color w:val="auto"/>
                <w:sz w:val="24"/>
              </w:rPr>
              <w:t>东胜区</w:t>
            </w:r>
            <w:r>
              <w:rPr>
                <w:color w:val="auto"/>
                <w:sz w:val="24"/>
              </w:rPr>
              <w:t>能源局于202</w:t>
            </w:r>
            <w:r>
              <w:rPr>
                <w:rFonts w:hint="eastAsia"/>
                <w:color w:val="auto"/>
                <w:sz w:val="24"/>
                <w:lang w:val="en-US" w:eastAsia="zh-CN"/>
              </w:rPr>
              <w:t>3</w:t>
            </w:r>
            <w:r>
              <w:rPr>
                <w:color w:val="auto"/>
                <w:sz w:val="24"/>
              </w:rPr>
              <w:t>年1月</w:t>
            </w:r>
            <w:r>
              <w:rPr>
                <w:rFonts w:hint="eastAsia"/>
                <w:color w:val="auto"/>
                <w:sz w:val="24"/>
              </w:rPr>
              <w:t>17</w:t>
            </w:r>
            <w:r>
              <w:rPr>
                <w:color w:val="auto"/>
                <w:sz w:val="24"/>
              </w:rPr>
              <w:t>日对本项目进行备案</w:t>
            </w:r>
            <w:r>
              <w:rPr>
                <w:rFonts w:hint="eastAsia"/>
                <w:color w:val="auto"/>
                <w:sz w:val="24"/>
                <w:lang w:eastAsia="zh-CN"/>
              </w:rPr>
              <w:t>（</w:t>
            </w:r>
            <w:r>
              <w:rPr>
                <w:color w:val="auto"/>
                <w:sz w:val="24"/>
              </w:rPr>
              <w:t>备案文件见附件</w:t>
            </w:r>
            <w:r>
              <w:rPr>
                <w:rFonts w:hint="eastAsia"/>
                <w:color w:val="auto"/>
                <w:sz w:val="24"/>
                <w:lang w:val="en-US" w:eastAsia="zh-CN"/>
              </w:rPr>
              <w:t>4</w:t>
            </w:r>
            <w:r>
              <w:rPr>
                <w:rFonts w:hint="eastAsia"/>
                <w:color w:val="auto"/>
                <w:sz w:val="24"/>
                <w:lang w:eastAsia="zh-CN"/>
              </w:rPr>
              <w:t>）</w:t>
            </w:r>
            <w:r>
              <w:rPr>
                <w:color w:val="auto"/>
                <w:sz w:val="24"/>
              </w:rPr>
              <w:t>，</w:t>
            </w:r>
            <w:r>
              <w:rPr>
                <w:rFonts w:hint="eastAsia"/>
                <w:color w:val="auto"/>
                <w:sz w:val="24"/>
              </w:rPr>
              <w:t>2025年1月17日经核实备案信息有效</w:t>
            </w:r>
            <w:r>
              <w:rPr>
                <w:rFonts w:hint="eastAsia"/>
                <w:color w:val="auto"/>
                <w:sz w:val="24"/>
                <w:lang w:eastAsia="zh-CN"/>
              </w:rPr>
              <w:t>，</w:t>
            </w:r>
            <w:r>
              <w:rPr>
                <w:color w:val="auto"/>
                <w:sz w:val="24"/>
              </w:rPr>
              <w:t>项目代码</w:t>
            </w:r>
            <w:r>
              <w:rPr>
                <w:rFonts w:hint="eastAsia"/>
                <w:color w:val="auto"/>
                <w:sz w:val="24"/>
              </w:rPr>
              <w:t>2205</w:t>
            </w:r>
            <w:r>
              <w:rPr>
                <w:color w:val="auto"/>
                <w:sz w:val="24"/>
              </w:rPr>
              <w:t>-150</w:t>
            </w:r>
            <w:r>
              <w:rPr>
                <w:rFonts w:hint="eastAsia"/>
                <w:color w:val="auto"/>
                <w:sz w:val="24"/>
              </w:rPr>
              <w:t>602</w:t>
            </w:r>
            <w:r>
              <w:rPr>
                <w:color w:val="auto"/>
                <w:sz w:val="24"/>
              </w:rPr>
              <w:t>-</w:t>
            </w:r>
            <w:r>
              <w:rPr>
                <w:rFonts w:hint="eastAsia"/>
                <w:color w:val="auto"/>
                <w:sz w:val="24"/>
              </w:rPr>
              <w:t>60</w:t>
            </w:r>
            <w:r>
              <w:rPr>
                <w:color w:val="auto"/>
                <w:sz w:val="24"/>
              </w:rPr>
              <w:t>-0</w:t>
            </w:r>
            <w:r>
              <w:rPr>
                <w:rFonts w:hint="eastAsia"/>
                <w:color w:val="auto"/>
                <w:sz w:val="24"/>
              </w:rPr>
              <w:t>1</w:t>
            </w:r>
            <w:r>
              <w:rPr>
                <w:color w:val="auto"/>
                <w:sz w:val="24"/>
              </w:rPr>
              <w:t>-</w:t>
            </w:r>
            <w:r>
              <w:rPr>
                <w:rFonts w:hint="eastAsia"/>
                <w:color w:val="auto"/>
                <w:sz w:val="24"/>
                <w:lang w:val="en-US" w:eastAsia="zh-CN"/>
              </w:rPr>
              <w:t xml:space="preserve"> </w:t>
            </w:r>
            <w:r>
              <w:rPr>
                <w:rFonts w:hint="eastAsia"/>
                <w:color w:val="auto"/>
                <w:sz w:val="24"/>
              </w:rPr>
              <w:t>732567</w:t>
            </w:r>
            <w:r>
              <w:rPr>
                <w:color w:val="auto"/>
                <w:sz w:val="24"/>
              </w:rPr>
              <w:t>，因此项目建设符合国家和地方产业政策。</w:t>
            </w:r>
          </w:p>
          <w:p w14:paraId="33122589">
            <w:pPr>
              <w:autoSpaceDE w:val="0"/>
              <w:autoSpaceDN w:val="0"/>
              <w:adjustRightInd w:val="0"/>
              <w:snapToGrid w:val="0"/>
              <w:spacing w:line="500" w:lineRule="exact"/>
              <w:ind w:firstLine="482" w:firstLineChars="200"/>
              <w:jc w:val="left"/>
              <w:rPr>
                <w:b/>
                <w:bCs/>
                <w:color w:val="auto"/>
                <w:sz w:val="24"/>
              </w:rPr>
            </w:pPr>
            <w:r>
              <w:rPr>
                <w:rFonts w:hint="eastAsia"/>
                <w:b/>
                <w:bCs/>
                <w:color w:val="auto"/>
                <w:sz w:val="24"/>
              </w:rPr>
              <w:t>2</w:t>
            </w:r>
            <w:r>
              <w:rPr>
                <w:b/>
                <w:bCs/>
                <w:color w:val="auto"/>
                <w:sz w:val="24"/>
              </w:rPr>
              <w:t>、与“三线一单”的符合性分析</w:t>
            </w:r>
          </w:p>
          <w:p w14:paraId="7DDA2B01">
            <w:pPr>
              <w:autoSpaceDE w:val="0"/>
              <w:autoSpaceDN w:val="0"/>
              <w:adjustRightInd w:val="0"/>
              <w:snapToGrid w:val="0"/>
              <w:spacing w:line="500" w:lineRule="exact"/>
              <w:ind w:firstLine="480" w:firstLineChars="200"/>
              <w:jc w:val="left"/>
              <w:rPr>
                <w:color w:val="auto"/>
                <w:sz w:val="24"/>
              </w:rPr>
            </w:pPr>
            <w:r>
              <w:rPr>
                <w:rFonts w:hint="eastAsia"/>
                <w:color w:val="auto"/>
                <w:sz w:val="24"/>
              </w:rPr>
              <w:t>（1）生态保护红线</w:t>
            </w:r>
          </w:p>
          <w:p w14:paraId="291CA0C8">
            <w:pPr>
              <w:autoSpaceDE w:val="0"/>
              <w:autoSpaceDN w:val="0"/>
              <w:adjustRightInd w:val="0"/>
              <w:snapToGrid w:val="0"/>
              <w:spacing w:line="500" w:lineRule="exact"/>
              <w:ind w:firstLine="480" w:firstLineChars="200"/>
              <w:jc w:val="left"/>
              <w:rPr>
                <w:color w:val="auto"/>
                <w:sz w:val="24"/>
              </w:rPr>
            </w:pPr>
            <w:r>
              <w:rPr>
                <w:color w:val="auto"/>
                <w:sz w:val="24"/>
              </w:rPr>
              <w:t>《鄂尔多斯市生态环境分区管控动态更新成果（2023年版）》指出：“依据生态保护红线、环境质量底线、资源利用上线等调整情况，结合全市经济社会发展和生态环境保护实际，调整优先保护、重点管控、一般管控三类环境管控单元，分区分类实施精细化管控。优先保护单元突出系统性保护，保持空间格局基本稳定，部分单元结合生态保护红线予以调整；重点管控单元突出精细化管理，空间格局与环境治理格局相匹配，部分单元根据产业园区、矿区和城镇开发边界进行调整；一般管控单元保持基本稳定，为经济社会发展和生态环境保护预留空间。”</w:t>
            </w:r>
          </w:p>
          <w:p w14:paraId="22DC1D1C">
            <w:pPr>
              <w:autoSpaceDE w:val="0"/>
              <w:autoSpaceDN w:val="0"/>
              <w:adjustRightInd w:val="0"/>
              <w:snapToGrid w:val="0"/>
              <w:spacing w:line="500" w:lineRule="exact"/>
              <w:ind w:firstLine="480" w:firstLineChars="200"/>
              <w:jc w:val="left"/>
              <w:rPr>
                <w:color w:val="auto"/>
                <w:sz w:val="24"/>
              </w:rPr>
            </w:pPr>
            <w:r>
              <w:rPr>
                <w:color w:val="auto"/>
                <w:sz w:val="24"/>
              </w:rPr>
              <w:t>调整后，全市按优先保护、重点管控、一般管控三大类划分为171个环境管控单元。其中，优先保护单元76个，面积占比64.35%；重点管控单元86个，面积占比28.10%；一般管控单元9个，面积占比7.56%。优先保护单元以生态环境保护优先为原则，依法禁止或限制大规模、高强度的工业开发和城镇建设，确保生态环境功能不降低。重点管控单元应不断提升资源利用效率，有针对性地加强污染物排放控制和环境风险防控，解决生态环境质量不达标、生态环境风险高等问题。一般管控单元主要落实生态环境保护基本要求。</w:t>
            </w:r>
          </w:p>
          <w:p w14:paraId="341A4DA6">
            <w:pPr>
              <w:autoSpaceDE w:val="0"/>
              <w:autoSpaceDN w:val="0"/>
              <w:adjustRightInd w:val="0"/>
              <w:snapToGrid w:val="0"/>
              <w:spacing w:line="500" w:lineRule="exact"/>
              <w:ind w:firstLine="480" w:firstLineChars="200"/>
              <w:rPr>
                <w:color w:val="auto"/>
                <w:sz w:val="24"/>
              </w:rPr>
            </w:pPr>
            <w:r>
              <w:rPr>
                <w:color w:val="auto"/>
                <w:sz w:val="24"/>
              </w:rPr>
              <w:t>本项目位于鄂尔多斯市东胜区罕台镇查干</w:t>
            </w:r>
            <w:r>
              <w:rPr>
                <w:rFonts w:hint="eastAsia"/>
                <w:color w:val="auto"/>
                <w:sz w:val="24"/>
              </w:rPr>
              <w:t>布拉格</w:t>
            </w:r>
            <w:r>
              <w:rPr>
                <w:color w:val="auto"/>
                <w:sz w:val="24"/>
              </w:rPr>
              <w:t>村，</w:t>
            </w:r>
            <w:r>
              <w:rPr>
                <w:rFonts w:hint="eastAsia"/>
                <w:color w:val="auto"/>
                <w:sz w:val="24"/>
              </w:rPr>
              <w:t>环境</w:t>
            </w:r>
            <w:r>
              <w:rPr>
                <w:color w:val="auto"/>
                <w:sz w:val="24"/>
              </w:rPr>
              <w:t>管控单元</w:t>
            </w:r>
            <w:r>
              <w:rPr>
                <w:rFonts w:hint="eastAsia"/>
                <w:color w:val="auto"/>
                <w:sz w:val="24"/>
              </w:rPr>
              <w:t>包括重点管控单元（万利矿区及周边煤矿区，管控单元编码</w:t>
            </w:r>
            <w:r>
              <w:rPr>
                <w:color w:val="auto"/>
                <w:sz w:val="24"/>
              </w:rPr>
              <w:t>为ZH15060220006</w:t>
            </w:r>
            <w:r>
              <w:rPr>
                <w:rFonts w:hint="eastAsia"/>
                <w:color w:val="auto"/>
                <w:sz w:val="24"/>
              </w:rPr>
              <w:t>）及一般管控单元（东胜区一般管控区，管控单元编码为ZH15060230001）</w:t>
            </w:r>
            <w:r>
              <w:rPr>
                <w:color w:val="auto"/>
                <w:sz w:val="24"/>
              </w:rPr>
              <w:t>。评价区内无饮用水水源地、自然保护区、风景名胜区等特殊环境敏感区。本项目不在生态红线范围内，符合生态保护红线管控要求。</w:t>
            </w:r>
          </w:p>
          <w:p w14:paraId="6D01700E">
            <w:pPr>
              <w:autoSpaceDE w:val="0"/>
              <w:autoSpaceDN w:val="0"/>
              <w:adjustRightInd w:val="0"/>
              <w:snapToGrid w:val="0"/>
              <w:spacing w:line="500" w:lineRule="exact"/>
              <w:ind w:firstLine="480" w:firstLineChars="200"/>
              <w:rPr>
                <w:color w:val="auto"/>
                <w:sz w:val="24"/>
              </w:rPr>
            </w:pPr>
            <w:r>
              <w:rPr>
                <w:rFonts w:hint="eastAsia"/>
                <w:color w:val="auto"/>
                <w:sz w:val="24"/>
              </w:rPr>
              <w:t>（2）</w:t>
            </w:r>
            <w:r>
              <w:rPr>
                <w:color w:val="auto"/>
                <w:sz w:val="24"/>
              </w:rPr>
              <w:t>环境质量底线</w:t>
            </w:r>
          </w:p>
          <w:p w14:paraId="58ED2927">
            <w:pPr>
              <w:autoSpaceDE w:val="0"/>
              <w:autoSpaceDN w:val="0"/>
              <w:adjustRightInd w:val="0"/>
              <w:snapToGrid w:val="0"/>
              <w:spacing w:line="500" w:lineRule="exact"/>
              <w:ind w:firstLine="480" w:firstLineChars="200"/>
              <w:rPr>
                <w:color w:val="auto"/>
                <w:sz w:val="24"/>
              </w:rPr>
            </w:pPr>
            <w:r>
              <w:rPr>
                <w:color w:val="auto"/>
                <w:sz w:val="24"/>
              </w:rPr>
              <w:t>根据内蒙古自治区生态环境厅2024年6月公布的2023年《内蒙古自治区生态环境状况公报》中的数据，鄂尔多斯市中心城区各污染物平均浓度均低于《环境空气质量标准》（GB3095-2012）二级标准及其修改单限值要求，项目所在区域为达标区。根据对项目区的现状监测数据可知，评价范围内特征因子TSP的现状监测结果满足《环境空气质量标准》（GB3095-2012）二级标准及其修改单限值要求</w:t>
            </w:r>
            <w:r>
              <w:rPr>
                <w:rFonts w:hint="eastAsia"/>
                <w:color w:val="auto"/>
                <w:sz w:val="24"/>
              </w:rPr>
              <w:t>。</w:t>
            </w:r>
            <w:r>
              <w:rPr>
                <w:color w:val="auto"/>
                <w:sz w:val="24"/>
              </w:rPr>
              <w:t>本项目运营过程中会产生一定量的废气、噪声，采取相应措施后均可达标排放，不会明显降低区域环境质量现状。项目的建设符合鄂尔多斯市的环境质量底线要求。</w:t>
            </w:r>
          </w:p>
          <w:p w14:paraId="45C7094D">
            <w:pPr>
              <w:autoSpaceDE w:val="0"/>
              <w:autoSpaceDN w:val="0"/>
              <w:adjustRightInd w:val="0"/>
              <w:snapToGrid w:val="0"/>
              <w:spacing w:line="500" w:lineRule="exact"/>
              <w:ind w:firstLine="480" w:firstLineChars="200"/>
              <w:rPr>
                <w:color w:val="auto"/>
                <w:sz w:val="24"/>
              </w:rPr>
            </w:pPr>
            <w:r>
              <w:rPr>
                <w:rFonts w:hint="eastAsia"/>
                <w:color w:val="auto"/>
                <w:sz w:val="24"/>
              </w:rPr>
              <w:t>（3）</w:t>
            </w:r>
            <w:r>
              <w:rPr>
                <w:color w:val="auto"/>
                <w:sz w:val="24"/>
              </w:rPr>
              <w:t>资源利用上线</w:t>
            </w:r>
          </w:p>
          <w:p w14:paraId="41178E5D">
            <w:pPr>
              <w:autoSpaceDE w:val="0"/>
              <w:autoSpaceDN w:val="0"/>
              <w:adjustRightInd w:val="0"/>
              <w:snapToGrid w:val="0"/>
              <w:spacing w:line="500" w:lineRule="exact"/>
              <w:ind w:firstLine="480" w:firstLineChars="200"/>
              <w:rPr>
                <w:color w:val="auto"/>
                <w:sz w:val="24"/>
              </w:rPr>
            </w:pPr>
            <w:r>
              <w:rPr>
                <w:color w:val="auto"/>
                <w:sz w:val="24"/>
              </w:rPr>
              <w:t>资源利用上线指按照自然资源资产“只能增值、不能贬值”的原则，以保障生态安全和改善环境质量为目的，参考自然资源资产负债表，结合自然资源开发利用效率，提出的分区域分阶段的资源开发利用总量、强度、效率等上线管控要求。本项目为</w:t>
            </w:r>
            <w:r>
              <w:rPr>
                <w:rFonts w:hint="eastAsia"/>
                <w:color w:val="auto"/>
                <w:sz w:val="24"/>
              </w:rPr>
              <w:t>李家壕煤矿</w:t>
            </w:r>
            <w:r>
              <w:rPr>
                <w:color w:val="auto"/>
                <w:sz w:val="24"/>
              </w:rPr>
              <w:t>配套项目，项目运行期主要消耗水、电资源，本项目水电资源消耗量对区域资源利用总量影响小</w:t>
            </w:r>
            <w:r>
              <w:rPr>
                <w:rFonts w:hint="eastAsia"/>
                <w:color w:val="auto"/>
                <w:sz w:val="24"/>
                <w:lang w:eastAsia="zh-CN"/>
              </w:rPr>
              <w:t>，</w:t>
            </w:r>
            <w:r>
              <w:rPr>
                <w:color w:val="auto"/>
                <w:sz w:val="24"/>
              </w:rPr>
              <w:t>项目资源利用不会突破地区资源利用上线。</w:t>
            </w:r>
          </w:p>
          <w:p w14:paraId="1EB4DB83">
            <w:pPr>
              <w:autoSpaceDE w:val="0"/>
              <w:autoSpaceDN w:val="0"/>
              <w:adjustRightInd w:val="0"/>
              <w:snapToGrid w:val="0"/>
              <w:spacing w:line="500" w:lineRule="exact"/>
              <w:ind w:firstLine="480" w:firstLineChars="200"/>
              <w:rPr>
                <w:color w:val="auto"/>
                <w:sz w:val="24"/>
              </w:rPr>
            </w:pPr>
            <w:r>
              <w:rPr>
                <w:rFonts w:hint="eastAsia"/>
                <w:color w:val="auto"/>
                <w:sz w:val="24"/>
              </w:rPr>
              <w:t>（4）</w:t>
            </w:r>
            <w:r>
              <w:rPr>
                <w:color w:val="auto"/>
                <w:sz w:val="24"/>
              </w:rPr>
              <w:t>生态环境准入清单</w:t>
            </w:r>
          </w:p>
          <w:p w14:paraId="5744C940">
            <w:pPr>
              <w:autoSpaceDE w:val="0"/>
              <w:autoSpaceDN w:val="0"/>
              <w:adjustRightInd w:val="0"/>
              <w:snapToGrid w:val="0"/>
              <w:spacing w:line="500" w:lineRule="exact"/>
              <w:ind w:firstLine="480" w:firstLineChars="200"/>
              <w:rPr>
                <w:color w:val="auto"/>
                <w:sz w:val="24"/>
              </w:rPr>
            </w:pPr>
            <w:r>
              <w:rPr>
                <w:color w:val="auto"/>
                <w:sz w:val="24"/>
              </w:rPr>
              <w:t>根据鄂尔多斯生态环境局提供的“三线一单核查报告”和《鄂尔多斯市生态环境准入清单》，本项目属于“鄂尔多斯市</w:t>
            </w:r>
            <w:r>
              <w:rPr>
                <w:rFonts w:hint="eastAsia"/>
                <w:color w:val="auto"/>
                <w:sz w:val="24"/>
              </w:rPr>
              <w:t>东胜区</w:t>
            </w:r>
            <w:r>
              <w:rPr>
                <w:color w:val="auto"/>
                <w:sz w:val="24"/>
              </w:rPr>
              <w:t>生态环境准入清单”的</w:t>
            </w:r>
            <w:r>
              <w:rPr>
                <w:rFonts w:hint="eastAsia"/>
                <w:color w:val="auto"/>
                <w:sz w:val="24"/>
              </w:rPr>
              <w:t>重点管控单元（万利矿区及周边煤矿区，管控单元编码</w:t>
            </w:r>
            <w:r>
              <w:rPr>
                <w:color w:val="auto"/>
                <w:sz w:val="24"/>
              </w:rPr>
              <w:t>为ZH15060220006</w:t>
            </w:r>
            <w:r>
              <w:rPr>
                <w:rFonts w:hint="eastAsia"/>
                <w:color w:val="auto"/>
                <w:sz w:val="24"/>
              </w:rPr>
              <w:t>）及一般管控单元（东胜区一般管控区，管控单元编码为ZH15060230001）</w:t>
            </w:r>
            <w:r>
              <w:rPr>
                <w:color w:val="auto"/>
                <w:sz w:val="24"/>
              </w:rPr>
              <w:t>，单元管控要求见下表。</w:t>
            </w:r>
          </w:p>
          <w:p w14:paraId="73BE7664">
            <w:pPr>
              <w:widowControl/>
              <w:spacing w:line="480" w:lineRule="exact"/>
              <w:jc w:val="center"/>
              <w:rPr>
                <w:color w:val="auto"/>
                <w:sz w:val="24"/>
              </w:rPr>
            </w:pPr>
            <w:r>
              <w:rPr>
                <w:b/>
                <w:bCs/>
                <w:color w:val="auto"/>
                <w:kern w:val="0"/>
                <w:sz w:val="24"/>
              </w:rPr>
              <w:t>表1-</w:t>
            </w:r>
            <w:r>
              <w:rPr>
                <w:rFonts w:hint="eastAsia"/>
                <w:b/>
                <w:bCs/>
                <w:color w:val="auto"/>
                <w:kern w:val="0"/>
                <w:sz w:val="24"/>
              </w:rPr>
              <w:t>2   东胜区</w:t>
            </w:r>
            <w:r>
              <w:rPr>
                <w:b/>
                <w:bCs/>
                <w:color w:val="auto"/>
                <w:kern w:val="0"/>
                <w:sz w:val="24"/>
              </w:rPr>
              <w:t>环境管控单元管控要求</w:t>
            </w:r>
          </w:p>
          <w:tbl>
            <w:tblPr>
              <w:tblStyle w:val="30"/>
              <w:tblW w:w="49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919"/>
              <w:gridCol w:w="2233"/>
              <w:gridCol w:w="2716"/>
            </w:tblGrid>
            <w:tr w14:paraId="5F700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39" w:type="dxa"/>
                  <w:gridSpan w:val="2"/>
                  <w:vAlign w:val="center"/>
                </w:tcPr>
                <w:p w14:paraId="3BD161CC">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环境管控单元编码</w:t>
                  </w:r>
                </w:p>
              </w:tc>
              <w:tc>
                <w:tcPr>
                  <w:tcW w:w="4955" w:type="dxa"/>
                  <w:gridSpan w:val="2"/>
                  <w:vAlign w:val="center"/>
                </w:tcPr>
                <w:p w14:paraId="7B00347E">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ZH15060220006</w:t>
                  </w:r>
                </w:p>
              </w:tc>
            </w:tr>
            <w:tr w14:paraId="74819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39" w:type="dxa"/>
                  <w:gridSpan w:val="2"/>
                  <w:vAlign w:val="center"/>
                </w:tcPr>
                <w:p w14:paraId="419882F1">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环境管控单元名称</w:t>
                  </w:r>
                </w:p>
              </w:tc>
              <w:tc>
                <w:tcPr>
                  <w:tcW w:w="4955" w:type="dxa"/>
                  <w:gridSpan w:val="2"/>
                  <w:vAlign w:val="center"/>
                </w:tcPr>
                <w:p w14:paraId="3280E7E1">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万利矿区及周边煤矿区</w:t>
                  </w:r>
                </w:p>
              </w:tc>
            </w:tr>
            <w:tr w14:paraId="5ED27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39" w:type="dxa"/>
                  <w:gridSpan w:val="2"/>
                  <w:vAlign w:val="center"/>
                </w:tcPr>
                <w:p w14:paraId="3738FB11">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环境管控单元类别</w:t>
                  </w:r>
                </w:p>
              </w:tc>
              <w:tc>
                <w:tcPr>
                  <w:tcW w:w="4955" w:type="dxa"/>
                  <w:gridSpan w:val="2"/>
                  <w:vAlign w:val="center"/>
                </w:tcPr>
                <w:p w14:paraId="2A9FD2A9">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重点</w:t>
                  </w:r>
                  <w:r>
                    <w:rPr>
                      <w:color w:val="auto"/>
                      <w:szCs w:val="21"/>
                    </w:rPr>
                    <w:t>管控单元</w:t>
                  </w:r>
                </w:p>
              </w:tc>
            </w:tr>
            <w:tr w14:paraId="462B7F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579" w:type="dxa"/>
                  <w:gridSpan w:val="3"/>
                  <w:vAlign w:val="center"/>
                </w:tcPr>
                <w:p w14:paraId="3C7167D3">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管控要求</w:t>
                  </w:r>
                </w:p>
              </w:tc>
              <w:tc>
                <w:tcPr>
                  <w:tcW w:w="2715" w:type="dxa"/>
                  <w:vAlign w:val="center"/>
                </w:tcPr>
                <w:p w14:paraId="6D828394">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项目情况</w:t>
                  </w:r>
                </w:p>
              </w:tc>
            </w:tr>
            <w:tr w14:paraId="0CBB7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2" w:type="dxa"/>
                  <w:vAlign w:val="center"/>
                </w:tcPr>
                <w:p w14:paraId="637289FF">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空间布局约束</w:t>
                  </w:r>
                </w:p>
              </w:tc>
              <w:tc>
                <w:tcPr>
                  <w:tcW w:w="4157" w:type="dxa"/>
                  <w:gridSpan w:val="2"/>
                  <w:vAlign w:val="center"/>
                </w:tcPr>
                <w:p w14:paraId="4CFAA965">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color w:val="auto"/>
                      <w:szCs w:val="21"/>
                    </w:rPr>
                    <w:t>1、</w:t>
                  </w:r>
                  <w:r>
                    <w:rPr>
                      <w:rFonts w:hint="eastAsia"/>
                      <w:color w:val="auto"/>
                      <w:szCs w:val="21"/>
                    </w:rPr>
                    <w:t>非经国务院授权的有关主管部门同意，不得在《中华人民共和国矿产资源法（修正）》中所列的</w:t>
                  </w:r>
                  <w:r>
                    <w:rPr>
                      <w:color w:val="auto"/>
                      <w:szCs w:val="21"/>
                    </w:rPr>
                    <w:t>6</w:t>
                  </w:r>
                  <w:r>
                    <w:rPr>
                      <w:rFonts w:hint="eastAsia"/>
                      <w:color w:val="auto"/>
                      <w:szCs w:val="21"/>
                    </w:rPr>
                    <w:t>种地区开采矿产资源</w:t>
                  </w:r>
                  <w:r>
                    <w:rPr>
                      <w:color w:val="auto"/>
                      <w:szCs w:val="21"/>
                    </w:rPr>
                    <w:t>。</w:t>
                  </w:r>
                </w:p>
                <w:p w14:paraId="35739431">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color w:val="auto"/>
                      <w:szCs w:val="21"/>
                    </w:rPr>
                    <w:t>2、</w:t>
                  </w:r>
                  <w:r>
                    <w:rPr>
                      <w:rFonts w:hint="eastAsia"/>
                      <w:color w:val="auto"/>
                      <w:szCs w:val="21"/>
                    </w:rPr>
                    <w:t>禁止新建、扩建《产业结构调整指导目录（</w:t>
                  </w:r>
                  <w:r>
                    <w:rPr>
                      <w:color w:val="auto"/>
                      <w:szCs w:val="21"/>
                    </w:rPr>
                    <w:t>2019</w:t>
                  </w:r>
                  <w:r>
                    <w:rPr>
                      <w:rFonts w:hint="eastAsia"/>
                      <w:color w:val="auto"/>
                      <w:szCs w:val="21"/>
                    </w:rPr>
                    <w:t>年本）》明确的淘汰类项目；严格执行《自治区国家重点生态功能区产业准入负面清单（试行）》（内政发〔</w:t>
                  </w:r>
                  <w:r>
                    <w:rPr>
                      <w:color w:val="auto"/>
                      <w:szCs w:val="21"/>
                    </w:rPr>
                    <w:t>2018</w:t>
                  </w:r>
                  <w:r>
                    <w:rPr>
                      <w:rFonts w:hint="eastAsia"/>
                      <w:color w:val="auto"/>
                      <w:szCs w:val="21"/>
                    </w:rPr>
                    <w:t>〕</w:t>
                  </w:r>
                  <w:r>
                    <w:rPr>
                      <w:color w:val="auto"/>
                      <w:szCs w:val="21"/>
                    </w:rPr>
                    <w:t>11</w:t>
                  </w:r>
                  <w:r>
                    <w:rPr>
                      <w:rFonts w:hint="eastAsia"/>
                      <w:color w:val="auto"/>
                      <w:szCs w:val="21"/>
                    </w:rPr>
                    <w:t>号）中采矿业管控要求。</w:t>
                  </w:r>
                </w:p>
                <w:p w14:paraId="17F01344">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color w:val="auto"/>
                      <w:szCs w:val="21"/>
                    </w:rPr>
                    <w:t>3、</w:t>
                  </w:r>
                  <w:r>
                    <w:rPr>
                      <w:rFonts w:hint="eastAsia"/>
                      <w:color w:val="auto"/>
                      <w:szCs w:val="21"/>
                    </w:rPr>
                    <w:t>严格控制草原上新建矿产资源开发项目。新上矿产资源开发项目在开展前期工作时，应征求林业和草原行政主管部门意见，严格执行国家林草局草原征占用审核审批管理制度，把先预审、再立项、后建设的源头把控原则落到实处。</w:t>
                  </w:r>
                </w:p>
                <w:p w14:paraId="40BF5533">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4、严格规范草原上已建矿产资源开发项目。对依法批准的草原上已建和在建矿产资源开发项目，不得在依法确定的矿区范围外平面增扩面积，不得未经批准由井工开采变为露天开采，严格控制排渣场、排土场、煤矸石堆场、场区道路占用草原面积。</w:t>
                  </w:r>
                </w:p>
                <w:p w14:paraId="2791828C">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5、执行《内蒙古自治区矿产资源总体规划（2016~ 2020）》中最低开采规模相关要求。</w:t>
                  </w:r>
                </w:p>
              </w:tc>
              <w:tc>
                <w:tcPr>
                  <w:tcW w:w="2715" w:type="dxa"/>
                  <w:vAlign w:val="center"/>
                </w:tcPr>
                <w:p w14:paraId="4101BBA6">
                  <w:pPr>
                    <w:pStyle w:val="18"/>
                    <w:keepNext w:val="0"/>
                    <w:keepLines w:val="0"/>
                    <w:pageBreakBefore w:val="0"/>
                    <w:widowControl w:val="0"/>
                    <w:kinsoku/>
                    <w:overflowPunct/>
                    <w:topLinePunct w:val="0"/>
                    <w:autoSpaceDE/>
                    <w:autoSpaceDN/>
                    <w:bidi w:val="0"/>
                    <w:adjustRightInd/>
                    <w:snapToGrid/>
                    <w:spacing w:line="320" w:lineRule="exact"/>
                    <w:textAlignment w:val="auto"/>
                    <w:rPr>
                      <w:rFonts w:ascii="Times New Roman" w:hAnsi="Times New Roman" w:cs="Times New Roman"/>
                      <w:bCs/>
                      <w:color w:val="auto"/>
                    </w:rPr>
                  </w:pPr>
                  <w:r>
                    <w:rPr>
                      <w:rFonts w:ascii="Times New Roman" w:hAnsi="Times New Roman" w:cs="Times New Roman"/>
                      <w:bCs/>
                      <w:color w:val="auto"/>
                    </w:rPr>
                    <w:t>1</w:t>
                  </w:r>
                  <w:r>
                    <w:rPr>
                      <w:rFonts w:hint="eastAsia" w:ascii="Times New Roman" w:hAnsi="Times New Roman" w:cs="Times New Roman"/>
                      <w:bCs/>
                      <w:color w:val="auto"/>
                    </w:rPr>
                    <w:t>、</w:t>
                  </w:r>
                  <w:r>
                    <w:rPr>
                      <w:rFonts w:ascii="Times New Roman" w:hAnsi="Times New Roman" w:cs="Times New Roman"/>
                      <w:bCs/>
                      <w:color w:val="auto"/>
                    </w:rPr>
                    <w:t>本项目为</w:t>
                  </w:r>
                  <w:r>
                    <w:rPr>
                      <w:rFonts w:hint="eastAsia" w:ascii="Times New Roman" w:hAnsi="Times New Roman" w:cs="Times New Roman"/>
                      <w:bCs/>
                      <w:color w:val="auto"/>
                    </w:rPr>
                    <w:t>李家壕煤矿</w:t>
                  </w:r>
                  <w:r>
                    <w:rPr>
                      <w:rFonts w:ascii="Times New Roman" w:hAnsi="Times New Roman" w:cs="Times New Roman"/>
                      <w:bCs/>
                      <w:color w:val="auto"/>
                    </w:rPr>
                    <w:t>附属工程，主要建设</w:t>
                  </w:r>
                  <w:r>
                    <w:rPr>
                      <w:rFonts w:hint="eastAsia" w:ascii="Times New Roman" w:hAnsi="Times New Roman" w:cs="Times New Roman"/>
                      <w:bCs/>
                      <w:color w:val="auto"/>
                      <w:lang w:val="en-US" w:eastAsia="zh-CN"/>
                    </w:rPr>
                    <w:t>1座风井场地</w:t>
                  </w:r>
                  <w:r>
                    <w:rPr>
                      <w:rFonts w:ascii="Times New Roman" w:hAnsi="Times New Roman" w:cs="Times New Roman"/>
                      <w:bCs/>
                      <w:color w:val="auto"/>
                    </w:rPr>
                    <w:t>，不属于矿产资源开采项目。</w:t>
                  </w:r>
                </w:p>
                <w:p w14:paraId="4D32712B">
                  <w:pPr>
                    <w:pStyle w:val="18"/>
                    <w:keepNext w:val="0"/>
                    <w:keepLines w:val="0"/>
                    <w:pageBreakBefore w:val="0"/>
                    <w:widowControl w:val="0"/>
                    <w:kinsoku/>
                    <w:wordWrap w:val="0"/>
                    <w:overflowPunct/>
                    <w:topLinePunct w:val="0"/>
                    <w:autoSpaceDE/>
                    <w:autoSpaceDN/>
                    <w:bidi w:val="0"/>
                    <w:adjustRightInd/>
                    <w:snapToGrid/>
                    <w:spacing w:line="320" w:lineRule="exact"/>
                    <w:textAlignment w:val="auto"/>
                    <w:rPr>
                      <w:rFonts w:hint="default" w:ascii="Times New Roman" w:hAnsi="Times New Roman" w:cs="Times New Roman"/>
                      <w:bCs/>
                      <w:color w:val="auto"/>
                      <w:highlight w:val="yellow"/>
                    </w:rPr>
                  </w:pPr>
                  <w:r>
                    <w:rPr>
                      <w:rFonts w:ascii="Times New Roman" w:hAnsi="Times New Roman" w:cs="Times New Roman"/>
                      <w:color w:val="auto"/>
                    </w:rPr>
                    <w:t>2</w:t>
                  </w:r>
                  <w:r>
                    <w:rPr>
                      <w:rFonts w:hint="eastAsia" w:ascii="Times New Roman" w:hAnsi="Times New Roman" w:cs="Times New Roman"/>
                      <w:color w:val="auto"/>
                    </w:rPr>
                    <w:t>、</w:t>
                  </w:r>
                  <w:r>
                    <w:rPr>
                      <w:rFonts w:ascii="Times New Roman" w:hAnsi="Times New Roman" w:cs="Times New Roman"/>
                      <w:color w:val="auto"/>
                    </w:rPr>
                    <w:t>本项目不属于《产业结构调整指导目录（2024年本）》淘汰类项目</w:t>
                  </w:r>
                  <w:r>
                    <w:rPr>
                      <w:rFonts w:hint="eastAsia" w:ascii="Times New Roman" w:hAnsi="Times New Roman" w:cs="Times New Roman"/>
                      <w:color w:val="auto"/>
                    </w:rPr>
                    <w:t>，</w:t>
                  </w:r>
                  <w:r>
                    <w:rPr>
                      <w:rFonts w:ascii="Times New Roman" w:hAnsi="Times New Roman" w:cs="Times New Roman"/>
                      <w:color w:val="auto"/>
                    </w:rPr>
                    <w:t>符合《自治区国家重点生态功能区产业准入负面清单（试行）》（内政发〔2018〕11号）中采矿业</w:t>
                  </w:r>
                  <w:r>
                    <w:rPr>
                      <w:rFonts w:hint="default" w:ascii="Times New Roman" w:hAnsi="Times New Roman" w:cs="Times New Roman"/>
                      <w:color w:val="auto"/>
                    </w:rPr>
                    <w:t>管控要求。</w:t>
                  </w:r>
                </w:p>
                <w:p w14:paraId="12AE7996">
                  <w:pPr>
                    <w:pStyle w:val="18"/>
                    <w:keepNext w:val="0"/>
                    <w:keepLines w:val="0"/>
                    <w:pageBreakBefore w:val="0"/>
                    <w:widowControl w:val="0"/>
                    <w:kinsoku/>
                    <w:overflowPunct/>
                    <w:topLinePunct w:val="0"/>
                    <w:autoSpaceDE/>
                    <w:autoSpaceDN/>
                    <w:bidi w:val="0"/>
                    <w:adjustRightInd/>
                    <w:snapToGrid/>
                    <w:spacing w:line="32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3、本项目</w:t>
                  </w:r>
                  <w:r>
                    <w:rPr>
                      <w:rFonts w:hint="default" w:ascii="Times New Roman" w:hAnsi="Times New Roman" w:cs="Times New Roman"/>
                      <w:bCs/>
                      <w:color w:val="auto"/>
                      <w:szCs w:val="21"/>
                    </w:rPr>
                    <w:t>主要建设</w:t>
                  </w:r>
                  <w:r>
                    <w:rPr>
                      <w:rFonts w:hint="default" w:ascii="Times New Roman" w:hAnsi="Times New Roman" w:cs="Times New Roman"/>
                      <w:bCs/>
                      <w:color w:val="auto"/>
                      <w:szCs w:val="21"/>
                      <w:lang w:val="en-US" w:eastAsia="zh-CN"/>
                    </w:rPr>
                    <w:t>1座风井场地</w:t>
                  </w:r>
                  <w:r>
                    <w:rPr>
                      <w:rFonts w:hint="default" w:ascii="Times New Roman" w:hAnsi="Times New Roman" w:cs="Times New Roman"/>
                      <w:bCs/>
                      <w:color w:val="auto"/>
                    </w:rPr>
                    <w:t>，</w:t>
                  </w:r>
                  <w:r>
                    <w:rPr>
                      <w:rFonts w:hint="default" w:ascii="Times New Roman" w:hAnsi="Times New Roman" w:cs="Times New Roman"/>
                      <w:color w:val="auto"/>
                    </w:rPr>
                    <w:t>不属于</w:t>
                  </w:r>
                  <w:r>
                    <w:rPr>
                      <w:rFonts w:hint="default" w:ascii="Times New Roman" w:hAnsi="Times New Roman" w:cs="Times New Roman"/>
                      <w:bCs/>
                      <w:color w:val="auto"/>
                    </w:rPr>
                    <w:t>矿产资源开发项目。</w:t>
                  </w:r>
                </w:p>
                <w:p w14:paraId="67586BE0">
                  <w:pPr>
                    <w:pStyle w:val="18"/>
                    <w:keepNext w:val="0"/>
                    <w:keepLines w:val="0"/>
                    <w:pageBreakBefore w:val="0"/>
                    <w:widowControl w:val="0"/>
                    <w:kinsoku/>
                    <w:overflowPunct/>
                    <w:topLinePunct w:val="0"/>
                    <w:autoSpaceDE/>
                    <w:autoSpaceDN/>
                    <w:bidi w:val="0"/>
                    <w:adjustRightInd/>
                    <w:snapToGrid/>
                    <w:spacing w:line="32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4、本项目位于李家壕煤矿矿区范围内</w:t>
                  </w:r>
                  <w:r>
                    <w:rPr>
                      <w:rFonts w:hint="default" w:ascii="Times New Roman" w:hAnsi="Times New Roman" w:cs="Times New Roman"/>
                      <w:color w:val="auto"/>
                    </w:rPr>
                    <w:t>。</w:t>
                  </w:r>
                </w:p>
                <w:p w14:paraId="299A5DAD">
                  <w:pPr>
                    <w:pStyle w:val="18"/>
                    <w:keepNext w:val="0"/>
                    <w:keepLines w:val="0"/>
                    <w:pageBreakBefore w:val="0"/>
                    <w:widowControl w:val="0"/>
                    <w:kinsoku/>
                    <w:overflowPunct/>
                    <w:topLinePunct w:val="0"/>
                    <w:autoSpaceDE/>
                    <w:autoSpaceDN/>
                    <w:bidi w:val="0"/>
                    <w:adjustRightInd/>
                    <w:snapToGrid/>
                    <w:spacing w:line="320" w:lineRule="exact"/>
                    <w:textAlignment w:val="auto"/>
                    <w:rPr>
                      <w:color w:val="auto"/>
                    </w:rPr>
                  </w:pPr>
                  <w:r>
                    <w:rPr>
                      <w:rFonts w:hint="default" w:ascii="Times New Roman" w:hAnsi="Times New Roman" w:cs="Times New Roman"/>
                      <w:bCs/>
                      <w:color w:val="auto"/>
                    </w:rPr>
                    <w:t>5、本项目为李家壕煤矿附属工程，不涉及矿产资源开采。</w:t>
                  </w:r>
                </w:p>
              </w:tc>
            </w:tr>
            <w:tr w14:paraId="295F9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2" w:type="dxa"/>
                  <w:vAlign w:val="center"/>
                </w:tcPr>
                <w:p w14:paraId="7EBF8F14">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污染物排放管控</w:t>
                  </w:r>
                </w:p>
              </w:tc>
              <w:tc>
                <w:tcPr>
                  <w:tcW w:w="4157" w:type="dxa"/>
                  <w:gridSpan w:val="2"/>
                  <w:vAlign w:val="center"/>
                </w:tcPr>
                <w:p w14:paraId="1981BB7F">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1、矿产资源勘查以及采选过程中排土场、露天采场、尾矿库、矿区专用道路、矿山工业场地、沉陷区、矸石场、矿山污染场地等的生态环境保护与治理恢复工作须满足《矿山生态环境保护与治理恢复技术规范（试行）》（HJ651-2013）要求。落实边开采、边保护、边复垦的要求，使新建、在建矿山损毁土地得到全面复垦。</w:t>
                  </w:r>
                </w:p>
                <w:p w14:paraId="47100871">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2、生产矿山年度占用土地面积与年度治理面积基本达到平衡，“三废”排放符合环保指标要求。</w:t>
                  </w:r>
                </w:p>
                <w:p w14:paraId="0C372351">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3、煤矿地面运煤系统、运输设备、煤炭贮存场所应当全封闭。鼓励有条件的露天矿山采用密闭式皮带运输系统，煤炭企业应当负责矿权范围内和排矸场等着火点灭火工作；提高煤矸石、矿井水的综合利用。</w:t>
                  </w:r>
                </w:p>
                <w:p w14:paraId="0B7EB596">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4、对新建硫份大于 1.5%的煤矿，应配套建设煤炭洗选设施；对现有硫份大于2%的煤矿，应补建配套煤炭洗选设施。</w:t>
                  </w:r>
                </w:p>
              </w:tc>
              <w:tc>
                <w:tcPr>
                  <w:tcW w:w="2715" w:type="dxa"/>
                  <w:vAlign w:val="center"/>
                </w:tcPr>
                <w:p w14:paraId="68FA4328">
                  <w:pPr>
                    <w:pStyle w:val="18"/>
                    <w:keepNext w:val="0"/>
                    <w:keepLines w:val="0"/>
                    <w:pageBreakBefore w:val="0"/>
                    <w:widowControl w:val="0"/>
                    <w:kinsoku/>
                    <w:overflowPunct/>
                    <w:topLinePunct w:val="0"/>
                    <w:autoSpaceDE/>
                    <w:autoSpaceDN/>
                    <w:bidi w:val="0"/>
                    <w:adjustRightInd/>
                    <w:snapToGrid/>
                    <w:spacing w:line="32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1、项目为李家壕煤矿附属工程，</w:t>
                  </w:r>
                  <w:r>
                    <w:rPr>
                      <w:rFonts w:hint="default" w:ascii="Times New Roman" w:hAnsi="Times New Roman" w:cs="Times New Roman"/>
                      <w:bCs/>
                      <w:color w:val="auto"/>
                      <w:szCs w:val="21"/>
                    </w:rPr>
                    <w:t>主要建设</w:t>
                  </w:r>
                  <w:r>
                    <w:rPr>
                      <w:rFonts w:hint="default" w:ascii="Times New Roman" w:hAnsi="Times New Roman" w:cs="Times New Roman"/>
                      <w:bCs/>
                      <w:color w:val="auto"/>
                      <w:szCs w:val="21"/>
                      <w:lang w:val="en-US" w:eastAsia="zh-CN"/>
                    </w:rPr>
                    <w:t>1座风井场地</w:t>
                  </w:r>
                  <w:r>
                    <w:rPr>
                      <w:rFonts w:hint="default" w:ascii="Times New Roman" w:hAnsi="Times New Roman" w:cs="Times New Roman"/>
                      <w:bCs/>
                      <w:color w:val="auto"/>
                    </w:rPr>
                    <w:t>，不涉及矿产资源勘查以及采选</w:t>
                  </w:r>
                  <w:r>
                    <w:rPr>
                      <w:rFonts w:hint="default" w:ascii="Times New Roman" w:hAnsi="Times New Roman" w:cs="Times New Roman"/>
                      <w:color w:val="auto"/>
                    </w:rPr>
                    <w:t>。</w:t>
                  </w:r>
                </w:p>
                <w:p w14:paraId="2EB63BB6">
                  <w:pPr>
                    <w:pStyle w:val="18"/>
                    <w:keepNext w:val="0"/>
                    <w:keepLines w:val="0"/>
                    <w:pageBreakBefore w:val="0"/>
                    <w:widowControl w:val="0"/>
                    <w:kinsoku/>
                    <w:overflowPunct/>
                    <w:topLinePunct w:val="0"/>
                    <w:autoSpaceDE/>
                    <w:autoSpaceDN/>
                    <w:bidi w:val="0"/>
                    <w:adjustRightInd/>
                    <w:snapToGrid/>
                    <w:spacing w:line="32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2、本项目“三废”排放符合环保指标要求。</w:t>
                  </w:r>
                </w:p>
                <w:p w14:paraId="437C7006">
                  <w:pPr>
                    <w:pStyle w:val="18"/>
                    <w:keepNext w:val="0"/>
                    <w:keepLines w:val="0"/>
                    <w:pageBreakBefore w:val="0"/>
                    <w:widowControl w:val="0"/>
                    <w:kinsoku/>
                    <w:overflowPunct/>
                    <w:topLinePunct w:val="0"/>
                    <w:autoSpaceDE/>
                    <w:autoSpaceDN/>
                    <w:bidi w:val="0"/>
                    <w:adjustRightInd/>
                    <w:snapToGrid/>
                    <w:spacing w:line="320" w:lineRule="exact"/>
                    <w:textAlignment w:val="auto"/>
                    <w:rPr>
                      <w:rFonts w:hint="default" w:ascii="Times New Roman" w:hAnsi="Times New Roman" w:cs="Times New Roman"/>
                      <w:bCs/>
                      <w:color w:val="auto"/>
                    </w:rPr>
                  </w:pPr>
                  <w:r>
                    <w:rPr>
                      <w:rFonts w:hint="default" w:ascii="Times New Roman" w:hAnsi="Times New Roman" w:cs="Times New Roman"/>
                      <w:bCs/>
                      <w:color w:val="auto"/>
                    </w:rPr>
                    <w:t>3、不涉及</w:t>
                  </w:r>
                </w:p>
                <w:p w14:paraId="2407A990">
                  <w:pPr>
                    <w:pStyle w:val="18"/>
                    <w:keepNext w:val="0"/>
                    <w:keepLines w:val="0"/>
                    <w:pageBreakBefore w:val="0"/>
                    <w:widowControl w:val="0"/>
                    <w:kinsoku/>
                    <w:overflowPunct/>
                    <w:topLinePunct w:val="0"/>
                    <w:autoSpaceDE/>
                    <w:autoSpaceDN/>
                    <w:bidi w:val="0"/>
                    <w:adjustRightInd/>
                    <w:snapToGrid/>
                    <w:spacing w:line="320" w:lineRule="exact"/>
                    <w:textAlignment w:val="auto"/>
                    <w:rPr>
                      <w:color w:val="auto"/>
                    </w:rPr>
                  </w:pPr>
                  <w:r>
                    <w:rPr>
                      <w:rFonts w:hint="default" w:ascii="Times New Roman" w:hAnsi="Times New Roman" w:cs="Times New Roman"/>
                      <w:bCs/>
                      <w:color w:val="auto"/>
                    </w:rPr>
                    <w:t>4、不涉及</w:t>
                  </w:r>
                </w:p>
              </w:tc>
            </w:tr>
            <w:tr w14:paraId="64C65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2" w:type="dxa"/>
                  <w:vAlign w:val="center"/>
                </w:tcPr>
                <w:p w14:paraId="11BA0CC9">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环境风险防控</w:t>
                  </w:r>
                </w:p>
              </w:tc>
              <w:tc>
                <w:tcPr>
                  <w:tcW w:w="4157" w:type="dxa"/>
                  <w:gridSpan w:val="2"/>
                  <w:vAlign w:val="center"/>
                </w:tcPr>
                <w:p w14:paraId="30D20455">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1、制定环境风险应急预案，成立应急组织机构，配备必要的应急设施和应急物资，定期开展环境风险应急演练。</w:t>
                  </w:r>
                </w:p>
                <w:p w14:paraId="5E88AA75">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2、加强采矿引起的滑坡、塌陷等次生地质灾害的防范和治理，及时回填废弃巷道和采空区，要充分利用采矿疏干排出的地下水，最大限度的维持矿区生态平衡。</w:t>
                  </w:r>
                </w:p>
              </w:tc>
              <w:tc>
                <w:tcPr>
                  <w:tcW w:w="2715" w:type="dxa"/>
                  <w:vAlign w:val="center"/>
                </w:tcPr>
                <w:p w14:paraId="0090615F">
                  <w:pPr>
                    <w:pStyle w:val="18"/>
                    <w:keepNext w:val="0"/>
                    <w:keepLines w:val="0"/>
                    <w:pageBreakBefore w:val="0"/>
                    <w:widowControl w:val="0"/>
                    <w:kinsoku/>
                    <w:overflowPunct/>
                    <w:topLinePunct w:val="0"/>
                    <w:autoSpaceDE/>
                    <w:autoSpaceDN/>
                    <w:bidi w:val="0"/>
                    <w:adjustRightInd/>
                    <w:snapToGrid/>
                    <w:spacing w:line="320" w:lineRule="exact"/>
                    <w:textAlignment w:val="auto"/>
                    <w:rPr>
                      <w:rFonts w:ascii="Times New Roman" w:hAnsi="Times New Roman" w:cs="Times New Roman"/>
                      <w:color w:val="auto"/>
                    </w:rPr>
                  </w:pPr>
                  <w:r>
                    <w:rPr>
                      <w:rFonts w:ascii="Times New Roman" w:hAnsi="Times New Roman" w:cs="Times New Roman"/>
                      <w:color w:val="auto"/>
                      <w:kern w:val="0"/>
                    </w:rPr>
                    <w:t>1</w:t>
                  </w:r>
                  <w:r>
                    <w:rPr>
                      <w:rFonts w:hint="eastAsia" w:ascii="Times New Roman" w:hAnsi="Times New Roman" w:cs="Times New Roman"/>
                      <w:color w:val="auto"/>
                      <w:kern w:val="0"/>
                    </w:rPr>
                    <w:t>、</w:t>
                  </w:r>
                  <w:r>
                    <w:rPr>
                      <w:rFonts w:ascii="Times New Roman" w:hAnsi="Times New Roman" w:cs="Times New Roman"/>
                      <w:color w:val="auto"/>
                      <w:kern w:val="0"/>
                    </w:rPr>
                    <w:t>项目</w:t>
                  </w:r>
                  <w:r>
                    <w:rPr>
                      <w:rFonts w:ascii="Times New Roman" w:hAnsi="Times New Roman" w:cs="Times New Roman"/>
                      <w:color w:val="auto"/>
                    </w:rPr>
                    <w:t>制定环境风险应急预案，成立应急组织机构，配备必要的应急设施和应急物资，定期开展环境风险应急演练。</w:t>
                  </w:r>
                </w:p>
                <w:p w14:paraId="348E2F46">
                  <w:pPr>
                    <w:keepNext w:val="0"/>
                    <w:keepLines w:val="0"/>
                    <w:pageBreakBefore w:val="0"/>
                    <w:widowControl w:val="0"/>
                    <w:kinsoku/>
                    <w:overflowPunct/>
                    <w:topLinePunct w:val="0"/>
                    <w:autoSpaceDE/>
                    <w:autoSpaceDN/>
                    <w:bidi w:val="0"/>
                    <w:adjustRightInd/>
                    <w:snapToGrid/>
                    <w:spacing w:line="320" w:lineRule="exact"/>
                    <w:textAlignment w:val="auto"/>
                    <w:rPr>
                      <w:color w:val="auto"/>
                      <w:szCs w:val="21"/>
                    </w:rPr>
                  </w:pPr>
                  <w:r>
                    <w:rPr>
                      <w:bCs/>
                      <w:color w:val="auto"/>
                      <w:szCs w:val="21"/>
                    </w:rPr>
                    <w:t>2</w:t>
                  </w:r>
                  <w:r>
                    <w:rPr>
                      <w:rFonts w:hint="eastAsia"/>
                      <w:bCs/>
                      <w:color w:val="auto"/>
                      <w:szCs w:val="21"/>
                    </w:rPr>
                    <w:t>、</w:t>
                  </w:r>
                  <w:r>
                    <w:rPr>
                      <w:bCs/>
                      <w:color w:val="auto"/>
                      <w:szCs w:val="21"/>
                    </w:rPr>
                    <w:t>本项目为</w:t>
                  </w:r>
                  <w:r>
                    <w:rPr>
                      <w:rFonts w:hint="eastAsia"/>
                      <w:bCs/>
                      <w:color w:val="auto"/>
                      <w:szCs w:val="21"/>
                    </w:rPr>
                    <w:t>李家壕煤矿</w:t>
                  </w:r>
                  <w:r>
                    <w:rPr>
                      <w:bCs/>
                      <w:color w:val="auto"/>
                      <w:szCs w:val="21"/>
                    </w:rPr>
                    <w:t>附属工程，主要建设</w:t>
                  </w:r>
                  <w:r>
                    <w:rPr>
                      <w:rFonts w:hint="eastAsia"/>
                      <w:bCs/>
                      <w:color w:val="auto"/>
                      <w:szCs w:val="21"/>
                      <w:lang w:val="en-US" w:eastAsia="zh-CN"/>
                    </w:rPr>
                    <w:t>1座风井场地</w:t>
                  </w:r>
                  <w:r>
                    <w:rPr>
                      <w:bCs/>
                      <w:color w:val="auto"/>
                      <w:szCs w:val="21"/>
                    </w:rPr>
                    <w:t>，不属于采矿工程。</w:t>
                  </w:r>
                </w:p>
              </w:tc>
            </w:tr>
            <w:tr w14:paraId="53501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2" w:type="dxa"/>
                  <w:vAlign w:val="center"/>
                </w:tcPr>
                <w:p w14:paraId="0FB6EBEB">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资源利用效率</w:t>
                  </w:r>
                </w:p>
              </w:tc>
              <w:tc>
                <w:tcPr>
                  <w:tcW w:w="4157" w:type="dxa"/>
                  <w:gridSpan w:val="2"/>
                  <w:vAlign w:val="center"/>
                </w:tcPr>
                <w:p w14:paraId="412CC2C2">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1、严格执行取用水总量控制制度，推进矿井水综合利用，煤炭矿区的补充用水、周边地区生产和生态用水应优先使用矿井水，加强洗煤废水循环利用。</w:t>
                  </w:r>
                </w:p>
                <w:p w14:paraId="03B22E81">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2、限制勘查开发过程中对环境破坏较大的砂金等重砂矿物，原则上不再新设勘查项目，确需新立的必须通过环境影响评估，并征得环保部门同意。禁止勘查超贫磁铁矿。</w:t>
                  </w:r>
                </w:p>
              </w:tc>
              <w:tc>
                <w:tcPr>
                  <w:tcW w:w="2715" w:type="dxa"/>
                  <w:vAlign w:val="center"/>
                </w:tcPr>
                <w:p w14:paraId="1423E31F">
                  <w:pPr>
                    <w:pStyle w:val="18"/>
                    <w:keepNext w:val="0"/>
                    <w:keepLines w:val="0"/>
                    <w:pageBreakBefore w:val="0"/>
                    <w:widowControl w:val="0"/>
                    <w:kinsoku/>
                    <w:overflowPunct/>
                    <w:topLinePunct w:val="0"/>
                    <w:autoSpaceDE/>
                    <w:autoSpaceDN/>
                    <w:bidi w:val="0"/>
                    <w:adjustRightInd/>
                    <w:snapToGrid/>
                    <w:spacing w:line="320" w:lineRule="exact"/>
                    <w:textAlignment w:val="auto"/>
                    <w:rPr>
                      <w:rFonts w:ascii="Times New Roman" w:hAnsi="Times New Roman" w:cs="Times New Roman"/>
                      <w:color w:val="auto"/>
                    </w:rPr>
                  </w:pPr>
                  <w:r>
                    <w:rPr>
                      <w:rFonts w:ascii="Times New Roman" w:hAnsi="Times New Roman" w:cs="Times New Roman"/>
                      <w:color w:val="auto"/>
                    </w:rPr>
                    <w:t>1</w:t>
                  </w:r>
                  <w:r>
                    <w:rPr>
                      <w:rFonts w:hint="eastAsia" w:ascii="Times New Roman" w:hAnsi="Times New Roman" w:cs="Times New Roman"/>
                      <w:color w:val="auto"/>
                    </w:rPr>
                    <w:t>、</w:t>
                  </w:r>
                  <w:r>
                    <w:rPr>
                      <w:rFonts w:ascii="Times New Roman" w:hAnsi="Times New Roman" w:cs="Times New Roman"/>
                      <w:color w:val="auto"/>
                    </w:rPr>
                    <w:t>本项目</w:t>
                  </w:r>
                  <w:r>
                    <w:rPr>
                      <w:rFonts w:hint="eastAsia" w:ascii="Times New Roman" w:hAnsi="Times New Roman" w:cs="Times New Roman"/>
                      <w:color w:val="auto"/>
                    </w:rPr>
                    <w:t>用水使用矿井水</w:t>
                  </w:r>
                  <w:r>
                    <w:rPr>
                      <w:rFonts w:ascii="Times New Roman" w:hAnsi="Times New Roman" w:cs="Times New Roman"/>
                      <w:color w:val="auto"/>
                    </w:rPr>
                    <w:t>。</w:t>
                  </w:r>
                </w:p>
                <w:p w14:paraId="788D711F">
                  <w:pPr>
                    <w:pStyle w:val="18"/>
                    <w:keepNext w:val="0"/>
                    <w:keepLines w:val="0"/>
                    <w:pageBreakBefore w:val="0"/>
                    <w:widowControl w:val="0"/>
                    <w:kinsoku/>
                    <w:overflowPunct/>
                    <w:topLinePunct w:val="0"/>
                    <w:autoSpaceDE/>
                    <w:autoSpaceDN/>
                    <w:bidi w:val="0"/>
                    <w:adjustRightInd/>
                    <w:snapToGrid/>
                    <w:spacing w:line="320" w:lineRule="exact"/>
                    <w:textAlignment w:val="auto"/>
                    <w:rPr>
                      <w:color w:val="auto"/>
                    </w:rPr>
                  </w:pPr>
                  <w:r>
                    <w:rPr>
                      <w:rFonts w:ascii="Times New Roman" w:hAnsi="Times New Roman" w:cs="Times New Roman"/>
                      <w:color w:val="auto"/>
                    </w:rPr>
                    <w:t>2</w:t>
                  </w:r>
                  <w:r>
                    <w:rPr>
                      <w:rFonts w:hint="eastAsia" w:ascii="Times New Roman" w:hAnsi="Times New Roman" w:cs="Times New Roman"/>
                      <w:color w:val="auto"/>
                    </w:rPr>
                    <w:t>、</w:t>
                  </w:r>
                  <w:r>
                    <w:rPr>
                      <w:rFonts w:ascii="Times New Roman" w:hAnsi="Times New Roman" w:cs="Times New Roman"/>
                      <w:color w:val="auto"/>
                    </w:rPr>
                    <w:t>不涉及。</w:t>
                  </w:r>
                </w:p>
              </w:tc>
            </w:tr>
            <w:tr w14:paraId="1F990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43" w:type="dxa"/>
                  <w:gridSpan w:val="2"/>
                  <w:shd w:val="clear" w:color="auto" w:fill="auto"/>
                  <w:vAlign w:val="center"/>
                </w:tcPr>
                <w:p w14:paraId="3940E94B">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环境管控单元编码</w:t>
                  </w:r>
                </w:p>
              </w:tc>
              <w:tc>
                <w:tcPr>
                  <w:tcW w:w="4951" w:type="dxa"/>
                  <w:gridSpan w:val="2"/>
                  <w:shd w:val="clear" w:color="auto" w:fill="auto"/>
                  <w:vAlign w:val="center"/>
                </w:tcPr>
                <w:p w14:paraId="4A6AB465">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ZH15060230001</w:t>
                  </w:r>
                </w:p>
              </w:tc>
            </w:tr>
            <w:tr w14:paraId="5737C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43" w:type="dxa"/>
                  <w:gridSpan w:val="2"/>
                  <w:shd w:val="clear" w:color="auto" w:fill="auto"/>
                  <w:vAlign w:val="center"/>
                </w:tcPr>
                <w:p w14:paraId="29E12143">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环境管控单元名称</w:t>
                  </w:r>
                </w:p>
              </w:tc>
              <w:tc>
                <w:tcPr>
                  <w:tcW w:w="4951" w:type="dxa"/>
                  <w:gridSpan w:val="2"/>
                  <w:shd w:val="clear" w:color="auto" w:fill="auto"/>
                  <w:vAlign w:val="center"/>
                </w:tcPr>
                <w:p w14:paraId="553179CD">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东胜区一般管控区</w:t>
                  </w:r>
                </w:p>
              </w:tc>
            </w:tr>
            <w:tr w14:paraId="2E063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2343" w:type="dxa"/>
                  <w:gridSpan w:val="2"/>
                  <w:shd w:val="clear" w:color="auto" w:fill="auto"/>
                  <w:vAlign w:val="center"/>
                </w:tcPr>
                <w:p w14:paraId="7CCA26E0">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环境管控单元类别</w:t>
                  </w:r>
                </w:p>
              </w:tc>
              <w:tc>
                <w:tcPr>
                  <w:tcW w:w="4951" w:type="dxa"/>
                  <w:gridSpan w:val="2"/>
                  <w:shd w:val="clear" w:color="auto" w:fill="auto"/>
                  <w:vAlign w:val="center"/>
                </w:tcPr>
                <w:p w14:paraId="24432EA9">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一般</w:t>
                  </w:r>
                  <w:r>
                    <w:rPr>
                      <w:color w:val="auto"/>
                      <w:szCs w:val="21"/>
                    </w:rPr>
                    <w:t>管控单元</w:t>
                  </w:r>
                </w:p>
              </w:tc>
            </w:tr>
            <w:tr w14:paraId="4C4FE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2" w:type="dxa"/>
                  <w:vAlign w:val="center"/>
                </w:tcPr>
                <w:p w14:paraId="2BC79CA6">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空间布局约束</w:t>
                  </w:r>
                </w:p>
              </w:tc>
              <w:tc>
                <w:tcPr>
                  <w:tcW w:w="4157" w:type="dxa"/>
                  <w:gridSpan w:val="2"/>
                  <w:vAlign w:val="center"/>
                </w:tcPr>
                <w:p w14:paraId="3EB086DA">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 xml:space="preserve">1、永久基本农田一经划定，任何单位和个人不得擅自占用或改变用途。禁止任何单位和个人破坏永久基本农田耕作层。对永久基本农田实行严格保护，确保其面积不减少、土壤环境质量不下降，除法律规定的重点建设项目选址确实无法避让外，其他任何建设不得占用。 </w:t>
                  </w:r>
                </w:p>
                <w:p w14:paraId="2282668E">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 xml:space="preserve">2、在永久基本农田集中区域，不得新建可能造成土壤污染的建设项目；已经建成的，应当限期关闭拆除。 </w:t>
                  </w:r>
                </w:p>
                <w:p w14:paraId="350DCBAB">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3、禁止将重金属或者其他有毒有害物质含量超标的工业固体废物、生活垃圾或者污染土壤用于土地复垦。</w:t>
                  </w:r>
                </w:p>
              </w:tc>
              <w:tc>
                <w:tcPr>
                  <w:tcW w:w="2715" w:type="dxa"/>
                  <w:vAlign w:val="center"/>
                </w:tcPr>
                <w:p w14:paraId="35EC1745">
                  <w:pPr>
                    <w:pStyle w:val="18"/>
                    <w:keepNext w:val="0"/>
                    <w:keepLines w:val="0"/>
                    <w:pageBreakBefore w:val="0"/>
                    <w:widowControl w:val="0"/>
                    <w:kinsoku/>
                    <w:overflowPunct/>
                    <w:topLinePunct w:val="0"/>
                    <w:autoSpaceDE/>
                    <w:autoSpaceDN/>
                    <w:bidi w:val="0"/>
                    <w:adjustRightInd/>
                    <w:snapToGrid/>
                    <w:spacing w:line="320" w:lineRule="exact"/>
                    <w:textAlignment w:val="auto"/>
                    <w:rPr>
                      <w:rFonts w:ascii="Times New Roman" w:hAnsi="Times New Roman" w:cs="Times New Roman"/>
                      <w:color w:val="auto"/>
                    </w:rPr>
                  </w:pPr>
                  <w:r>
                    <w:rPr>
                      <w:rFonts w:hint="eastAsia" w:ascii="Times New Roman" w:hAnsi="Times New Roman" w:cs="Times New Roman"/>
                      <w:color w:val="auto"/>
                    </w:rPr>
                    <w:t>根据鄂尔多斯市自然资源局东胜区分局关于项目占用永久基本农田核实情况的复函，项目占地范围内不涉及永久基本农田。</w:t>
                  </w:r>
                </w:p>
              </w:tc>
            </w:tr>
            <w:tr w14:paraId="54B37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22" w:type="dxa"/>
                  <w:vAlign w:val="center"/>
                </w:tcPr>
                <w:p w14:paraId="029FCA57">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资源利用效率</w:t>
                  </w:r>
                </w:p>
              </w:tc>
              <w:tc>
                <w:tcPr>
                  <w:tcW w:w="4157" w:type="dxa"/>
                  <w:gridSpan w:val="2"/>
                  <w:vAlign w:val="center"/>
                </w:tcPr>
                <w:p w14:paraId="778775E5">
                  <w:pPr>
                    <w:keepNext w:val="0"/>
                    <w:keepLines w:val="0"/>
                    <w:pageBreakBefore w:val="0"/>
                    <w:widowControl w:val="0"/>
                    <w:kinsoku/>
                    <w:overflowPunct/>
                    <w:topLinePunct w:val="0"/>
                    <w:autoSpaceDE/>
                    <w:autoSpaceDN/>
                    <w:bidi w:val="0"/>
                    <w:adjustRightInd/>
                    <w:snapToGrid/>
                    <w:spacing w:line="320" w:lineRule="exact"/>
                    <w:jc w:val="left"/>
                    <w:textAlignment w:val="auto"/>
                    <w:rPr>
                      <w:color w:val="auto"/>
                      <w:szCs w:val="21"/>
                    </w:rPr>
                  </w:pPr>
                  <w:r>
                    <w:rPr>
                      <w:rFonts w:hint="eastAsia"/>
                      <w:color w:val="auto"/>
                      <w:szCs w:val="21"/>
                    </w:rPr>
                    <w:t>提高农业用水水平，井灌区配套低压管道输水等措施，大力推广以浅埋滴灌为主、喷灌为辅的节水设备和技术，引进培育优良作物品种、合理调整作物种植结构等农业措施。</w:t>
                  </w:r>
                </w:p>
              </w:tc>
              <w:tc>
                <w:tcPr>
                  <w:tcW w:w="2715" w:type="dxa"/>
                  <w:vAlign w:val="center"/>
                </w:tcPr>
                <w:p w14:paraId="194D8BFC">
                  <w:pPr>
                    <w:pStyle w:val="18"/>
                    <w:keepNext w:val="0"/>
                    <w:keepLines w:val="0"/>
                    <w:pageBreakBefore w:val="0"/>
                    <w:widowControl w:val="0"/>
                    <w:kinsoku/>
                    <w:overflowPunct/>
                    <w:topLinePunct w:val="0"/>
                    <w:autoSpaceDE/>
                    <w:autoSpaceDN/>
                    <w:bidi w:val="0"/>
                    <w:adjustRightInd/>
                    <w:snapToGrid/>
                    <w:spacing w:line="320" w:lineRule="exact"/>
                    <w:textAlignment w:val="auto"/>
                    <w:rPr>
                      <w:rFonts w:ascii="Times New Roman" w:hAnsi="Times New Roman" w:cs="Times New Roman"/>
                      <w:color w:val="auto"/>
                    </w:rPr>
                  </w:pPr>
                  <w:r>
                    <w:rPr>
                      <w:rFonts w:hint="eastAsia" w:ascii="Times New Roman" w:hAnsi="Times New Roman" w:cs="Times New Roman"/>
                      <w:color w:val="auto"/>
                    </w:rPr>
                    <w:t>不涉及</w:t>
                  </w:r>
                </w:p>
              </w:tc>
            </w:tr>
          </w:tbl>
          <w:p w14:paraId="4EE76C34">
            <w:pPr>
              <w:keepNext w:val="0"/>
              <w:keepLines w:val="0"/>
              <w:pageBreakBefore w:val="0"/>
              <w:widowControl w:val="0"/>
              <w:kinsoku/>
              <w:wordWrap/>
              <w:overflowPunct/>
              <w:topLinePunct w:val="0"/>
              <w:autoSpaceDE w:val="0"/>
              <w:autoSpaceDN w:val="0"/>
              <w:bidi w:val="0"/>
              <w:adjustRightInd w:val="0"/>
              <w:snapToGrid w:val="0"/>
              <w:spacing w:line="520" w:lineRule="exact"/>
              <w:ind w:firstLine="480" w:firstLineChars="200"/>
              <w:jc w:val="left"/>
              <w:textAlignment w:val="auto"/>
              <w:rPr>
                <w:color w:val="auto"/>
                <w:sz w:val="24"/>
              </w:rPr>
            </w:pPr>
            <w:r>
              <w:rPr>
                <w:color w:val="auto"/>
                <w:sz w:val="24"/>
              </w:rPr>
              <w:t>综上所述，本项目能够满足管控单元的管控要求，不属于所在管控单元中禁止和限制准入的项目类型</w:t>
            </w:r>
            <w:r>
              <w:rPr>
                <w:rFonts w:hint="eastAsia"/>
                <w:color w:val="auto"/>
                <w:sz w:val="24"/>
              </w:rPr>
              <w:t>，</w:t>
            </w:r>
            <w:r>
              <w:rPr>
                <w:color w:val="auto"/>
                <w:sz w:val="24"/>
              </w:rPr>
              <w:t>满足区域生态环境准入要求</w:t>
            </w:r>
            <w:r>
              <w:rPr>
                <w:rFonts w:hint="eastAsia"/>
                <w:color w:val="auto"/>
                <w:sz w:val="24"/>
              </w:rPr>
              <w:t>，项目符合鄂尔多斯市的“三线一单”管控要求。</w:t>
            </w:r>
          </w:p>
          <w:p w14:paraId="6CC0F7E8">
            <w:pPr>
              <w:autoSpaceDE w:val="0"/>
              <w:autoSpaceDN w:val="0"/>
              <w:adjustRightInd w:val="0"/>
              <w:snapToGrid w:val="0"/>
              <w:spacing w:line="480" w:lineRule="exact"/>
              <w:ind w:firstLine="482" w:firstLineChars="200"/>
              <w:rPr>
                <w:rFonts w:hint="eastAsia"/>
                <w:b/>
                <w:bCs/>
                <w:color w:val="auto"/>
                <w:sz w:val="24"/>
              </w:rPr>
            </w:pPr>
          </w:p>
          <w:p w14:paraId="7B6D063F">
            <w:pPr>
              <w:autoSpaceDE w:val="0"/>
              <w:autoSpaceDN w:val="0"/>
              <w:adjustRightInd w:val="0"/>
              <w:snapToGrid w:val="0"/>
              <w:spacing w:line="480" w:lineRule="exact"/>
              <w:ind w:firstLine="482" w:firstLineChars="200"/>
              <w:rPr>
                <w:b/>
                <w:bCs/>
                <w:color w:val="auto"/>
                <w:sz w:val="24"/>
              </w:rPr>
            </w:pPr>
            <w:r>
              <w:rPr>
                <w:rFonts w:hint="eastAsia"/>
                <w:b/>
                <w:bCs/>
                <w:color w:val="auto"/>
                <w:sz w:val="24"/>
              </w:rPr>
              <w:t>3</w:t>
            </w:r>
            <w:r>
              <w:rPr>
                <w:b/>
                <w:bCs/>
                <w:color w:val="auto"/>
                <w:sz w:val="24"/>
              </w:rPr>
              <w:t>、选址合理性分析</w:t>
            </w:r>
          </w:p>
          <w:p w14:paraId="587407A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ascii="宋体" w:hAnsi="宋体" w:cs="宋体"/>
                <w:color w:val="auto"/>
                <w:sz w:val="24"/>
              </w:rPr>
            </w:pPr>
            <w:r>
              <w:rPr>
                <w:rFonts w:hint="eastAsia" w:ascii="宋体" w:hAnsi="宋体" w:cs="宋体"/>
                <w:bCs/>
                <w:color w:val="auto"/>
                <w:sz w:val="24"/>
              </w:rPr>
              <w:t>本项目位于</w:t>
            </w:r>
            <w:r>
              <w:rPr>
                <w:color w:val="auto"/>
                <w:sz w:val="24"/>
              </w:rPr>
              <w:t>鄂尔多斯市东胜区罕台镇查干</w:t>
            </w:r>
            <w:r>
              <w:rPr>
                <w:rFonts w:hint="eastAsia"/>
                <w:color w:val="auto"/>
                <w:sz w:val="24"/>
              </w:rPr>
              <w:t>布拉格</w:t>
            </w:r>
            <w:r>
              <w:rPr>
                <w:color w:val="auto"/>
                <w:sz w:val="24"/>
              </w:rPr>
              <w:t>村</w:t>
            </w:r>
            <w:r>
              <w:rPr>
                <w:rFonts w:hint="eastAsia"/>
                <w:color w:val="auto"/>
                <w:sz w:val="24"/>
              </w:rPr>
              <w:t>李家壕煤矿</w:t>
            </w:r>
            <w:r>
              <w:rPr>
                <w:rFonts w:hint="eastAsia" w:ascii="宋体" w:hAnsi="宋体" w:cs="宋体"/>
                <w:color w:val="auto"/>
                <w:sz w:val="24"/>
              </w:rPr>
              <w:t>，项目为李家壕煤矿附属工程，主要建设</w:t>
            </w:r>
            <w:r>
              <w:rPr>
                <w:color w:val="auto"/>
                <w:sz w:val="24"/>
              </w:rPr>
              <w:t>内容</w:t>
            </w:r>
            <w:r>
              <w:rPr>
                <w:rFonts w:hint="eastAsia"/>
                <w:color w:val="auto"/>
                <w:sz w:val="24"/>
                <w:lang w:val="en-US" w:eastAsia="zh-CN"/>
              </w:rPr>
              <w:t>为新建了1座风井场地，主要</w:t>
            </w:r>
            <w:r>
              <w:rPr>
                <w:color w:val="auto"/>
                <w:sz w:val="24"/>
              </w:rPr>
              <w:t>包括</w:t>
            </w:r>
            <w:r>
              <w:rPr>
                <w:rFonts w:hint="eastAsia"/>
                <w:color w:val="auto"/>
                <w:sz w:val="24"/>
                <w:szCs w:val="24"/>
                <w:lang w:val="en-US" w:eastAsia="zh-CN"/>
              </w:rPr>
              <w:t>1座进风立井、1座回风立井</w:t>
            </w:r>
            <w:r>
              <w:rPr>
                <w:color w:val="auto"/>
                <w:sz w:val="24"/>
                <w:szCs w:val="24"/>
              </w:rPr>
              <w:t>及配套</w:t>
            </w:r>
            <w:r>
              <w:rPr>
                <w:rFonts w:hint="eastAsia"/>
                <w:color w:val="auto"/>
                <w:sz w:val="24"/>
                <w:szCs w:val="24"/>
                <w:lang w:val="en-US" w:eastAsia="zh-CN"/>
              </w:rPr>
              <w:t>的公辅工程和环保工程</w:t>
            </w:r>
            <w:r>
              <w:rPr>
                <w:color w:val="auto"/>
                <w:sz w:val="24"/>
              </w:rPr>
              <w:t>等</w:t>
            </w:r>
            <w:r>
              <w:rPr>
                <w:rFonts w:hint="eastAsia" w:ascii="宋体" w:hAnsi="宋体" w:cs="宋体"/>
                <w:color w:val="auto"/>
                <w:sz w:val="24"/>
              </w:rPr>
              <w:t>。</w:t>
            </w:r>
          </w:p>
          <w:p w14:paraId="454EA86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color w:val="auto"/>
                <w:sz w:val="24"/>
              </w:rPr>
            </w:pPr>
            <w:r>
              <w:rPr>
                <w:rFonts w:hint="eastAsia" w:ascii="宋体" w:hAnsi="宋体" w:cs="宋体"/>
                <w:bCs/>
                <w:color w:val="auto"/>
                <w:sz w:val="24"/>
              </w:rPr>
              <w:t>根据</w:t>
            </w:r>
            <w:r>
              <w:rPr>
                <w:rFonts w:hint="eastAsia"/>
                <w:color w:val="auto"/>
                <w:sz w:val="24"/>
              </w:rPr>
              <w:t>《鄂尔多斯市自然资源局东胜区分局关于国能包头能源有限责任公司李家壕煤矿二号回风立井项目是否占压生态保护红线的复函》（</w:t>
            </w:r>
            <w:r>
              <w:rPr>
                <w:color w:val="auto"/>
                <w:sz w:val="24"/>
              </w:rPr>
              <w:t>附件</w:t>
            </w:r>
            <w:r>
              <w:rPr>
                <w:rFonts w:hint="eastAsia"/>
                <w:color w:val="auto"/>
                <w:sz w:val="24"/>
                <w:lang w:val="en-US" w:eastAsia="zh-CN"/>
              </w:rPr>
              <w:t>5</w:t>
            </w:r>
            <w:r>
              <w:rPr>
                <w:rFonts w:hint="eastAsia"/>
                <w:color w:val="auto"/>
                <w:sz w:val="24"/>
              </w:rPr>
              <w:t>），项目不占压东胜区生态保护红线。</w:t>
            </w:r>
          </w:p>
          <w:p w14:paraId="432A61BF">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auto"/>
                <w:sz w:val="24"/>
              </w:rPr>
            </w:pPr>
            <w:r>
              <w:rPr>
                <w:rFonts w:hint="eastAsia" w:ascii="宋体" w:hAnsi="宋体" w:cs="宋体"/>
                <w:bCs/>
                <w:color w:val="auto"/>
                <w:sz w:val="24"/>
              </w:rPr>
              <w:t>根据</w:t>
            </w:r>
            <w:r>
              <w:rPr>
                <w:rFonts w:hint="eastAsia"/>
                <w:color w:val="auto"/>
                <w:sz w:val="24"/>
              </w:rPr>
              <w:t>《鄂尔多斯市自然资源局东胜区分局关于国能包头能源有限责任公司李家壕煤矿二号回风立井项目占用永久基本农田核实情况的复函》（</w:t>
            </w:r>
            <w:r>
              <w:rPr>
                <w:color w:val="auto"/>
                <w:sz w:val="24"/>
              </w:rPr>
              <w:t>附件</w:t>
            </w:r>
            <w:r>
              <w:rPr>
                <w:rFonts w:hint="eastAsia"/>
                <w:color w:val="auto"/>
                <w:sz w:val="24"/>
                <w:lang w:val="en-US" w:eastAsia="zh-CN"/>
              </w:rPr>
              <w:t>6</w:t>
            </w:r>
            <w:r>
              <w:rPr>
                <w:rFonts w:hint="eastAsia"/>
                <w:color w:val="auto"/>
                <w:sz w:val="24"/>
              </w:rPr>
              <w:t>），项目与东胜区永久基本农田空间不重叠。</w:t>
            </w:r>
          </w:p>
          <w:p w14:paraId="208AE80D">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ascii="宋体" w:hAnsi="宋体" w:cs="宋体"/>
                <w:bCs/>
                <w:color w:val="auto"/>
                <w:sz w:val="24"/>
              </w:rPr>
            </w:pPr>
            <w:r>
              <w:rPr>
                <w:rFonts w:hint="eastAsia" w:ascii="宋体" w:hAnsi="宋体" w:cs="宋体"/>
                <w:bCs/>
                <w:color w:val="auto"/>
                <w:sz w:val="24"/>
              </w:rPr>
              <w:t>根据</w:t>
            </w:r>
            <w:r>
              <w:rPr>
                <w:rFonts w:hint="eastAsia"/>
                <w:color w:val="auto"/>
                <w:sz w:val="24"/>
              </w:rPr>
              <w:t>《鄂尔多斯市自然资源局东胜区分局关于李家壕煤矿二号回风立井项目压覆重要矿产资源核实情况的函》（</w:t>
            </w:r>
            <w:r>
              <w:rPr>
                <w:color w:val="auto"/>
                <w:sz w:val="24"/>
              </w:rPr>
              <w:t>附件</w:t>
            </w:r>
            <w:r>
              <w:rPr>
                <w:rFonts w:hint="eastAsia"/>
                <w:color w:val="auto"/>
                <w:sz w:val="24"/>
                <w:lang w:val="en-US" w:eastAsia="zh-CN"/>
              </w:rPr>
              <w:t>7</w:t>
            </w:r>
            <w:r>
              <w:rPr>
                <w:rFonts w:hint="eastAsia"/>
                <w:color w:val="auto"/>
                <w:sz w:val="24"/>
              </w:rPr>
              <w:t>），</w:t>
            </w:r>
            <w:r>
              <w:rPr>
                <w:color w:val="auto"/>
                <w:sz w:val="24"/>
              </w:rPr>
              <w:t>本项目涉及</w:t>
            </w:r>
            <w:r>
              <w:rPr>
                <w:rFonts w:hint="eastAsia"/>
                <w:color w:val="auto"/>
                <w:sz w:val="24"/>
              </w:rPr>
              <w:t>压覆李家壕煤矿的重要矿产资源，属于项目建设单位，可进行建设，项目施工场地位于风井场地占地范围内，</w:t>
            </w:r>
            <w:r>
              <w:rPr>
                <w:color w:val="auto"/>
                <w:sz w:val="24"/>
              </w:rPr>
              <w:t>各施工活动应严格控制在施工区域内进行，</w:t>
            </w:r>
            <w:r>
              <w:rPr>
                <w:rFonts w:hint="eastAsia"/>
                <w:color w:val="auto"/>
                <w:sz w:val="24"/>
              </w:rPr>
              <w:t>不会对该矿区产生影响</w:t>
            </w:r>
            <w:r>
              <w:rPr>
                <w:color w:val="auto"/>
                <w:sz w:val="24"/>
              </w:rPr>
              <w:t>。</w:t>
            </w:r>
          </w:p>
          <w:p w14:paraId="2D6F0F4D">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color w:val="auto"/>
                <w:sz w:val="24"/>
              </w:rPr>
            </w:pPr>
            <w:r>
              <w:rPr>
                <w:rFonts w:hint="eastAsia" w:ascii="宋体" w:hAnsi="宋体" w:cs="宋体"/>
                <w:bCs/>
                <w:color w:val="auto"/>
                <w:sz w:val="24"/>
              </w:rPr>
              <w:t>根据</w:t>
            </w:r>
            <w:r>
              <w:rPr>
                <w:rFonts w:hint="eastAsia"/>
                <w:color w:val="auto"/>
                <w:sz w:val="24"/>
              </w:rPr>
              <w:t>《鄂尔多斯市林业和草原局东胜区分局关于李家壕煤矿二号回风立井项目核查情况的复函》（</w:t>
            </w:r>
            <w:r>
              <w:rPr>
                <w:color w:val="auto"/>
                <w:sz w:val="24"/>
              </w:rPr>
              <w:t>附件</w:t>
            </w:r>
            <w:r>
              <w:rPr>
                <w:rFonts w:hint="eastAsia"/>
                <w:color w:val="auto"/>
                <w:sz w:val="24"/>
                <w:lang w:val="en-US" w:eastAsia="zh-CN"/>
              </w:rPr>
              <w:t>8</w:t>
            </w:r>
            <w:r>
              <w:rPr>
                <w:rFonts w:hint="eastAsia"/>
                <w:color w:val="auto"/>
                <w:sz w:val="24"/>
              </w:rPr>
              <w:t>），项目范围不涉及基本草原和自然保护区。</w:t>
            </w:r>
          </w:p>
          <w:p w14:paraId="3209804D">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ascii="宋体" w:hAnsi="宋体" w:cs="宋体"/>
                <w:bCs/>
                <w:color w:val="auto"/>
                <w:sz w:val="24"/>
              </w:rPr>
              <w:t>根据</w:t>
            </w:r>
            <w:r>
              <w:rPr>
                <w:rFonts w:hint="eastAsia"/>
                <w:color w:val="auto"/>
                <w:sz w:val="24"/>
              </w:rPr>
              <w:t>《鄂尔多斯市东胜区水利局关于国能包头能源有限责任公司李家壕煤矿二号回风立井项目与水利工程设施、水源地及河道管理范围重叠情况的函》（</w:t>
            </w:r>
            <w:r>
              <w:rPr>
                <w:color w:val="auto"/>
                <w:sz w:val="24"/>
              </w:rPr>
              <w:t>附件</w:t>
            </w:r>
            <w:r>
              <w:rPr>
                <w:rFonts w:hint="eastAsia"/>
                <w:color w:val="auto"/>
                <w:sz w:val="24"/>
                <w:lang w:val="en-US" w:eastAsia="zh-CN"/>
              </w:rPr>
              <w:t>9</w:t>
            </w:r>
            <w:r>
              <w:rPr>
                <w:rFonts w:hint="eastAsia"/>
                <w:color w:val="auto"/>
                <w:sz w:val="24"/>
              </w:rPr>
              <w:t>），项目范围内不涉及水源地、水利工程设施及河道管理范围。</w:t>
            </w:r>
          </w:p>
          <w:p w14:paraId="67CE23BF">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ascii="宋体" w:hAnsi="宋体" w:cs="宋体"/>
                <w:bCs/>
                <w:color w:val="auto"/>
                <w:sz w:val="24"/>
              </w:rPr>
              <w:t>根据</w:t>
            </w:r>
            <w:r>
              <w:rPr>
                <w:rFonts w:hint="eastAsia"/>
                <w:color w:val="auto"/>
                <w:sz w:val="24"/>
              </w:rPr>
              <w:t>《鄂尔多斯市东胜区文物局关于李家壕煤矿二号回风立井项目文物调查意见的函》（</w:t>
            </w:r>
            <w:r>
              <w:rPr>
                <w:color w:val="auto"/>
                <w:sz w:val="24"/>
              </w:rPr>
              <w:t>附件</w:t>
            </w:r>
            <w:r>
              <w:rPr>
                <w:rFonts w:hint="eastAsia"/>
                <w:color w:val="auto"/>
                <w:sz w:val="24"/>
                <w:lang w:val="en-US" w:eastAsia="zh-CN"/>
              </w:rPr>
              <w:t>10</w:t>
            </w:r>
            <w:r>
              <w:rPr>
                <w:rFonts w:hint="eastAsia"/>
                <w:color w:val="auto"/>
                <w:sz w:val="24"/>
              </w:rPr>
              <w:t>），项目用地范围地表不涉及已知文物古迹本体及“两线”范围（保护范围及建设控制地带）。</w:t>
            </w:r>
          </w:p>
          <w:p w14:paraId="33A7D939">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ascii="宋体" w:hAnsi="宋体" w:cs="宋体"/>
                <w:color w:val="auto"/>
                <w:sz w:val="24"/>
              </w:rPr>
            </w:pPr>
            <w:r>
              <w:rPr>
                <w:color w:val="auto"/>
                <w:sz w:val="24"/>
              </w:rPr>
              <w:t>本项目风井场地周边500m范围内</w:t>
            </w:r>
            <w:r>
              <w:rPr>
                <w:rFonts w:hint="eastAsia"/>
                <w:color w:val="auto"/>
                <w:sz w:val="24"/>
                <w:lang w:val="en-US" w:eastAsia="zh-CN"/>
              </w:rPr>
              <w:t>有</w:t>
            </w:r>
            <w:r>
              <w:rPr>
                <w:rFonts w:hint="eastAsia"/>
                <w:color w:val="auto"/>
                <w:sz w:val="24"/>
                <w:szCs w:val="24"/>
              </w:rPr>
              <w:t>韩家沟村</w:t>
            </w:r>
            <w:r>
              <w:rPr>
                <w:rFonts w:hint="eastAsia"/>
                <w:color w:val="auto"/>
                <w:sz w:val="24"/>
                <w:szCs w:val="24"/>
                <w:lang w:val="en-US" w:eastAsia="zh-CN"/>
              </w:rPr>
              <w:t>3户</w:t>
            </w:r>
            <w:r>
              <w:rPr>
                <w:rFonts w:hint="eastAsia"/>
                <w:color w:val="auto"/>
                <w:sz w:val="24"/>
                <w:lang w:val="en-US" w:eastAsia="zh-CN"/>
              </w:rPr>
              <w:t>居民。</w:t>
            </w:r>
            <w:r>
              <w:rPr>
                <w:rFonts w:hint="default"/>
                <w:color w:val="auto"/>
                <w:sz w:val="24"/>
              </w:rPr>
              <w:t>经工程分析可知，本项目运营期产生废气、噪声均可达标排放，</w:t>
            </w:r>
            <w:r>
              <w:rPr>
                <w:rFonts w:hint="eastAsia"/>
                <w:color w:val="auto"/>
                <w:sz w:val="24"/>
                <w:lang w:val="en-US" w:eastAsia="zh-CN"/>
              </w:rPr>
              <w:t>废水不外排，</w:t>
            </w:r>
            <w:r>
              <w:rPr>
                <w:color w:val="auto"/>
                <w:sz w:val="24"/>
              </w:rPr>
              <w:t>同时固废也得到妥善处置</w:t>
            </w:r>
            <w:r>
              <w:rPr>
                <w:rFonts w:hint="eastAsia"/>
                <w:color w:val="auto"/>
                <w:sz w:val="24"/>
                <w:lang w:eastAsia="zh-CN"/>
              </w:rPr>
              <w:t>，</w:t>
            </w:r>
            <w:r>
              <w:rPr>
                <w:rFonts w:hint="default"/>
                <w:color w:val="auto"/>
                <w:sz w:val="24"/>
              </w:rPr>
              <w:t>项目的建设对周围环境及敏感目标影响</w:t>
            </w:r>
            <w:r>
              <w:rPr>
                <w:color w:val="auto"/>
                <w:sz w:val="24"/>
              </w:rPr>
              <w:t>较小。</w:t>
            </w:r>
          </w:p>
          <w:p w14:paraId="2489D736">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textAlignment w:val="auto"/>
              <w:rPr>
                <w:rFonts w:hint="eastAsia"/>
                <w:color w:val="auto"/>
                <w:sz w:val="24"/>
                <w:lang w:val="en-US" w:eastAsia="zh-CN"/>
              </w:rPr>
            </w:pPr>
            <w:r>
              <w:rPr>
                <w:rFonts w:hint="eastAsia"/>
                <w:color w:val="auto"/>
                <w:sz w:val="24"/>
                <w:lang w:val="en-US" w:eastAsia="zh-CN"/>
              </w:rPr>
              <w:t>项目场地西北侧和东侧各有一条110kV架空高压线，为保证生产安全，其中，西北侧围墙与西北侧110kV高压线平行，且围墙与110kV高压线水平距离为14.5m；东侧围墙距东侧110kV高压线最近位置水平距离为16.75m。两侧距离均满足《煤炭企业总图运输设计标准》（GB 51276-2018）中关于架空电力线路安全距离的要求，即110kV高压线与工业场地中建筑物的安全距离不小于10m。</w:t>
            </w:r>
          </w:p>
          <w:p w14:paraId="5CD4403C">
            <w:pPr>
              <w:autoSpaceDE w:val="0"/>
              <w:autoSpaceDN w:val="0"/>
              <w:adjustRightInd w:val="0"/>
              <w:snapToGrid w:val="0"/>
              <w:spacing w:line="480" w:lineRule="exact"/>
              <w:ind w:firstLine="480" w:firstLineChars="200"/>
              <w:rPr>
                <w:color w:val="auto"/>
                <w:sz w:val="24"/>
              </w:rPr>
            </w:pPr>
            <w:r>
              <w:rPr>
                <w:rFonts w:hint="eastAsia" w:ascii="宋体" w:hAnsi="宋体" w:cs="宋体"/>
                <w:bCs/>
                <w:color w:val="auto"/>
                <w:sz w:val="24"/>
              </w:rPr>
              <w:t>综上所述，从环保角度分析，本项目选址选线合理。</w:t>
            </w:r>
          </w:p>
          <w:p w14:paraId="7540EA71">
            <w:pPr>
              <w:autoSpaceDE w:val="0"/>
              <w:autoSpaceDN w:val="0"/>
              <w:adjustRightInd w:val="0"/>
              <w:snapToGrid w:val="0"/>
              <w:spacing w:line="480" w:lineRule="exact"/>
              <w:ind w:firstLine="420" w:firstLineChars="200"/>
              <w:rPr>
                <w:rFonts w:hint="eastAsia"/>
                <w:color w:val="auto"/>
                <w:kern w:val="0"/>
                <w:szCs w:val="21"/>
                <w:lang w:eastAsia="zh-CN"/>
              </w:rPr>
            </w:pPr>
          </w:p>
          <w:p w14:paraId="4A65F4FB">
            <w:pPr>
              <w:autoSpaceDE w:val="0"/>
              <w:autoSpaceDN w:val="0"/>
              <w:adjustRightInd w:val="0"/>
              <w:snapToGrid w:val="0"/>
              <w:spacing w:line="480" w:lineRule="exact"/>
              <w:ind w:firstLine="420" w:firstLineChars="200"/>
              <w:rPr>
                <w:rFonts w:hint="eastAsia"/>
                <w:color w:val="auto"/>
                <w:kern w:val="0"/>
                <w:szCs w:val="21"/>
                <w:lang w:eastAsia="zh-CN"/>
              </w:rPr>
            </w:pPr>
          </w:p>
          <w:p w14:paraId="36F2ACE1">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6BB86110">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0B060B5D">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6B002410">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3E1ADEA7">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4616EE50">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237DCA07">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37E7516D">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1FDCDA64">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1F5E56AB">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7A19420C">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6B47183D">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7ABB74F3">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050D819E">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5C00C50C">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3C9C2B57">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5C051321">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3EA6C61A">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20F7529A">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5A2ADFB8">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6284D6F2">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71C63B4B">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2B43DE7F">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28536409">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30EB70EF">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757F7A38">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314C02F0">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16DF32B3">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727EB507">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2162BF27">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4C5691B3">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21574FBB">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087E0E32">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color w:val="auto"/>
                <w:kern w:val="0"/>
                <w:szCs w:val="21"/>
                <w:lang w:eastAsia="zh-CN"/>
              </w:rPr>
            </w:pPr>
          </w:p>
          <w:p w14:paraId="0E4199D2">
            <w:pPr>
              <w:keepNext w:val="0"/>
              <w:keepLines w:val="0"/>
              <w:pageBreakBefore w:val="0"/>
              <w:widowControl w:val="0"/>
              <w:kinsoku/>
              <w:wordWrap/>
              <w:overflowPunct/>
              <w:topLinePunct w:val="0"/>
              <w:autoSpaceDE w:val="0"/>
              <w:autoSpaceDN w:val="0"/>
              <w:bidi w:val="0"/>
              <w:adjustRightInd w:val="0"/>
              <w:snapToGrid w:val="0"/>
              <w:spacing w:line="240" w:lineRule="auto"/>
              <w:ind w:firstLine="420" w:firstLineChars="200"/>
              <w:textAlignment w:val="auto"/>
              <w:rPr>
                <w:rFonts w:hint="eastAsia" w:eastAsia="宋体"/>
                <w:color w:val="auto"/>
                <w:kern w:val="0"/>
                <w:szCs w:val="21"/>
                <w:lang w:eastAsia="zh-CN"/>
              </w:rPr>
            </w:pPr>
          </w:p>
        </w:tc>
      </w:tr>
    </w:tbl>
    <w:p w14:paraId="4484E7EF">
      <w:pPr>
        <w:pStyle w:val="27"/>
        <w:ind w:firstLine="210"/>
        <w:rPr>
          <w:color w:val="auto"/>
        </w:rPr>
        <w:sectPr>
          <w:footerReference r:id="rId6" w:type="default"/>
          <w:pgSz w:w="11906" w:h="16838"/>
          <w:pgMar w:top="1701" w:right="1531" w:bottom="1701" w:left="1531" w:header="851" w:footer="1077" w:gutter="0"/>
          <w:pgNumType w:fmt="numberInDash" w:start="1"/>
          <w:cols w:space="720" w:num="1"/>
          <w:docGrid w:linePitch="312" w:charSpace="0"/>
        </w:sectPr>
      </w:pPr>
    </w:p>
    <w:p w14:paraId="007E3711">
      <w:pPr>
        <w:pStyle w:val="25"/>
        <w:spacing w:beforeLines="100" w:beforeAutospacing="0" w:afterLines="100" w:afterAutospacing="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二、建设内容</w:t>
      </w:r>
    </w:p>
    <w:tbl>
      <w:tblPr>
        <w:tblStyle w:val="29"/>
        <w:tblW w:w="9060" w:type="dxa"/>
        <w:tblInd w:w="-164"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8571"/>
      </w:tblGrid>
      <w:tr w14:paraId="214680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3" w:hRule="atLeast"/>
        </w:trPr>
        <w:tc>
          <w:tcPr>
            <w:tcW w:w="765" w:type="dxa"/>
            <w:vAlign w:val="center"/>
          </w:tcPr>
          <w:p w14:paraId="6DF381BE">
            <w:pPr>
              <w:adjustRightInd w:val="0"/>
              <w:snapToGrid w:val="0"/>
              <w:jc w:val="center"/>
              <w:rPr>
                <w:rFonts w:ascii="宋体" w:hAnsi="宋体" w:cs="宋体"/>
                <w:color w:val="auto"/>
                <w:kern w:val="0"/>
                <w:szCs w:val="21"/>
              </w:rPr>
            </w:pPr>
            <w:r>
              <w:rPr>
                <w:rFonts w:hint="eastAsia" w:ascii="宋体" w:hAnsi="宋体" w:cs="宋体"/>
                <w:color w:val="auto"/>
                <w:kern w:val="0"/>
                <w:sz w:val="24"/>
              </w:rPr>
              <w:t>地理位置</w:t>
            </w:r>
          </w:p>
        </w:tc>
        <w:tc>
          <w:tcPr>
            <w:tcW w:w="8295" w:type="dxa"/>
          </w:tcPr>
          <w:p w14:paraId="5D066BF5">
            <w:pPr>
              <w:pStyle w:val="5"/>
              <w:widowControl w:val="0"/>
              <w:snapToGrid/>
              <w:spacing w:before="0" w:after="0" w:line="480" w:lineRule="exact"/>
              <w:ind w:right="0" w:firstLine="480" w:firstLineChars="200"/>
              <w:jc w:val="left"/>
              <w:rPr>
                <w:rFonts w:hint="default" w:eastAsia="宋体"/>
                <w:color w:val="auto"/>
                <w:sz w:val="24"/>
                <w:szCs w:val="24"/>
                <w:lang w:val="en-US" w:eastAsia="zh-CN"/>
              </w:rPr>
            </w:pPr>
            <w:r>
              <w:rPr>
                <w:color w:val="auto"/>
                <w:sz w:val="24"/>
                <w:szCs w:val="24"/>
              </w:rPr>
              <w:t>本项目位于内蒙古自治区鄂尔多斯市东胜区罕台镇查干布拉格村</w:t>
            </w:r>
            <w:r>
              <w:rPr>
                <w:rFonts w:hint="eastAsia"/>
                <w:color w:val="auto"/>
                <w:sz w:val="24"/>
                <w:szCs w:val="24"/>
              </w:rPr>
              <w:t>李家壕煤矿，</w:t>
            </w:r>
            <w:r>
              <w:rPr>
                <w:rFonts w:hint="eastAsia"/>
                <w:color w:val="auto"/>
                <w:sz w:val="24"/>
              </w:rPr>
              <w:t>新</w:t>
            </w:r>
            <w:r>
              <w:rPr>
                <w:rFonts w:hint="eastAsia"/>
                <w:color w:val="auto"/>
                <w:sz w:val="24"/>
                <w:lang w:val="en-US" w:eastAsia="zh-CN"/>
              </w:rPr>
              <w:t>建</w:t>
            </w:r>
            <w:r>
              <w:rPr>
                <w:rFonts w:hint="eastAsia"/>
                <w:color w:val="auto"/>
                <w:sz w:val="24"/>
                <w:szCs w:val="24"/>
              </w:rPr>
              <w:t>风井场地位于现有风井场地西侧，位于TL16钻孔以西200m。</w:t>
            </w:r>
            <w:r>
              <w:rPr>
                <w:color w:val="auto"/>
                <w:sz w:val="24"/>
                <w:szCs w:val="24"/>
              </w:rPr>
              <w:t>工程</w:t>
            </w:r>
            <w:r>
              <w:rPr>
                <w:rFonts w:hint="eastAsia"/>
                <w:color w:val="auto"/>
                <w:sz w:val="24"/>
                <w:szCs w:val="24"/>
                <w:lang w:val="en-US" w:eastAsia="zh-CN"/>
              </w:rPr>
              <w:t>总</w:t>
            </w:r>
            <w:r>
              <w:rPr>
                <w:color w:val="auto"/>
                <w:sz w:val="24"/>
                <w:szCs w:val="24"/>
              </w:rPr>
              <w:t>占地面积</w:t>
            </w:r>
            <w:r>
              <w:rPr>
                <w:rFonts w:hint="eastAsia"/>
                <w:color w:val="auto"/>
                <w:sz w:val="24"/>
                <w:szCs w:val="24"/>
              </w:rPr>
              <w:t>10771m</w:t>
            </w:r>
            <w:r>
              <w:rPr>
                <w:rFonts w:hint="eastAsia"/>
                <w:color w:val="auto"/>
                <w:sz w:val="24"/>
                <w:szCs w:val="24"/>
                <w:vertAlign w:val="superscript"/>
              </w:rPr>
              <w:t>2</w:t>
            </w:r>
            <w:r>
              <w:rPr>
                <w:rFonts w:hint="eastAsia"/>
                <w:color w:val="auto"/>
                <w:sz w:val="24"/>
                <w:szCs w:val="24"/>
                <w:vertAlign w:val="baseline"/>
                <w:lang w:eastAsia="zh-CN"/>
              </w:rPr>
              <w:t>，</w:t>
            </w:r>
            <w:r>
              <w:rPr>
                <w:rFonts w:hint="eastAsia"/>
                <w:color w:val="auto"/>
                <w:sz w:val="24"/>
                <w:szCs w:val="24"/>
                <w:vertAlign w:val="baseline"/>
                <w:lang w:val="en-US" w:eastAsia="zh-CN"/>
              </w:rPr>
              <w:t>项目厂区各拐点坐标见土地勘测定界报告（附件11）。</w:t>
            </w:r>
          </w:p>
          <w:p w14:paraId="5C7B0330">
            <w:pPr>
              <w:pStyle w:val="5"/>
              <w:widowControl w:val="0"/>
              <w:snapToGrid/>
              <w:spacing w:before="0" w:after="0" w:line="480" w:lineRule="exact"/>
              <w:ind w:right="0" w:firstLine="480" w:firstLineChars="200"/>
              <w:jc w:val="left"/>
              <w:rPr>
                <w:color w:val="auto"/>
              </w:rPr>
            </w:pPr>
            <w:r>
              <w:rPr>
                <w:color w:val="auto"/>
                <w:sz w:val="24"/>
                <w:szCs w:val="24"/>
              </w:rPr>
              <w:t>项目地理位置图见附图1。</w:t>
            </w:r>
          </w:p>
          <w:p w14:paraId="14E88185">
            <w:pPr>
              <w:widowControl/>
              <w:spacing w:line="480" w:lineRule="exact"/>
              <w:ind w:firstLine="2409" w:firstLineChars="1000"/>
              <w:jc w:val="left"/>
              <w:rPr>
                <w:b/>
                <w:bCs/>
                <w:color w:val="auto"/>
                <w:kern w:val="0"/>
                <w:sz w:val="24"/>
              </w:rPr>
            </w:pPr>
            <w:r>
              <w:rPr>
                <w:rFonts w:hint="eastAsia"/>
                <w:b/>
                <w:bCs/>
                <w:color w:val="auto"/>
                <w:kern w:val="0"/>
                <w:sz w:val="24"/>
              </w:rPr>
              <w:t>表2-1     项目坐标表</w:t>
            </w:r>
          </w:p>
          <w:tbl>
            <w:tblPr>
              <w:tblStyle w:val="29"/>
              <w:tblW w:w="8097"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70"/>
              <w:gridCol w:w="1533"/>
              <w:gridCol w:w="1627"/>
              <w:gridCol w:w="773"/>
              <w:gridCol w:w="1747"/>
              <w:gridCol w:w="1747"/>
            </w:tblGrid>
            <w:tr w14:paraId="354C3D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670" w:type="dxa"/>
                  <w:tcBorders>
                    <w:tl2br w:val="nil"/>
                    <w:tr2bl w:val="nil"/>
                  </w:tcBorders>
                  <w:noWrap/>
                  <w:vAlign w:val="bottom"/>
                </w:tcPr>
                <w:p w14:paraId="6EC90EDB">
                  <w:pPr>
                    <w:jc w:val="center"/>
                    <w:rPr>
                      <w:color w:val="auto"/>
                      <w:szCs w:val="21"/>
                    </w:rPr>
                  </w:pPr>
                  <w:r>
                    <w:rPr>
                      <w:color w:val="auto"/>
                      <w:szCs w:val="21"/>
                    </w:rPr>
                    <w:t>序号</w:t>
                  </w:r>
                </w:p>
              </w:tc>
              <w:tc>
                <w:tcPr>
                  <w:tcW w:w="1533" w:type="dxa"/>
                  <w:tcBorders>
                    <w:tl2br w:val="nil"/>
                    <w:tr2bl w:val="nil"/>
                  </w:tcBorders>
                  <w:noWrap/>
                  <w:vAlign w:val="bottom"/>
                </w:tcPr>
                <w:p w14:paraId="694D0FD9">
                  <w:pPr>
                    <w:jc w:val="center"/>
                    <w:rPr>
                      <w:color w:val="auto"/>
                      <w:szCs w:val="21"/>
                    </w:rPr>
                  </w:pPr>
                  <w:r>
                    <w:rPr>
                      <w:color w:val="auto"/>
                      <w:szCs w:val="21"/>
                    </w:rPr>
                    <w:t>X</w:t>
                  </w:r>
                </w:p>
              </w:tc>
              <w:tc>
                <w:tcPr>
                  <w:tcW w:w="1627" w:type="dxa"/>
                  <w:tcBorders>
                    <w:tl2br w:val="nil"/>
                    <w:tr2bl w:val="nil"/>
                  </w:tcBorders>
                  <w:noWrap/>
                  <w:vAlign w:val="bottom"/>
                </w:tcPr>
                <w:p w14:paraId="07B23525">
                  <w:pPr>
                    <w:jc w:val="center"/>
                    <w:rPr>
                      <w:color w:val="auto"/>
                      <w:szCs w:val="21"/>
                    </w:rPr>
                  </w:pPr>
                  <w:r>
                    <w:rPr>
                      <w:color w:val="auto"/>
                      <w:szCs w:val="21"/>
                    </w:rPr>
                    <w:t>Y</w:t>
                  </w:r>
                </w:p>
              </w:tc>
              <w:tc>
                <w:tcPr>
                  <w:tcW w:w="773" w:type="dxa"/>
                  <w:tcBorders>
                    <w:tl2br w:val="nil"/>
                    <w:tr2bl w:val="nil"/>
                  </w:tcBorders>
                  <w:noWrap/>
                  <w:vAlign w:val="bottom"/>
                </w:tcPr>
                <w:p w14:paraId="7EE5F9BF">
                  <w:pPr>
                    <w:jc w:val="center"/>
                    <w:rPr>
                      <w:color w:val="auto"/>
                      <w:szCs w:val="21"/>
                    </w:rPr>
                  </w:pPr>
                  <w:r>
                    <w:rPr>
                      <w:color w:val="auto"/>
                      <w:szCs w:val="21"/>
                    </w:rPr>
                    <w:t>序号</w:t>
                  </w:r>
                </w:p>
              </w:tc>
              <w:tc>
                <w:tcPr>
                  <w:tcW w:w="1747" w:type="dxa"/>
                  <w:tcBorders>
                    <w:tl2br w:val="nil"/>
                    <w:tr2bl w:val="nil"/>
                  </w:tcBorders>
                  <w:noWrap/>
                  <w:vAlign w:val="bottom"/>
                </w:tcPr>
                <w:p w14:paraId="1E3B7D7D">
                  <w:pPr>
                    <w:jc w:val="center"/>
                    <w:rPr>
                      <w:color w:val="auto"/>
                      <w:szCs w:val="21"/>
                    </w:rPr>
                  </w:pPr>
                  <w:r>
                    <w:rPr>
                      <w:color w:val="auto"/>
                      <w:szCs w:val="21"/>
                    </w:rPr>
                    <w:t>X</w:t>
                  </w:r>
                </w:p>
              </w:tc>
              <w:tc>
                <w:tcPr>
                  <w:tcW w:w="1747" w:type="dxa"/>
                  <w:tcBorders>
                    <w:tl2br w:val="nil"/>
                    <w:tr2bl w:val="nil"/>
                  </w:tcBorders>
                  <w:noWrap/>
                  <w:vAlign w:val="bottom"/>
                </w:tcPr>
                <w:p w14:paraId="0A5570EB">
                  <w:pPr>
                    <w:jc w:val="center"/>
                    <w:rPr>
                      <w:color w:val="auto"/>
                      <w:szCs w:val="21"/>
                    </w:rPr>
                  </w:pPr>
                  <w:r>
                    <w:rPr>
                      <w:color w:val="auto"/>
                      <w:szCs w:val="21"/>
                    </w:rPr>
                    <w:t>Y</w:t>
                  </w:r>
                </w:p>
              </w:tc>
            </w:tr>
            <w:tr w14:paraId="1D6BF39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8097" w:type="dxa"/>
                  <w:gridSpan w:val="6"/>
                  <w:tcBorders>
                    <w:tl2br w:val="nil"/>
                    <w:tr2bl w:val="nil"/>
                  </w:tcBorders>
                  <w:noWrap/>
                  <w:vAlign w:val="bottom"/>
                </w:tcPr>
                <w:p w14:paraId="549267B1">
                  <w:pPr>
                    <w:jc w:val="center"/>
                    <w:rPr>
                      <w:color w:val="auto"/>
                      <w:szCs w:val="21"/>
                    </w:rPr>
                  </w:pPr>
                  <w:r>
                    <w:rPr>
                      <w:rFonts w:hint="eastAsia"/>
                      <w:color w:val="auto"/>
                      <w:szCs w:val="21"/>
                    </w:rPr>
                    <w:t>风井场地厂区</w:t>
                  </w:r>
                </w:p>
              </w:tc>
            </w:tr>
            <w:tr w14:paraId="29026F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670" w:type="dxa"/>
                  <w:tcBorders>
                    <w:tl2br w:val="nil"/>
                    <w:tr2bl w:val="nil"/>
                  </w:tcBorders>
                  <w:noWrap/>
                  <w:vAlign w:val="bottom"/>
                </w:tcPr>
                <w:p w14:paraId="532E59C4">
                  <w:pPr>
                    <w:jc w:val="center"/>
                    <w:rPr>
                      <w:color w:val="auto"/>
                      <w:szCs w:val="21"/>
                    </w:rPr>
                  </w:pPr>
                  <w:r>
                    <w:rPr>
                      <w:rFonts w:hint="eastAsia"/>
                      <w:color w:val="auto"/>
                      <w:szCs w:val="21"/>
                    </w:rPr>
                    <w:t>1</w:t>
                  </w:r>
                </w:p>
              </w:tc>
              <w:tc>
                <w:tcPr>
                  <w:tcW w:w="1533" w:type="dxa"/>
                  <w:tcBorders>
                    <w:tl2br w:val="nil"/>
                    <w:tr2bl w:val="nil"/>
                  </w:tcBorders>
                  <w:noWrap/>
                  <w:vAlign w:val="center"/>
                </w:tcPr>
                <w:p w14:paraId="19EB8541">
                  <w:pPr>
                    <w:jc w:val="center"/>
                    <w:rPr>
                      <w:color w:val="auto"/>
                      <w:szCs w:val="21"/>
                    </w:rPr>
                  </w:pPr>
                  <w:r>
                    <w:rPr>
                      <w:rFonts w:hint="eastAsia"/>
                      <w:color w:val="auto"/>
                      <w:szCs w:val="21"/>
                    </w:rPr>
                    <w:t>4401992.864</w:t>
                  </w:r>
                </w:p>
              </w:tc>
              <w:tc>
                <w:tcPr>
                  <w:tcW w:w="1627" w:type="dxa"/>
                  <w:tcBorders>
                    <w:tl2br w:val="nil"/>
                    <w:tr2bl w:val="nil"/>
                  </w:tcBorders>
                  <w:noWrap/>
                  <w:vAlign w:val="center"/>
                </w:tcPr>
                <w:p w14:paraId="2C9AE9A0">
                  <w:pPr>
                    <w:jc w:val="center"/>
                    <w:rPr>
                      <w:color w:val="auto"/>
                      <w:szCs w:val="21"/>
                    </w:rPr>
                  </w:pPr>
                  <w:r>
                    <w:rPr>
                      <w:rFonts w:hint="eastAsia"/>
                      <w:color w:val="auto"/>
                      <w:szCs w:val="21"/>
                    </w:rPr>
                    <w:t>37416448.497</w:t>
                  </w:r>
                </w:p>
              </w:tc>
              <w:tc>
                <w:tcPr>
                  <w:tcW w:w="773" w:type="dxa"/>
                  <w:tcBorders>
                    <w:tl2br w:val="nil"/>
                    <w:tr2bl w:val="nil"/>
                  </w:tcBorders>
                  <w:noWrap/>
                  <w:vAlign w:val="center"/>
                </w:tcPr>
                <w:p w14:paraId="6C0FE812">
                  <w:pPr>
                    <w:jc w:val="center"/>
                    <w:rPr>
                      <w:color w:val="auto"/>
                      <w:szCs w:val="21"/>
                    </w:rPr>
                  </w:pPr>
                  <w:r>
                    <w:rPr>
                      <w:rFonts w:hint="eastAsia"/>
                      <w:color w:val="auto"/>
                      <w:szCs w:val="21"/>
                    </w:rPr>
                    <w:t>35</w:t>
                  </w:r>
                </w:p>
              </w:tc>
              <w:tc>
                <w:tcPr>
                  <w:tcW w:w="1747" w:type="dxa"/>
                  <w:tcBorders>
                    <w:tl2br w:val="nil"/>
                    <w:tr2bl w:val="nil"/>
                  </w:tcBorders>
                  <w:noWrap/>
                  <w:vAlign w:val="center"/>
                </w:tcPr>
                <w:p w14:paraId="7BC4552D">
                  <w:pPr>
                    <w:jc w:val="center"/>
                    <w:rPr>
                      <w:color w:val="auto"/>
                      <w:szCs w:val="21"/>
                    </w:rPr>
                  </w:pPr>
                  <w:r>
                    <w:rPr>
                      <w:rFonts w:hint="eastAsia"/>
                      <w:color w:val="auto"/>
                      <w:szCs w:val="21"/>
                    </w:rPr>
                    <w:t>4402023.148</w:t>
                  </w:r>
                </w:p>
              </w:tc>
              <w:tc>
                <w:tcPr>
                  <w:tcW w:w="1747" w:type="dxa"/>
                  <w:tcBorders>
                    <w:tl2br w:val="nil"/>
                    <w:tr2bl w:val="nil"/>
                  </w:tcBorders>
                  <w:noWrap/>
                  <w:vAlign w:val="center"/>
                </w:tcPr>
                <w:p w14:paraId="74003817">
                  <w:pPr>
                    <w:jc w:val="center"/>
                    <w:rPr>
                      <w:color w:val="auto"/>
                      <w:szCs w:val="21"/>
                    </w:rPr>
                  </w:pPr>
                  <w:r>
                    <w:rPr>
                      <w:rFonts w:hint="eastAsia"/>
                      <w:color w:val="auto"/>
                      <w:szCs w:val="21"/>
                    </w:rPr>
                    <w:t>37416581.550</w:t>
                  </w:r>
                </w:p>
              </w:tc>
            </w:tr>
            <w:tr w14:paraId="196989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211899D8">
                  <w:pPr>
                    <w:jc w:val="center"/>
                    <w:rPr>
                      <w:color w:val="auto"/>
                      <w:szCs w:val="21"/>
                    </w:rPr>
                  </w:pPr>
                  <w:r>
                    <w:rPr>
                      <w:rFonts w:hint="eastAsia"/>
                      <w:color w:val="auto"/>
                      <w:szCs w:val="21"/>
                    </w:rPr>
                    <w:t>2</w:t>
                  </w:r>
                </w:p>
              </w:tc>
              <w:tc>
                <w:tcPr>
                  <w:tcW w:w="1533" w:type="dxa"/>
                  <w:tcBorders>
                    <w:tl2br w:val="nil"/>
                    <w:tr2bl w:val="nil"/>
                  </w:tcBorders>
                  <w:noWrap/>
                  <w:vAlign w:val="center"/>
                </w:tcPr>
                <w:p w14:paraId="078D359E">
                  <w:pPr>
                    <w:jc w:val="center"/>
                    <w:rPr>
                      <w:color w:val="auto"/>
                      <w:szCs w:val="21"/>
                    </w:rPr>
                  </w:pPr>
                  <w:r>
                    <w:rPr>
                      <w:rFonts w:hint="eastAsia"/>
                      <w:color w:val="auto"/>
                      <w:szCs w:val="21"/>
                    </w:rPr>
                    <w:t>4402054.732</w:t>
                  </w:r>
                </w:p>
              </w:tc>
              <w:tc>
                <w:tcPr>
                  <w:tcW w:w="1627" w:type="dxa"/>
                  <w:tcBorders>
                    <w:tl2br w:val="nil"/>
                    <w:tr2bl w:val="nil"/>
                  </w:tcBorders>
                  <w:noWrap/>
                  <w:vAlign w:val="center"/>
                </w:tcPr>
                <w:p w14:paraId="28294293">
                  <w:pPr>
                    <w:jc w:val="center"/>
                    <w:rPr>
                      <w:color w:val="auto"/>
                      <w:szCs w:val="21"/>
                      <w:lang w:eastAsia="en-US"/>
                    </w:rPr>
                  </w:pPr>
                  <w:r>
                    <w:rPr>
                      <w:rFonts w:hint="eastAsia"/>
                      <w:color w:val="auto"/>
                      <w:szCs w:val="21"/>
                    </w:rPr>
                    <w:t>37416565.666</w:t>
                  </w:r>
                </w:p>
              </w:tc>
              <w:tc>
                <w:tcPr>
                  <w:tcW w:w="773" w:type="dxa"/>
                  <w:tcBorders>
                    <w:tl2br w:val="nil"/>
                    <w:tr2bl w:val="nil"/>
                  </w:tcBorders>
                  <w:noWrap/>
                  <w:vAlign w:val="center"/>
                </w:tcPr>
                <w:p w14:paraId="5CB4E24A">
                  <w:pPr>
                    <w:jc w:val="center"/>
                    <w:rPr>
                      <w:color w:val="auto"/>
                      <w:szCs w:val="21"/>
                    </w:rPr>
                  </w:pPr>
                  <w:r>
                    <w:rPr>
                      <w:rFonts w:hint="eastAsia"/>
                      <w:color w:val="auto"/>
                      <w:szCs w:val="21"/>
                    </w:rPr>
                    <w:t>36</w:t>
                  </w:r>
                </w:p>
              </w:tc>
              <w:tc>
                <w:tcPr>
                  <w:tcW w:w="1747" w:type="dxa"/>
                  <w:tcBorders>
                    <w:tl2br w:val="nil"/>
                    <w:tr2bl w:val="nil"/>
                  </w:tcBorders>
                  <w:noWrap/>
                  <w:vAlign w:val="center"/>
                </w:tcPr>
                <w:p w14:paraId="1EDEA244">
                  <w:pPr>
                    <w:jc w:val="center"/>
                    <w:rPr>
                      <w:color w:val="auto"/>
                      <w:szCs w:val="21"/>
                    </w:rPr>
                  </w:pPr>
                  <w:r>
                    <w:rPr>
                      <w:rFonts w:hint="eastAsia"/>
                      <w:color w:val="auto"/>
                      <w:szCs w:val="21"/>
                    </w:rPr>
                    <w:t>4402023.019</w:t>
                  </w:r>
                </w:p>
              </w:tc>
              <w:tc>
                <w:tcPr>
                  <w:tcW w:w="1747" w:type="dxa"/>
                  <w:tcBorders>
                    <w:tl2br w:val="nil"/>
                    <w:tr2bl w:val="nil"/>
                  </w:tcBorders>
                  <w:noWrap/>
                  <w:vAlign w:val="center"/>
                </w:tcPr>
                <w:p w14:paraId="2C6469DA">
                  <w:pPr>
                    <w:jc w:val="center"/>
                    <w:rPr>
                      <w:color w:val="auto"/>
                      <w:szCs w:val="21"/>
                    </w:rPr>
                  </w:pPr>
                  <w:r>
                    <w:rPr>
                      <w:rFonts w:hint="eastAsia"/>
                      <w:color w:val="auto"/>
                      <w:szCs w:val="21"/>
                    </w:rPr>
                    <w:t>37416581.563</w:t>
                  </w:r>
                </w:p>
              </w:tc>
            </w:tr>
            <w:tr w14:paraId="36115C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3392B09E">
                  <w:pPr>
                    <w:jc w:val="center"/>
                    <w:rPr>
                      <w:color w:val="auto"/>
                      <w:szCs w:val="21"/>
                    </w:rPr>
                  </w:pPr>
                  <w:r>
                    <w:rPr>
                      <w:rFonts w:hint="eastAsia"/>
                      <w:color w:val="auto"/>
                      <w:szCs w:val="21"/>
                    </w:rPr>
                    <w:t>3</w:t>
                  </w:r>
                </w:p>
              </w:tc>
              <w:tc>
                <w:tcPr>
                  <w:tcW w:w="1533" w:type="dxa"/>
                  <w:tcBorders>
                    <w:tl2br w:val="nil"/>
                    <w:tr2bl w:val="nil"/>
                  </w:tcBorders>
                  <w:noWrap/>
                  <w:vAlign w:val="center"/>
                </w:tcPr>
                <w:p w14:paraId="4EB7BEEC">
                  <w:pPr>
                    <w:jc w:val="center"/>
                    <w:rPr>
                      <w:color w:val="auto"/>
                      <w:szCs w:val="21"/>
                      <w:lang w:eastAsia="en-US"/>
                    </w:rPr>
                  </w:pPr>
                  <w:r>
                    <w:rPr>
                      <w:rFonts w:hint="eastAsia"/>
                      <w:color w:val="auto"/>
                      <w:szCs w:val="21"/>
                    </w:rPr>
                    <w:t>4402026.728</w:t>
                  </w:r>
                </w:p>
              </w:tc>
              <w:tc>
                <w:tcPr>
                  <w:tcW w:w="1627" w:type="dxa"/>
                  <w:tcBorders>
                    <w:tl2br w:val="nil"/>
                    <w:tr2bl w:val="nil"/>
                  </w:tcBorders>
                  <w:noWrap/>
                  <w:vAlign w:val="center"/>
                </w:tcPr>
                <w:p w14:paraId="4805F90F">
                  <w:pPr>
                    <w:jc w:val="center"/>
                    <w:rPr>
                      <w:color w:val="auto"/>
                      <w:szCs w:val="21"/>
                      <w:lang w:eastAsia="en-US"/>
                    </w:rPr>
                  </w:pPr>
                  <w:r>
                    <w:rPr>
                      <w:rFonts w:hint="eastAsia"/>
                      <w:color w:val="auto"/>
                      <w:szCs w:val="21"/>
                    </w:rPr>
                    <w:t>37416580.452</w:t>
                  </w:r>
                </w:p>
              </w:tc>
              <w:tc>
                <w:tcPr>
                  <w:tcW w:w="773" w:type="dxa"/>
                  <w:tcBorders>
                    <w:tl2br w:val="nil"/>
                    <w:tr2bl w:val="nil"/>
                  </w:tcBorders>
                  <w:noWrap/>
                  <w:vAlign w:val="center"/>
                </w:tcPr>
                <w:p w14:paraId="58F03578">
                  <w:pPr>
                    <w:jc w:val="center"/>
                    <w:rPr>
                      <w:color w:val="auto"/>
                      <w:szCs w:val="21"/>
                    </w:rPr>
                  </w:pPr>
                  <w:r>
                    <w:rPr>
                      <w:rFonts w:hint="eastAsia"/>
                      <w:color w:val="auto"/>
                      <w:szCs w:val="21"/>
                    </w:rPr>
                    <w:t>37</w:t>
                  </w:r>
                </w:p>
              </w:tc>
              <w:tc>
                <w:tcPr>
                  <w:tcW w:w="1747" w:type="dxa"/>
                  <w:tcBorders>
                    <w:tl2br w:val="nil"/>
                    <w:tr2bl w:val="nil"/>
                  </w:tcBorders>
                  <w:noWrap/>
                  <w:vAlign w:val="center"/>
                </w:tcPr>
                <w:p w14:paraId="7825044D">
                  <w:pPr>
                    <w:jc w:val="center"/>
                    <w:rPr>
                      <w:color w:val="auto"/>
                      <w:szCs w:val="21"/>
                    </w:rPr>
                  </w:pPr>
                  <w:r>
                    <w:rPr>
                      <w:rFonts w:hint="eastAsia"/>
                      <w:color w:val="auto"/>
                      <w:szCs w:val="21"/>
                    </w:rPr>
                    <w:t>4402022.870</w:t>
                  </w:r>
                </w:p>
              </w:tc>
              <w:tc>
                <w:tcPr>
                  <w:tcW w:w="1747" w:type="dxa"/>
                  <w:tcBorders>
                    <w:tl2br w:val="nil"/>
                    <w:tr2bl w:val="nil"/>
                  </w:tcBorders>
                  <w:noWrap/>
                  <w:vAlign w:val="center"/>
                </w:tcPr>
                <w:p w14:paraId="32CA5339">
                  <w:pPr>
                    <w:jc w:val="center"/>
                    <w:rPr>
                      <w:color w:val="auto"/>
                      <w:szCs w:val="21"/>
                    </w:rPr>
                  </w:pPr>
                  <w:r>
                    <w:rPr>
                      <w:rFonts w:hint="eastAsia"/>
                      <w:color w:val="auto"/>
                      <w:szCs w:val="21"/>
                    </w:rPr>
                    <w:t>37416581.577</w:t>
                  </w:r>
                </w:p>
              </w:tc>
            </w:tr>
            <w:tr w14:paraId="2938100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088DE43F">
                  <w:pPr>
                    <w:jc w:val="center"/>
                    <w:rPr>
                      <w:color w:val="auto"/>
                      <w:szCs w:val="21"/>
                    </w:rPr>
                  </w:pPr>
                  <w:r>
                    <w:rPr>
                      <w:rFonts w:hint="eastAsia"/>
                      <w:color w:val="auto"/>
                      <w:szCs w:val="21"/>
                    </w:rPr>
                    <w:t>4</w:t>
                  </w:r>
                </w:p>
              </w:tc>
              <w:tc>
                <w:tcPr>
                  <w:tcW w:w="1533" w:type="dxa"/>
                  <w:tcBorders>
                    <w:tl2br w:val="nil"/>
                    <w:tr2bl w:val="nil"/>
                  </w:tcBorders>
                  <w:noWrap/>
                  <w:vAlign w:val="center"/>
                </w:tcPr>
                <w:p w14:paraId="2FCE015F">
                  <w:pPr>
                    <w:jc w:val="center"/>
                    <w:rPr>
                      <w:color w:val="auto"/>
                      <w:szCs w:val="21"/>
                      <w:lang w:eastAsia="en-US"/>
                    </w:rPr>
                  </w:pPr>
                  <w:r>
                    <w:rPr>
                      <w:rFonts w:hint="eastAsia"/>
                      <w:color w:val="auto"/>
                      <w:szCs w:val="21"/>
                    </w:rPr>
                    <w:t>4402026.499</w:t>
                  </w:r>
                </w:p>
              </w:tc>
              <w:tc>
                <w:tcPr>
                  <w:tcW w:w="1627" w:type="dxa"/>
                  <w:tcBorders>
                    <w:tl2br w:val="nil"/>
                    <w:tr2bl w:val="nil"/>
                  </w:tcBorders>
                  <w:noWrap/>
                  <w:vAlign w:val="center"/>
                </w:tcPr>
                <w:p w14:paraId="52557A82">
                  <w:pPr>
                    <w:jc w:val="center"/>
                    <w:rPr>
                      <w:color w:val="auto"/>
                      <w:szCs w:val="21"/>
                      <w:lang w:eastAsia="en-US"/>
                    </w:rPr>
                  </w:pPr>
                  <w:r>
                    <w:rPr>
                      <w:rFonts w:hint="eastAsia"/>
                      <w:color w:val="auto"/>
                      <w:szCs w:val="21"/>
                    </w:rPr>
                    <w:t>37416580.570</w:t>
                  </w:r>
                </w:p>
              </w:tc>
              <w:tc>
                <w:tcPr>
                  <w:tcW w:w="773" w:type="dxa"/>
                  <w:tcBorders>
                    <w:tl2br w:val="nil"/>
                    <w:tr2bl w:val="nil"/>
                  </w:tcBorders>
                  <w:noWrap/>
                  <w:vAlign w:val="center"/>
                </w:tcPr>
                <w:p w14:paraId="60940FD3">
                  <w:pPr>
                    <w:jc w:val="center"/>
                    <w:rPr>
                      <w:color w:val="auto"/>
                      <w:szCs w:val="21"/>
                    </w:rPr>
                  </w:pPr>
                  <w:r>
                    <w:rPr>
                      <w:rFonts w:hint="eastAsia"/>
                      <w:color w:val="auto"/>
                      <w:szCs w:val="21"/>
                    </w:rPr>
                    <w:t>38</w:t>
                  </w:r>
                </w:p>
              </w:tc>
              <w:tc>
                <w:tcPr>
                  <w:tcW w:w="1747" w:type="dxa"/>
                  <w:tcBorders>
                    <w:tl2br w:val="nil"/>
                    <w:tr2bl w:val="nil"/>
                  </w:tcBorders>
                  <w:noWrap/>
                  <w:vAlign w:val="center"/>
                </w:tcPr>
                <w:p w14:paraId="17F7CA23">
                  <w:pPr>
                    <w:jc w:val="center"/>
                    <w:rPr>
                      <w:color w:val="auto"/>
                      <w:szCs w:val="21"/>
                    </w:rPr>
                  </w:pPr>
                  <w:r>
                    <w:rPr>
                      <w:rFonts w:hint="eastAsia"/>
                      <w:color w:val="auto"/>
                      <w:szCs w:val="21"/>
                    </w:rPr>
                    <w:t>4402022.700</w:t>
                  </w:r>
                </w:p>
              </w:tc>
              <w:tc>
                <w:tcPr>
                  <w:tcW w:w="1747" w:type="dxa"/>
                  <w:tcBorders>
                    <w:tl2br w:val="nil"/>
                    <w:tr2bl w:val="nil"/>
                  </w:tcBorders>
                  <w:noWrap/>
                  <w:vAlign w:val="center"/>
                </w:tcPr>
                <w:p w14:paraId="5A313E54">
                  <w:pPr>
                    <w:jc w:val="center"/>
                    <w:rPr>
                      <w:color w:val="auto"/>
                      <w:szCs w:val="21"/>
                    </w:rPr>
                  </w:pPr>
                  <w:r>
                    <w:rPr>
                      <w:rFonts w:hint="eastAsia"/>
                      <w:color w:val="auto"/>
                      <w:szCs w:val="21"/>
                    </w:rPr>
                    <w:t>37416581.589</w:t>
                  </w:r>
                </w:p>
              </w:tc>
            </w:tr>
            <w:tr w14:paraId="0EA627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7214ECE3">
                  <w:pPr>
                    <w:jc w:val="center"/>
                    <w:rPr>
                      <w:color w:val="auto"/>
                      <w:szCs w:val="21"/>
                    </w:rPr>
                  </w:pPr>
                  <w:r>
                    <w:rPr>
                      <w:rFonts w:hint="eastAsia"/>
                      <w:color w:val="auto"/>
                      <w:szCs w:val="21"/>
                    </w:rPr>
                    <w:t>5</w:t>
                  </w:r>
                </w:p>
              </w:tc>
              <w:tc>
                <w:tcPr>
                  <w:tcW w:w="1533" w:type="dxa"/>
                  <w:tcBorders>
                    <w:tl2br w:val="nil"/>
                    <w:tr2bl w:val="nil"/>
                  </w:tcBorders>
                  <w:noWrap/>
                  <w:vAlign w:val="center"/>
                </w:tcPr>
                <w:p w14:paraId="0F199EF4">
                  <w:pPr>
                    <w:jc w:val="center"/>
                    <w:rPr>
                      <w:color w:val="auto"/>
                      <w:szCs w:val="21"/>
                      <w:lang w:eastAsia="en-US"/>
                    </w:rPr>
                  </w:pPr>
                  <w:r>
                    <w:rPr>
                      <w:rFonts w:hint="eastAsia"/>
                      <w:color w:val="auto"/>
                      <w:szCs w:val="21"/>
                    </w:rPr>
                    <w:t>4402026.348</w:t>
                  </w:r>
                </w:p>
              </w:tc>
              <w:tc>
                <w:tcPr>
                  <w:tcW w:w="1627" w:type="dxa"/>
                  <w:tcBorders>
                    <w:tl2br w:val="nil"/>
                    <w:tr2bl w:val="nil"/>
                  </w:tcBorders>
                  <w:noWrap/>
                  <w:vAlign w:val="center"/>
                </w:tcPr>
                <w:p w14:paraId="16A38F83">
                  <w:pPr>
                    <w:jc w:val="center"/>
                    <w:rPr>
                      <w:color w:val="auto"/>
                      <w:szCs w:val="21"/>
                      <w:lang w:eastAsia="en-US"/>
                    </w:rPr>
                  </w:pPr>
                  <w:r>
                    <w:rPr>
                      <w:rFonts w:hint="eastAsia"/>
                      <w:color w:val="auto"/>
                      <w:szCs w:val="21"/>
                    </w:rPr>
                    <w:t>37416580.643</w:t>
                  </w:r>
                </w:p>
              </w:tc>
              <w:tc>
                <w:tcPr>
                  <w:tcW w:w="773" w:type="dxa"/>
                  <w:tcBorders>
                    <w:tl2br w:val="nil"/>
                    <w:tr2bl w:val="nil"/>
                  </w:tcBorders>
                  <w:noWrap/>
                  <w:vAlign w:val="center"/>
                </w:tcPr>
                <w:p w14:paraId="012EBDB4">
                  <w:pPr>
                    <w:jc w:val="center"/>
                    <w:rPr>
                      <w:color w:val="auto"/>
                      <w:szCs w:val="21"/>
                    </w:rPr>
                  </w:pPr>
                  <w:r>
                    <w:rPr>
                      <w:rFonts w:hint="eastAsia"/>
                      <w:color w:val="auto"/>
                      <w:szCs w:val="21"/>
                    </w:rPr>
                    <w:t>39</w:t>
                  </w:r>
                </w:p>
              </w:tc>
              <w:tc>
                <w:tcPr>
                  <w:tcW w:w="1747" w:type="dxa"/>
                  <w:tcBorders>
                    <w:tl2br w:val="nil"/>
                    <w:tr2bl w:val="nil"/>
                  </w:tcBorders>
                  <w:noWrap/>
                  <w:vAlign w:val="center"/>
                </w:tcPr>
                <w:p w14:paraId="2F8B59F0">
                  <w:pPr>
                    <w:jc w:val="center"/>
                    <w:rPr>
                      <w:color w:val="auto"/>
                      <w:szCs w:val="21"/>
                    </w:rPr>
                  </w:pPr>
                  <w:r>
                    <w:rPr>
                      <w:rFonts w:hint="eastAsia"/>
                      <w:color w:val="auto"/>
                      <w:szCs w:val="21"/>
                    </w:rPr>
                    <w:t>4402022.568</w:t>
                  </w:r>
                </w:p>
              </w:tc>
              <w:tc>
                <w:tcPr>
                  <w:tcW w:w="1747" w:type="dxa"/>
                  <w:tcBorders>
                    <w:tl2br w:val="nil"/>
                    <w:tr2bl w:val="nil"/>
                  </w:tcBorders>
                  <w:noWrap/>
                  <w:vAlign w:val="center"/>
                </w:tcPr>
                <w:p w14:paraId="16ADA0DE">
                  <w:pPr>
                    <w:jc w:val="center"/>
                    <w:rPr>
                      <w:color w:val="auto"/>
                      <w:szCs w:val="21"/>
                    </w:rPr>
                  </w:pPr>
                  <w:r>
                    <w:rPr>
                      <w:rFonts w:hint="eastAsia"/>
                      <w:color w:val="auto"/>
                      <w:szCs w:val="21"/>
                    </w:rPr>
                    <w:t>37416581.597</w:t>
                  </w:r>
                </w:p>
              </w:tc>
            </w:tr>
            <w:tr w14:paraId="2EBA72E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057BA5E8">
                  <w:pPr>
                    <w:jc w:val="center"/>
                    <w:rPr>
                      <w:color w:val="auto"/>
                      <w:szCs w:val="21"/>
                    </w:rPr>
                  </w:pPr>
                  <w:r>
                    <w:rPr>
                      <w:rFonts w:hint="eastAsia"/>
                      <w:color w:val="auto"/>
                      <w:szCs w:val="21"/>
                    </w:rPr>
                    <w:t>6</w:t>
                  </w:r>
                </w:p>
              </w:tc>
              <w:tc>
                <w:tcPr>
                  <w:tcW w:w="1533" w:type="dxa"/>
                  <w:tcBorders>
                    <w:tl2br w:val="nil"/>
                    <w:tr2bl w:val="nil"/>
                  </w:tcBorders>
                  <w:noWrap/>
                  <w:vAlign w:val="center"/>
                </w:tcPr>
                <w:p w14:paraId="796AA6D1">
                  <w:pPr>
                    <w:jc w:val="center"/>
                    <w:rPr>
                      <w:color w:val="auto"/>
                      <w:szCs w:val="21"/>
                      <w:lang w:eastAsia="en-US"/>
                    </w:rPr>
                  </w:pPr>
                  <w:r>
                    <w:rPr>
                      <w:rFonts w:hint="eastAsia"/>
                      <w:color w:val="auto"/>
                      <w:szCs w:val="21"/>
                    </w:rPr>
                    <w:t>4402026.228</w:t>
                  </w:r>
                </w:p>
              </w:tc>
              <w:tc>
                <w:tcPr>
                  <w:tcW w:w="1627" w:type="dxa"/>
                  <w:tcBorders>
                    <w:tl2br w:val="nil"/>
                    <w:tr2bl w:val="nil"/>
                  </w:tcBorders>
                  <w:noWrap/>
                  <w:vAlign w:val="center"/>
                </w:tcPr>
                <w:p w14:paraId="0F08D6EE">
                  <w:pPr>
                    <w:jc w:val="center"/>
                    <w:rPr>
                      <w:color w:val="auto"/>
                      <w:szCs w:val="21"/>
                      <w:lang w:eastAsia="en-US"/>
                    </w:rPr>
                  </w:pPr>
                  <w:r>
                    <w:rPr>
                      <w:rFonts w:hint="eastAsia"/>
                      <w:color w:val="auto"/>
                      <w:szCs w:val="21"/>
                    </w:rPr>
                    <w:t>37416580.699</w:t>
                  </w:r>
                </w:p>
              </w:tc>
              <w:tc>
                <w:tcPr>
                  <w:tcW w:w="773" w:type="dxa"/>
                  <w:tcBorders>
                    <w:tl2br w:val="nil"/>
                    <w:tr2bl w:val="nil"/>
                  </w:tcBorders>
                  <w:noWrap/>
                  <w:vAlign w:val="center"/>
                </w:tcPr>
                <w:p w14:paraId="46CB4981">
                  <w:pPr>
                    <w:jc w:val="center"/>
                    <w:rPr>
                      <w:color w:val="auto"/>
                      <w:szCs w:val="21"/>
                    </w:rPr>
                  </w:pPr>
                  <w:r>
                    <w:rPr>
                      <w:rFonts w:hint="eastAsia"/>
                      <w:color w:val="auto"/>
                      <w:szCs w:val="21"/>
                    </w:rPr>
                    <w:t>40</w:t>
                  </w:r>
                </w:p>
              </w:tc>
              <w:tc>
                <w:tcPr>
                  <w:tcW w:w="1747" w:type="dxa"/>
                  <w:tcBorders>
                    <w:tl2br w:val="nil"/>
                    <w:tr2bl w:val="nil"/>
                  </w:tcBorders>
                  <w:noWrap/>
                  <w:vAlign w:val="center"/>
                </w:tcPr>
                <w:p w14:paraId="2C463A6F">
                  <w:pPr>
                    <w:jc w:val="center"/>
                    <w:rPr>
                      <w:color w:val="auto"/>
                      <w:szCs w:val="21"/>
                    </w:rPr>
                  </w:pPr>
                  <w:r>
                    <w:rPr>
                      <w:rFonts w:hint="eastAsia"/>
                      <w:color w:val="auto"/>
                      <w:szCs w:val="21"/>
                    </w:rPr>
                    <w:t>4402022.481</w:t>
                  </w:r>
                </w:p>
              </w:tc>
              <w:tc>
                <w:tcPr>
                  <w:tcW w:w="1747" w:type="dxa"/>
                  <w:tcBorders>
                    <w:tl2br w:val="nil"/>
                    <w:tr2bl w:val="nil"/>
                  </w:tcBorders>
                  <w:noWrap/>
                  <w:vAlign w:val="center"/>
                </w:tcPr>
                <w:p w14:paraId="7AA41146">
                  <w:pPr>
                    <w:jc w:val="center"/>
                    <w:rPr>
                      <w:color w:val="auto"/>
                      <w:szCs w:val="21"/>
                    </w:rPr>
                  </w:pPr>
                  <w:r>
                    <w:rPr>
                      <w:rFonts w:hint="eastAsia"/>
                      <w:color w:val="auto"/>
                      <w:szCs w:val="21"/>
                    </w:rPr>
                    <w:t>37416581.601</w:t>
                  </w:r>
                </w:p>
              </w:tc>
            </w:tr>
            <w:tr w14:paraId="2596A9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7E82071">
                  <w:pPr>
                    <w:jc w:val="center"/>
                    <w:rPr>
                      <w:color w:val="auto"/>
                      <w:szCs w:val="21"/>
                    </w:rPr>
                  </w:pPr>
                  <w:r>
                    <w:rPr>
                      <w:rFonts w:hint="eastAsia"/>
                      <w:color w:val="auto"/>
                      <w:szCs w:val="21"/>
                    </w:rPr>
                    <w:t>7</w:t>
                  </w:r>
                </w:p>
              </w:tc>
              <w:tc>
                <w:tcPr>
                  <w:tcW w:w="1533" w:type="dxa"/>
                  <w:tcBorders>
                    <w:tl2br w:val="nil"/>
                    <w:tr2bl w:val="nil"/>
                  </w:tcBorders>
                  <w:noWrap/>
                  <w:vAlign w:val="center"/>
                </w:tcPr>
                <w:p w14:paraId="521F3A31">
                  <w:pPr>
                    <w:jc w:val="center"/>
                    <w:rPr>
                      <w:color w:val="auto"/>
                      <w:szCs w:val="21"/>
                      <w:lang w:eastAsia="en-US"/>
                    </w:rPr>
                  </w:pPr>
                  <w:r>
                    <w:rPr>
                      <w:rFonts w:hint="eastAsia"/>
                      <w:color w:val="auto"/>
                      <w:szCs w:val="21"/>
                    </w:rPr>
                    <w:t>4402026.092</w:t>
                  </w:r>
                </w:p>
              </w:tc>
              <w:tc>
                <w:tcPr>
                  <w:tcW w:w="1627" w:type="dxa"/>
                  <w:tcBorders>
                    <w:tl2br w:val="nil"/>
                    <w:tr2bl w:val="nil"/>
                  </w:tcBorders>
                  <w:noWrap/>
                  <w:vAlign w:val="center"/>
                </w:tcPr>
                <w:p w14:paraId="0A688105">
                  <w:pPr>
                    <w:jc w:val="center"/>
                    <w:rPr>
                      <w:color w:val="auto"/>
                      <w:szCs w:val="21"/>
                      <w:lang w:eastAsia="en-US"/>
                    </w:rPr>
                  </w:pPr>
                  <w:r>
                    <w:rPr>
                      <w:rFonts w:hint="eastAsia"/>
                      <w:color w:val="auto"/>
                      <w:szCs w:val="21"/>
                    </w:rPr>
                    <w:t>37416580.760</w:t>
                  </w:r>
                </w:p>
              </w:tc>
              <w:tc>
                <w:tcPr>
                  <w:tcW w:w="773" w:type="dxa"/>
                  <w:tcBorders>
                    <w:tl2br w:val="nil"/>
                    <w:tr2bl w:val="nil"/>
                  </w:tcBorders>
                  <w:noWrap/>
                  <w:vAlign w:val="center"/>
                </w:tcPr>
                <w:p w14:paraId="6FD1E1FB">
                  <w:pPr>
                    <w:jc w:val="center"/>
                    <w:rPr>
                      <w:color w:val="auto"/>
                      <w:szCs w:val="21"/>
                    </w:rPr>
                  </w:pPr>
                  <w:r>
                    <w:rPr>
                      <w:rFonts w:hint="eastAsia"/>
                      <w:color w:val="auto"/>
                      <w:szCs w:val="21"/>
                    </w:rPr>
                    <w:t>41</w:t>
                  </w:r>
                </w:p>
              </w:tc>
              <w:tc>
                <w:tcPr>
                  <w:tcW w:w="1747" w:type="dxa"/>
                  <w:tcBorders>
                    <w:tl2br w:val="nil"/>
                    <w:tr2bl w:val="nil"/>
                  </w:tcBorders>
                  <w:noWrap/>
                  <w:vAlign w:val="center"/>
                </w:tcPr>
                <w:p w14:paraId="0AE2886E">
                  <w:pPr>
                    <w:jc w:val="center"/>
                    <w:rPr>
                      <w:color w:val="auto"/>
                      <w:szCs w:val="21"/>
                    </w:rPr>
                  </w:pPr>
                  <w:r>
                    <w:rPr>
                      <w:rFonts w:hint="eastAsia"/>
                      <w:color w:val="auto"/>
                      <w:szCs w:val="21"/>
                    </w:rPr>
                    <w:t>4402022.369</w:t>
                  </w:r>
                </w:p>
              </w:tc>
              <w:tc>
                <w:tcPr>
                  <w:tcW w:w="1747" w:type="dxa"/>
                  <w:tcBorders>
                    <w:tl2br w:val="nil"/>
                    <w:tr2bl w:val="nil"/>
                  </w:tcBorders>
                  <w:noWrap/>
                  <w:vAlign w:val="center"/>
                </w:tcPr>
                <w:p w14:paraId="1845A27D">
                  <w:pPr>
                    <w:jc w:val="center"/>
                    <w:rPr>
                      <w:color w:val="auto"/>
                      <w:szCs w:val="21"/>
                    </w:rPr>
                  </w:pPr>
                  <w:r>
                    <w:rPr>
                      <w:rFonts w:hint="eastAsia"/>
                      <w:color w:val="auto"/>
                      <w:szCs w:val="21"/>
                    </w:rPr>
                    <w:t>37416581.605</w:t>
                  </w:r>
                </w:p>
              </w:tc>
            </w:tr>
            <w:tr w14:paraId="4D7B69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2E94DF01">
                  <w:pPr>
                    <w:jc w:val="center"/>
                    <w:rPr>
                      <w:color w:val="auto"/>
                      <w:szCs w:val="21"/>
                    </w:rPr>
                  </w:pPr>
                  <w:r>
                    <w:rPr>
                      <w:rFonts w:hint="eastAsia"/>
                      <w:color w:val="auto"/>
                      <w:szCs w:val="21"/>
                    </w:rPr>
                    <w:t>8</w:t>
                  </w:r>
                </w:p>
              </w:tc>
              <w:tc>
                <w:tcPr>
                  <w:tcW w:w="1533" w:type="dxa"/>
                  <w:tcBorders>
                    <w:tl2br w:val="nil"/>
                    <w:tr2bl w:val="nil"/>
                  </w:tcBorders>
                  <w:noWrap/>
                  <w:vAlign w:val="center"/>
                </w:tcPr>
                <w:p w14:paraId="6D6C44E2">
                  <w:pPr>
                    <w:jc w:val="center"/>
                    <w:rPr>
                      <w:color w:val="auto"/>
                      <w:szCs w:val="21"/>
                      <w:lang w:eastAsia="en-US"/>
                    </w:rPr>
                  </w:pPr>
                  <w:r>
                    <w:rPr>
                      <w:rFonts w:hint="eastAsia"/>
                      <w:color w:val="auto"/>
                      <w:szCs w:val="21"/>
                    </w:rPr>
                    <w:t>4402026.036</w:t>
                  </w:r>
                </w:p>
              </w:tc>
              <w:tc>
                <w:tcPr>
                  <w:tcW w:w="1627" w:type="dxa"/>
                  <w:tcBorders>
                    <w:tl2br w:val="nil"/>
                    <w:tr2bl w:val="nil"/>
                  </w:tcBorders>
                  <w:noWrap/>
                  <w:vAlign w:val="center"/>
                </w:tcPr>
                <w:p w14:paraId="375B8C37">
                  <w:pPr>
                    <w:jc w:val="center"/>
                    <w:rPr>
                      <w:color w:val="auto"/>
                      <w:szCs w:val="21"/>
                    </w:rPr>
                  </w:pPr>
                  <w:r>
                    <w:rPr>
                      <w:rFonts w:hint="eastAsia"/>
                      <w:color w:val="auto"/>
                      <w:szCs w:val="21"/>
                    </w:rPr>
                    <w:t>37416580.785</w:t>
                  </w:r>
                </w:p>
              </w:tc>
              <w:tc>
                <w:tcPr>
                  <w:tcW w:w="773" w:type="dxa"/>
                  <w:tcBorders>
                    <w:tl2br w:val="nil"/>
                    <w:tr2bl w:val="nil"/>
                  </w:tcBorders>
                  <w:noWrap/>
                  <w:vAlign w:val="center"/>
                </w:tcPr>
                <w:p w14:paraId="2BFAD51E">
                  <w:pPr>
                    <w:jc w:val="center"/>
                    <w:rPr>
                      <w:color w:val="auto"/>
                      <w:szCs w:val="21"/>
                    </w:rPr>
                  </w:pPr>
                  <w:r>
                    <w:rPr>
                      <w:rFonts w:hint="eastAsia"/>
                      <w:color w:val="auto"/>
                      <w:szCs w:val="21"/>
                    </w:rPr>
                    <w:t>42</w:t>
                  </w:r>
                </w:p>
              </w:tc>
              <w:tc>
                <w:tcPr>
                  <w:tcW w:w="1747" w:type="dxa"/>
                  <w:tcBorders>
                    <w:tl2br w:val="nil"/>
                    <w:tr2bl w:val="nil"/>
                  </w:tcBorders>
                  <w:noWrap/>
                  <w:vAlign w:val="center"/>
                </w:tcPr>
                <w:p w14:paraId="6B474149">
                  <w:pPr>
                    <w:jc w:val="center"/>
                    <w:rPr>
                      <w:color w:val="auto"/>
                      <w:szCs w:val="21"/>
                    </w:rPr>
                  </w:pPr>
                  <w:r>
                    <w:rPr>
                      <w:rFonts w:hint="eastAsia"/>
                      <w:color w:val="auto"/>
                      <w:szCs w:val="21"/>
                    </w:rPr>
                    <w:t>4402022.151</w:t>
                  </w:r>
                </w:p>
              </w:tc>
              <w:tc>
                <w:tcPr>
                  <w:tcW w:w="1747" w:type="dxa"/>
                  <w:tcBorders>
                    <w:tl2br w:val="nil"/>
                    <w:tr2bl w:val="nil"/>
                  </w:tcBorders>
                  <w:noWrap/>
                  <w:vAlign w:val="center"/>
                </w:tcPr>
                <w:p w14:paraId="61ECC54F">
                  <w:pPr>
                    <w:jc w:val="center"/>
                    <w:rPr>
                      <w:color w:val="auto"/>
                      <w:szCs w:val="21"/>
                    </w:rPr>
                  </w:pPr>
                  <w:r>
                    <w:rPr>
                      <w:rFonts w:hint="eastAsia"/>
                      <w:color w:val="auto"/>
                      <w:szCs w:val="21"/>
                    </w:rPr>
                    <w:t>37416581.609</w:t>
                  </w:r>
                </w:p>
              </w:tc>
            </w:tr>
            <w:tr w14:paraId="55AAAFD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46132202">
                  <w:pPr>
                    <w:jc w:val="center"/>
                    <w:rPr>
                      <w:color w:val="auto"/>
                      <w:szCs w:val="21"/>
                    </w:rPr>
                  </w:pPr>
                  <w:r>
                    <w:rPr>
                      <w:rFonts w:hint="eastAsia"/>
                      <w:color w:val="auto"/>
                      <w:szCs w:val="21"/>
                    </w:rPr>
                    <w:t>9</w:t>
                  </w:r>
                </w:p>
              </w:tc>
              <w:tc>
                <w:tcPr>
                  <w:tcW w:w="1533" w:type="dxa"/>
                  <w:tcBorders>
                    <w:tl2br w:val="nil"/>
                    <w:tr2bl w:val="nil"/>
                  </w:tcBorders>
                  <w:noWrap/>
                  <w:vAlign w:val="center"/>
                </w:tcPr>
                <w:p w14:paraId="045E2923">
                  <w:pPr>
                    <w:jc w:val="center"/>
                    <w:rPr>
                      <w:color w:val="auto"/>
                      <w:szCs w:val="21"/>
                      <w:lang w:eastAsia="en-US"/>
                    </w:rPr>
                  </w:pPr>
                  <w:r>
                    <w:rPr>
                      <w:rFonts w:hint="eastAsia"/>
                      <w:color w:val="auto"/>
                      <w:szCs w:val="21"/>
                    </w:rPr>
                    <w:t>4402025.934</w:t>
                  </w:r>
                </w:p>
              </w:tc>
              <w:tc>
                <w:tcPr>
                  <w:tcW w:w="1627" w:type="dxa"/>
                  <w:tcBorders>
                    <w:tl2br w:val="nil"/>
                    <w:tr2bl w:val="nil"/>
                  </w:tcBorders>
                  <w:noWrap/>
                  <w:vAlign w:val="center"/>
                </w:tcPr>
                <w:p w14:paraId="6F245C2E">
                  <w:pPr>
                    <w:jc w:val="center"/>
                    <w:rPr>
                      <w:color w:val="auto"/>
                      <w:szCs w:val="21"/>
                    </w:rPr>
                  </w:pPr>
                  <w:r>
                    <w:rPr>
                      <w:rFonts w:hint="eastAsia"/>
                      <w:color w:val="auto"/>
                      <w:szCs w:val="21"/>
                    </w:rPr>
                    <w:t>37416580.828</w:t>
                  </w:r>
                </w:p>
              </w:tc>
              <w:tc>
                <w:tcPr>
                  <w:tcW w:w="773" w:type="dxa"/>
                  <w:tcBorders>
                    <w:tl2br w:val="nil"/>
                    <w:tr2bl w:val="nil"/>
                  </w:tcBorders>
                  <w:noWrap/>
                  <w:vAlign w:val="center"/>
                </w:tcPr>
                <w:p w14:paraId="31B3D9AA">
                  <w:pPr>
                    <w:jc w:val="center"/>
                    <w:rPr>
                      <w:color w:val="auto"/>
                      <w:szCs w:val="21"/>
                    </w:rPr>
                  </w:pPr>
                  <w:r>
                    <w:rPr>
                      <w:rFonts w:hint="eastAsia"/>
                      <w:color w:val="auto"/>
                      <w:szCs w:val="21"/>
                    </w:rPr>
                    <w:t>43</w:t>
                  </w:r>
                </w:p>
              </w:tc>
              <w:tc>
                <w:tcPr>
                  <w:tcW w:w="1747" w:type="dxa"/>
                  <w:tcBorders>
                    <w:tl2br w:val="nil"/>
                    <w:tr2bl w:val="nil"/>
                  </w:tcBorders>
                  <w:noWrap/>
                  <w:vAlign w:val="center"/>
                </w:tcPr>
                <w:p w14:paraId="47D34491">
                  <w:pPr>
                    <w:jc w:val="center"/>
                    <w:rPr>
                      <w:color w:val="auto"/>
                      <w:szCs w:val="21"/>
                    </w:rPr>
                  </w:pPr>
                  <w:r>
                    <w:rPr>
                      <w:rFonts w:hint="eastAsia"/>
                      <w:color w:val="auto"/>
                      <w:szCs w:val="21"/>
                    </w:rPr>
                    <w:t>4402021.995</w:t>
                  </w:r>
                </w:p>
              </w:tc>
              <w:tc>
                <w:tcPr>
                  <w:tcW w:w="1747" w:type="dxa"/>
                  <w:tcBorders>
                    <w:tl2br w:val="nil"/>
                    <w:tr2bl w:val="nil"/>
                  </w:tcBorders>
                  <w:noWrap/>
                  <w:vAlign w:val="center"/>
                </w:tcPr>
                <w:p w14:paraId="3950F3FF">
                  <w:pPr>
                    <w:jc w:val="center"/>
                    <w:rPr>
                      <w:color w:val="auto"/>
                      <w:szCs w:val="21"/>
                    </w:rPr>
                  </w:pPr>
                  <w:r>
                    <w:rPr>
                      <w:rFonts w:hint="eastAsia"/>
                      <w:color w:val="auto"/>
                      <w:szCs w:val="21"/>
                    </w:rPr>
                    <w:t>37416581.609</w:t>
                  </w:r>
                </w:p>
              </w:tc>
            </w:tr>
            <w:tr w14:paraId="59AB9D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3C647F71">
                  <w:pPr>
                    <w:jc w:val="center"/>
                    <w:rPr>
                      <w:color w:val="auto"/>
                      <w:szCs w:val="21"/>
                    </w:rPr>
                  </w:pPr>
                  <w:r>
                    <w:rPr>
                      <w:rFonts w:hint="eastAsia"/>
                      <w:color w:val="auto"/>
                      <w:szCs w:val="21"/>
                    </w:rPr>
                    <w:t>10</w:t>
                  </w:r>
                </w:p>
              </w:tc>
              <w:tc>
                <w:tcPr>
                  <w:tcW w:w="1533" w:type="dxa"/>
                  <w:tcBorders>
                    <w:tl2br w:val="nil"/>
                    <w:tr2bl w:val="nil"/>
                  </w:tcBorders>
                  <w:noWrap/>
                  <w:vAlign w:val="center"/>
                </w:tcPr>
                <w:p w14:paraId="6BDD7AC8">
                  <w:pPr>
                    <w:jc w:val="center"/>
                    <w:rPr>
                      <w:color w:val="auto"/>
                      <w:szCs w:val="21"/>
                      <w:lang w:eastAsia="en-US"/>
                    </w:rPr>
                  </w:pPr>
                  <w:r>
                    <w:rPr>
                      <w:rFonts w:hint="eastAsia"/>
                      <w:color w:val="auto"/>
                      <w:szCs w:val="21"/>
                    </w:rPr>
                    <w:t>4402025.772</w:t>
                  </w:r>
                </w:p>
              </w:tc>
              <w:tc>
                <w:tcPr>
                  <w:tcW w:w="1627" w:type="dxa"/>
                  <w:tcBorders>
                    <w:tl2br w:val="nil"/>
                    <w:tr2bl w:val="nil"/>
                  </w:tcBorders>
                  <w:noWrap/>
                  <w:vAlign w:val="center"/>
                </w:tcPr>
                <w:p w14:paraId="0F1A904F">
                  <w:pPr>
                    <w:jc w:val="center"/>
                    <w:rPr>
                      <w:color w:val="auto"/>
                      <w:szCs w:val="21"/>
                    </w:rPr>
                  </w:pPr>
                  <w:r>
                    <w:rPr>
                      <w:rFonts w:hint="eastAsia"/>
                      <w:color w:val="auto"/>
                      <w:szCs w:val="21"/>
                    </w:rPr>
                    <w:t>37416580.895</w:t>
                  </w:r>
                </w:p>
              </w:tc>
              <w:tc>
                <w:tcPr>
                  <w:tcW w:w="773" w:type="dxa"/>
                  <w:tcBorders>
                    <w:tl2br w:val="nil"/>
                    <w:tr2bl w:val="nil"/>
                  </w:tcBorders>
                  <w:noWrap/>
                  <w:vAlign w:val="center"/>
                </w:tcPr>
                <w:p w14:paraId="7842B94A">
                  <w:pPr>
                    <w:jc w:val="center"/>
                    <w:rPr>
                      <w:color w:val="auto"/>
                      <w:szCs w:val="21"/>
                    </w:rPr>
                  </w:pPr>
                  <w:r>
                    <w:rPr>
                      <w:rFonts w:hint="eastAsia"/>
                      <w:color w:val="auto"/>
                      <w:szCs w:val="21"/>
                    </w:rPr>
                    <w:t>44</w:t>
                  </w:r>
                </w:p>
              </w:tc>
              <w:tc>
                <w:tcPr>
                  <w:tcW w:w="1747" w:type="dxa"/>
                  <w:tcBorders>
                    <w:tl2br w:val="nil"/>
                    <w:tr2bl w:val="nil"/>
                  </w:tcBorders>
                  <w:noWrap/>
                  <w:vAlign w:val="center"/>
                </w:tcPr>
                <w:p w14:paraId="0B12B618">
                  <w:pPr>
                    <w:jc w:val="center"/>
                    <w:rPr>
                      <w:color w:val="auto"/>
                      <w:szCs w:val="21"/>
                    </w:rPr>
                  </w:pPr>
                  <w:r>
                    <w:rPr>
                      <w:rFonts w:hint="eastAsia"/>
                      <w:color w:val="auto"/>
                      <w:szCs w:val="21"/>
                    </w:rPr>
                    <w:t>4402021.901</w:t>
                  </w:r>
                </w:p>
              </w:tc>
              <w:tc>
                <w:tcPr>
                  <w:tcW w:w="1747" w:type="dxa"/>
                  <w:tcBorders>
                    <w:tl2br w:val="nil"/>
                    <w:tr2bl w:val="nil"/>
                  </w:tcBorders>
                  <w:noWrap/>
                  <w:vAlign w:val="center"/>
                </w:tcPr>
                <w:p w14:paraId="7D07955A">
                  <w:pPr>
                    <w:jc w:val="center"/>
                    <w:rPr>
                      <w:color w:val="auto"/>
                      <w:szCs w:val="21"/>
                    </w:rPr>
                  </w:pPr>
                  <w:r>
                    <w:rPr>
                      <w:rFonts w:hint="eastAsia"/>
                      <w:color w:val="auto"/>
                      <w:szCs w:val="21"/>
                    </w:rPr>
                    <w:t>37416581.608</w:t>
                  </w:r>
                </w:p>
              </w:tc>
            </w:tr>
            <w:tr w14:paraId="44ABFC8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5DEC8E7">
                  <w:pPr>
                    <w:jc w:val="center"/>
                    <w:rPr>
                      <w:color w:val="auto"/>
                      <w:szCs w:val="21"/>
                    </w:rPr>
                  </w:pPr>
                  <w:r>
                    <w:rPr>
                      <w:rFonts w:hint="eastAsia"/>
                      <w:color w:val="auto"/>
                      <w:szCs w:val="21"/>
                    </w:rPr>
                    <w:t>11</w:t>
                  </w:r>
                </w:p>
              </w:tc>
              <w:tc>
                <w:tcPr>
                  <w:tcW w:w="1533" w:type="dxa"/>
                  <w:tcBorders>
                    <w:tl2br w:val="nil"/>
                    <w:tr2bl w:val="nil"/>
                  </w:tcBorders>
                  <w:noWrap/>
                  <w:vAlign w:val="center"/>
                </w:tcPr>
                <w:p w14:paraId="4C05D4F8">
                  <w:pPr>
                    <w:jc w:val="center"/>
                    <w:rPr>
                      <w:color w:val="auto"/>
                      <w:szCs w:val="21"/>
                      <w:lang w:eastAsia="en-US"/>
                    </w:rPr>
                  </w:pPr>
                  <w:r>
                    <w:rPr>
                      <w:rFonts w:hint="eastAsia"/>
                      <w:color w:val="auto"/>
                      <w:szCs w:val="21"/>
                    </w:rPr>
                    <w:t>4402025.664</w:t>
                  </w:r>
                </w:p>
              </w:tc>
              <w:tc>
                <w:tcPr>
                  <w:tcW w:w="1627" w:type="dxa"/>
                  <w:tcBorders>
                    <w:tl2br w:val="nil"/>
                    <w:tr2bl w:val="nil"/>
                  </w:tcBorders>
                  <w:noWrap/>
                  <w:vAlign w:val="center"/>
                </w:tcPr>
                <w:p w14:paraId="0CC9EE33">
                  <w:pPr>
                    <w:jc w:val="center"/>
                    <w:rPr>
                      <w:color w:val="auto"/>
                      <w:szCs w:val="21"/>
                    </w:rPr>
                  </w:pPr>
                  <w:r>
                    <w:rPr>
                      <w:rFonts w:hint="eastAsia"/>
                      <w:color w:val="auto"/>
                      <w:szCs w:val="21"/>
                    </w:rPr>
                    <w:t>37416580.937</w:t>
                  </w:r>
                </w:p>
              </w:tc>
              <w:tc>
                <w:tcPr>
                  <w:tcW w:w="773" w:type="dxa"/>
                  <w:tcBorders>
                    <w:tl2br w:val="nil"/>
                    <w:tr2bl w:val="nil"/>
                  </w:tcBorders>
                  <w:noWrap/>
                  <w:vAlign w:val="center"/>
                </w:tcPr>
                <w:p w14:paraId="750FC050">
                  <w:pPr>
                    <w:jc w:val="center"/>
                    <w:rPr>
                      <w:color w:val="auto"/>
                      <w:szCs w:val="21"/>
                    </w:rPr>
                  </w:pPr>
                  <w:r>
                    <w:rPr>
                      <w:rFonts w:hint="eastAsia"/>
                      <w:color w:val="auto"/>
                      <w:szCs w:val="21"/>
                    </w:rPr>
                    <w:t>45</w:t>
                  </w:r>
                </w:p>
              </w:tc>
              <w:tc>
                <w:tcPr>
                  <w:tcW w:w="1747" w:type="dxa"/>
                  <w:tcBorders>
                    <w:tl2br w:val="nil"/>
                    <w:tr2bl w:val="nil"/>
                  </w:tcBorders>
                  <w:noWrap/>
                  <w:vAlign w:val="center"/>
                </w:tcPr>
                <w:p w14:paraId="6E3E8CB0">
                  <w:pPr>
                    <w:jc w:val="center"/>
                    <w:rPr>
                      <w:color w:val="auto"/>
                      <w:szCs w:val="21"/>
                    </w:rPr>
                  </w:pPr>
                  <w:r>
                    <w:rPr>
                      <w:rFonts w:hint="eastAsia"/>
                      <w:color w:val="auto"/>
                      <w:szCs w:val="21"/>
                    </w:rPr>
                    <w:t>4402021.733</w:t>
                  </w:r>
                </w:p>
              </w:tc>
              <w:tc>
                <w:tcPr>
                  <w:tcW w:w="1747" w:type="dxa"/>
                  <w:tcBorders>
                    <w:tl2br w:val="nil"/>
                    <w:tr2bl w:val="nil"/>
                  </w:tcBorders>
                  <w:noWrap/>
                  <w:vAlign w:val="center"/>
                </w:tcPr>
                <w:p w14:paraId="3B7A29C8">
                  <w:pPr>
                    <w:jc w:val="center"/>
                    <w:rPr>
                      <w:color w:val="auto"/>
                      <w:szCs w:val="21"/>
                    </w:rPr>
                  </w:pPr>
                  <w:r>
                    <w:rPr>
                      <w:rFonts w:hint="eastAsia"/>
                      <w:color w:val="auto"/>
                      <w:szCs w:val="21"/>
                    </w:rPr>
                    <w:t>37416581.604</w:t>
                  </w:r>
                </w:p>
              </w:tc>
            </w:tr>
            <w:tr w14:paraId="5E2EEC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F848DB4">
                  <w:pPr>
                    <w:jc w:val="center"/>
                    <w:rPr>
                      <w:color w:val="auto"/>
                      <w:szCs w:val="21"/>
                    </w:rPr>
                  </w:pPr>
                  <w:r>
                    <w:rPr>
                      <w:rFonts w:hint="eastAsia"/>
                      <w:color w:val="auto"/>
                      <w:szCs w:val="21"/>
                    </w:rPr>
                    <w:t>12</w:t>
                  </w:r>
                </w:p>
              </w:tc>
              <w:tc>
                <w:tcPr>
                  <w:tcW w:w="1533" w:type="dxa"/>
                  <w:tcBorders>
                    <w:tl2br w:val="nil"/>
                    <w:tr2bl w:val="nil"/>
                  </w:tcBorders>
                  <w:noWrap/>
                  <w:vAlign w:val="center"/>
                </w:tcPr>
                <w:p w14:paraId="3619E638">
                  <w:pPr>
                    <w:jc w:val="center"/>
                    <w:rPr>
                      <w:color w:val="auto"/>
                      <w:szCs w:val="21"/>
                    </w:rPr>
                  </w:pPr>
                  <w:r>
                    <w:rPr>
                      <w:rFonts w:hint="eastAsia"/>
                      <w:color w:val="auto"/>
                      <w:szCs w:val="21"/>
                    </w:rPr>
                    <w:t>4402025.454</w:t>
                  </w:r>
                </w:p>
              </w:tc>
              <w:tc>
                <w:tcPr>
                  <w:tcW w:w="1627" w:type="dxa"/>
                  <w:tcBorders>
                    <w:tl2br w:val="nil"/>
                    <w:tr2bl w:val="nil"/>
                  </w:tcBorders>
                  <w:noWrap/>
                  <w:vAlign w:val="center"/>
                </w:tcPr>
                <w:p w14:paraId="03B9DB4E">
                  <w:pPr>
                    <w:jc w:val="center"/>
                    <w:rPr>
                      <w:color w:val="auto"/>
                      <w:szCs w:val="21"/>
                    </w:rPr>
                  </w:pPr>
                  <w:r>
                    <w:rPr>
                      <w:rFonts w:hint="eastAsia"/>
                      <w:color w:val="auto"/>
                      <w:szCs w:val="21"/>
                    </w:rPr>
                    <w:t>37416581.015</w:t>
                  </w:r>
                </w:p>
              </w:tc>
              <w:tc>
                <w:tcPr>
                  <w:tcW w:w="773" w:type="dxa"/>
                  <w:tcBorders>
                    <w:tl2br w:val="nil"/>
                    <w:tr2bl w:val="nil"/>
                  </w:tcBorders>
                  <w:noWrap/>
                  <w:vAlign w:val="center"/>
                </w:tcPr>
                <w:p w14:paraId="3CE655FA">
                  <w:pPr>
                    <w:widowControl/>
                    <w:jc w:val="center"/>
                    <w:textAlignment w:val="center"/>
                    <w:rPr>
                      <w:color w:val="auto"/>
                      <w:kern w:val="0"/>
                      <w:szCs w:val="21"/>
                    </w:rPr>
                  </w:pPr>
                  <w:r>
                    <w:rPr>
                      <w:rFonts w:hint="eastAsia"/>
                      <w:color w:val="auto"/>
                      <w:kern w:val="0"/>
                      <w:szCs w:val="21"/>
                    </w:rPr>
                    <w:t>46</w:t>
                  </w:r>
                </w:p>
              </w:tc>
              <w:tc>
                <w:tcPr>
                  <w:tcW w:w="1747" w:type="dxa"/>
                  <w:tcBorders>
                    <w:tl2br w:val="nil"/>
                    <w:tr2bl w:val="nil"/>
                  </w:tcBorders>
                  <w:noWrap/>
                  <w:vAlign w:val="center"/>
                </w:tcPr>
                <w:p w14:paraId="39B5E17F">
                  <w:pPr>
                    <w:jc w:val="center"/>
                    <w:rPr>
                      <w:color w:val="auto"/>
                      <w:szCs w:val="21"/>
                    </w:rPr>
                  </w:pPr>
                  <w:r>
                    <w:rPr>
                      <w:rFonts w:hint="eastAsia"/>
                      <w:color w:val="auto"/>
                      <w:szCs w:val="21"/>
                    </w:rPr>
                    <w:t>4402021.613</w:t>
                  </w:r>
                </w:p>
              </w:tc>
              <w:tc>
                <w:tcPr>
                  <w:tcW w:w="1747" w:type="dxa"/>
                  <w:tcBorders>
                    <w:tl2br w:val="nil"/>
                    <w:tr2bl w:val="nil"/>
                  </w:tcBorders>
                  <w:noWrap/>
                  <w:vAlign w:val="center"/>
                </w:tcPr>
                <w:p w14:paraId="0365FF32">
                  <w:pPr>
                    <w:jc w:val="center"/>
                    <w:rPr>
                      <w:color w:val="auto"/>
                      <w:szCs w:val="21"/>
                    </w:rPr>
                  </w:pPr>
                  <w:r>
                    <w:rPr>
                      <w:rFonts w:hint="eastAsia"/>
                      <w:color w:val="auto"/>
                      <w:szCs w:val="21"/>
                    </w:rPr>
                    <w:t>37416581.600</w:t>
                  </w:r>
                </w:p>
              </w:tc>
            </w:tr>
            <w:tr w14:paraId="68F5D0C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038B1DFF">
                  <w:pPr>
                    <w:jc w:val="center"/>
                    <w:rPr>
                      <w:color w:val="auto"/>
                      <w:szCs w:val="21"/>
                    </w:rPr>
                  </w:pPr>
                  <w:r>
                    <w:rPr>
                      <w:rFonts w:hint="eastAsia"/>
                      <w:color w:val="auto"/>
                      <w:szCs w:val="21"/>
                    </w:rPr>
                    <w:t>13</w:t>
                  </w:r>
                </w:p>
              </w:tc>
              <w:tc>
                <w:tcPr>
                  <w:tcW w:w="1533" w:type="dxa"/>
                  <w:tcBorders>
                    <w:tl2br w:val="nil"/>
                    <w:tr2bl w:val="nil"/>
                  </w:tcBorders>
                  <w:noWrap/>
                  <w:vAlign w:val="center"/>
                </w:tcPr>
                <w:p w14:paraId="18076B01">
                  <w:pPr>
                    <w:jc w:val="center"/>
                    <w:rPr>
                      <w:color w:val="auto"/>
                      <w:szCs w:val="21"/>
                    </w:rPr>
                  </w:pPr>
                  <w:r>
                    <w:rPr>
                      <w:rFonts w:hint="eastAsia"/>
                      <w:color w:val="auto"/>
                      <w:szCs w:val="21"/>
                    </w:rPr>
                    <w:t>4402025.304</w:t>
                  </w:r>
                </w:p>
              </w:tc>
              <w:tc>
                <w:tcPr>
                  <w:tcW w:w="1627" w:type="dxa"/>
                  <w:tcBorders>
                    <w:tl2br w:val="nil"/>
                    <w:tr2bl w:val="nil"/>
                  </w:tcBorders>
                  <w:noWrap/>
                  <w:vAlign w:val="center"/>
                </w:tcPr>
                <w:p w14:paraId="1CE607D4">
                  <w:pPr>
                    <w:jc w:val="center"/>
                    <w:rPr>
                      <w:color w:val="auto"/>
                      <w:szCs w:val="21"/>
                    </w:rPr>
                  </w:pPr>
                  <w:r>
                    <w:rPr>
                      <w:rFonts w:hint="eastAsia"/>
                      <w:color w:val="auto"/>
                      <w:szCs w:val="21"/>
                    </w:rPr>
                    <w:t>37416581.068</w:t>
                  </w:r>
                </w:p>
              </w:tc>
              <w:tc>
                <w:tcPr>
                  <w:tcW w:w="773" w:type="dxa"/>
                  <w:tcBorders>
                    <w:tl2br w:val="nil"/>
                    <w:tr2bl w:val="nil"/>
                  </w:tcBorders>
                  <w:noWrap/>
                  <w:vAlign w:val="center"/>
                </w:tcPr>
                <w:p w14:paraId="4F379653">
                  <w:pPr>
                    <w:widowControl/>
                    <w:jc w:val="center"/>
                    <w:textAlignment w:val="center"/>
                    <w:rPr>
                      <w:color w:val="auto"/>
                      <w:kern w:val="0"/>
                      <w:szCs w:val="21"/>
                    </w:rPr>
                  </w:pPr>
                  <w:r>
                    <w:rPr>
                      <w:rFonts w:hint="eastAsia"/>
                      <w:color w:val="auto"/>
                      <w:kern w:val="0"/>
                      <w:szCs w:val="21"/>
                    </w:rPr>
                    <w:t>47</w:t>
                  </w:r>
                </w:p>
              </w:tc>
              <w:tc>
                <w:tcPr>
                  <w:tcW w:w="1747" w:type="dxa"/>
                  <w:tcBorders>
                    <w:tl2br w:val="nil"/>
                    <w:tr2bl w:val="nil"/>
                  </w:tcBorders>
                  <w:noWrap/>
                  <w:vAlign w:val="center"/>
                </w:tcPr>
                <w:p w14:paraId="2864E5BE">
                  <w:pPr>
                    <w:jc w:val="center"/>
                    <w:rPr>
                      <w:color w:val="auto"/>
                      <w:szCs w:val="21"/>
                    </w:rPr>
                  </w:pPr>
                  <w:r>
                    <w:rPr>
                      <w:rFonts w:hint="eastAsia"/>
                      <w:color w:val="auto"/>
                      <w:szCs w:val="21"/>
                    </w:rPr>
                    <w:t>4402021.534</w:t>
                  </w:r>
                </w:p>
              </w:tc>
              <w:tc>
                <w:tcPr>
                  <w:tcW w:w="1747" w:type="dxa"/>
                  <w:tcBorders>
                    <w:tl2br w:val="nil"/>
                    <w:tr2bl w:val="nil"/>
                  </w:tcBorders>
                  <w:noWrap/>
                  <w:vAlign w:val="center"/>
                </w:tcPr>
                <w:p w14:paraId="7DB5E6C3">
                  <w:pPr>
                    <w:jc w:val="center"/>
                    <w:rPr>
                      <w:color w:val="auto"/>
                      <w:szCs w:val="21"/>
                    </w:rPr>
                  </w:pPr>
                  <w:r>
                    <w:rPr>
                      <w:rFonts w:hint="eastAsia"/>
                      <w:color w:val="auto"/>
                      <w:szCs w:val="21"/>
                    </w:rPr>
                    <w:t>37416581.596</w:t>
                  </w:r>
                </w:p>
              </w:tc>
            </w:tr>
            <w:tr w14:paraId="50D7693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3CFF0D14">
                  <w:pPr>
                    <w:jc w:val="center"/>
                    <w:rPr>
                      <w:color w:val="auto"/>
                      <w:szCs w:val="21"/>
                    </w:rPr>
                  </w:pPr>
                  <w:r>
                    <w:rPr>
                      <w:rFonts w:hint="eastAsia"/>
                      <w:color w:val="auto"/>
                      <w:szCs w:val="21"/>
                    </w:rPr>
                    <w:t>14</w:t>
                  </w:r>
                </w:p>
              </w:tc>
              <w:tc>
                <w:tcPr>
                  <w:tcW w:w="1533" w:type="dxa"/>
                  <w:tcBorders>
                    <w:tl2br w:val="nil"/>
                    <w:tr2bl w:val="nil"/>
                  </w:tcBorders>
                  <w:noWrap/>
                  <w:vAlign w:val="center"/>
                </w:tcPr>
                <w:p w14:paraId="01FA50B5">
                  <w:pPr>
                    <w:jc w:val="center"/>
                    <w:rPr>
                      <w:color w:val="auto"/>
                      <w:szCs w:val="21"/>
                    </w:rPr>
                  </w:pPr>
                  <w:r>
                    <w:rPr>
                      <w:rFonts w:hint="eastAsia"/>
                      <w:color w:val="auto"/>
                      <w:szCs w:val="21"/>
                    </w:rPr>
                    <w:t>4402025.168</w:t>
                  </w:r>
                </w:p>
              </w:tc>
              <w:tc>
                <w:tcPr>
                  <w:tcW w:w="1627" w:type="dxa"/>
                  <w:tcBorders>
                    <w:tl2br w:val="nil"/>
                    <w:tr2bl w:val="nil"/>
                  </w:tcBorders>
                  <w:noWrap/>
                  <w:vAlign w:val="center"/>
                </w:tcPr>
                <w:p w14:paraId="4E76B5F1">
                  <w:pPr>
                    <w:jc w:val="center"/>
                    <w:rPr>
                      <w:color w:val="auto"/>
                      <w:szCs w:val="21"/>
                    </w:rPr>
                  </w:pPr>
                  <w:r>
                    <w:rPr>
                      <w:rFonts w:hint="eastAsia"/>
                      <w:color w:val="auto"/>
                      <w:szCs w:val="21"/>
                    </w:rPr>
                    <w:t>37416581.114</w:t>
                  </w:r>
                </w:p>
              </w:tc>
              <w:tc>
                <w:tcPr>
                  <w:tcW w:w="773" w:type="dxa"/>
                  <w:tcBorders>
                    <w:tl2br w:val="nil"/>
                    <w:tr2bl w:val="nil"/>
                  </w:tcBorders>
                  <w:noWrap/>
                  <w:vAlign w:val="center"/>
                </w:tcPr>
                <w:p w14:paraId="09FAEEBC">
                  <w:pPr>
                    <w:widowControl/>
                    <w:jc w:val="center"/>
                    <w:textAlignment w:val="center"/>
                    <w:rPr>
                      <w:color w:val="auto"/>
                      <w:kern w:val="0"/>
                      <w:szCs w:val="21"/>
                    </w:rPr>
                  </w:pPr>
                  <w:r>
                    <w:rPr>
                      <w:rFonts w:hint="eastAsia"/>
                      <w:color w:val="auto"/>
                      <w:kern w:val="0"/>
                      <w:szCs w:val="21"/>
                    </w:rPr>
                    <w:t>48</w:t>
                  </w:r>
                </w:p>
              </w:tc>
              <w:tc>
                <w:tcPr>
                  <w:tcW w:w="1747" w:type="dxa"/>
                  <w:tcBorders>
                    <w:tl2br w:val="nil"/>
                    <w:tr2bl w:val="nil"/>
                  </w:tcBorders>
                  <w:noWrap/>
                  <w:vAlign w:val="center"/>
                </w:tcPr>
                <w:p w14:paraId="4F05EE55">
                  <w:pPr>
                    <w:jc w:val="center"/>
                    <w:rPr>
                      <w:color w:val="auto"/>
                      <w:szCs w:val="21"/>
                    </w:rPr>
                  </w:pPr>
                  <w:r>
                    <w:rPr>
                      <w:rFonts w:hint="eastAsia"/>
                      <w:color w:val="auto"/>
                      <w:szCs w:val="21"/>
                    </w:rPr>
                    <w:t>4402021.359</w:t>
                  </w:r>
                </w:p>
              </w:tc>
              <w:tc>
                <w:tcPr>
                  <w:tcW w:w="1747" w:type="dxa"/>
                  <w:tcBorders>
                    <w:tl2br w:val="nil"/>
                    <w:tr2bl w:val="nil"/>
                  </w:tcBorders>
                  <w:noWrap/>
                  <w:vAlign w:val="center"/>
                </w:tcPr>
                <w:p w14:paraId="138D51AD">
                  <w:pPr>
                    <w:jc w:val="center"/>
                    <w:rPr>
                      <w:color w:val="auto"/>
                      <w:szCs w:val="21"/>
                    </w:rPr>
                  </w:pPr>
                  <w:r>
                    <w:rPr>
                      <w:rFonts w:hint="eastAsia"/>
                      <w:color w:val="auto"/>
                      <w:szCs w:val="21"/>
                    </w:rPr>
                    <w:t>37416581.585</w:t>
                  </w:r>
                </w:p>
              </w:tc>
            </w:tr>
            <w:tr w14:paraId="337141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3CCC5731">
                  <w:pPr>
                    <w:jc w:val="center"/>
                    <w:rPr>
                      <w:color w:val="auto"/>
                      <w:szCs w:val="21"/>
                    </w:rPr>
                  </w:pPr>
                  <w:r>
                    <w:rPr>
                      <w:rFonts w:hint="eastAsia"/>
                      <w:color w:val="auto"/>
                      <w:szCs w:val="21"/>
                    </w:rPr>
                    <w:t>15</w:t>
                  </w:r>
                </w:p>
              </w:tc>
              <w:tc>
                <w:tcPr>
                  <w:tcW w:w="1533" w:type="dxa"/>
                  <w:tcBorders>
                    <w:tl2br w:val="nil"/>
                    <w:tr2bl w:val="nil"/>
                  </w:tcBorders>
                  <w:noWrap/>
                  <w:vAlign w:val="center"/>
                </w:tcPr>
                <w:p w14:paraId="752FB885">
                  <w:pPr>
                    <w:jc w:val="center"/>
                    <w:rPr>
                      <w:color w:val="auto"/>
                      <w:szCs w:val="21"/>
                    </w:rPr>
                  </w:pPr>
                  <w:r>
                    <w:rPr>
                      <w:rFonts w:hint="eastAsia"/>
                      <w:color w:val="auto"/>
                      <w:szCs w:val="21"/>
                    </w:rPr>
                    <w:t>4402025.149</w:t>
                  </w:r>
                </w:p>
              </w:tc>
              <w:tc>
                <w:tcPr>
                  <w:tcW w:w="1627" w:type="dxa"/>
                  <w:tcBorders>
                    <w:tl2br w:val="nil"/>
                    <w:tr2bl w:val="nil"/>
                  </w:tcBorders>
                  <w:noWrap/>
                  <w:vAlign w:val="center"/>
                </w:tcPr>
                <w:p w14:paraId="65F61137">
                  <w:pPr>
                    <w:jc w:val="center"/>
                    <w:rPr>
                      <w:color w:val="auto"/>
                      <w:szCs w:val="21"/>
                    </w:rPr>
                  </w:pPr>
                  <w:r>
                    <w:rPr>
                      <w:rFonts w:hint="eastAsia"/>
                      <w:color w:val="auto"/>
                      <w:szCs w:val="21"/>
                    </w:rPr>
                    <w:t>37416581.120</w:t>
                  </w:r>
                </w:p>
              </w:tc>
              <w:tc>
                <w:tcPr>
                  <w:tcW w:w="773" w:type="dxa"/>
                  <w:tcBorders>
                    <w:tl2br w:val="nil"/>
                    <w:tr2bl w:val="nil"/>
                  </w:tcBorders>
                  <w:noWrap/>
                  <w:vAlign w:val="center"/>
                </w:tcPr>
                <w:p w14:paraId="10CB7B62">
                  <w:pPr>
                    <w:widowControl/>
                    <w:jc w:val="center"/>
                    <w:textAlignment w:val="center"/>
                    <w:rPr>
                      <w:color w:val="auto"/>
                      <w:kern w:val="0"/>
                      <w:szCs w:val="21"/>
                    </w:rPr>
                  </w:pPr>
                  <w:r>
                    <w:rPr>
                      <w:rFonts w:hint="eastAsia"/>
                      <w:color w:val="auto"/>
                      <w:kern w:val="0"/>
                      <w:szCs w:val="21"/>
                    </w:rPr>
                    <w:t>49</w:t>
                  </w:r>
                </w:p>
              </w:tc>
              <w:tc>
                <w:tcPr>
                  <w:tcW w:w="1747" w:type="dxa"/>
                  <w:tcBorders>
                    <w:tl2br w:val="nil"/>
                    <w:tr2bl w:val="nil"/>
                  </w:tcBorders>
                  <w:noWrap/>
                  <w:vAlign w:val="center"/>
                </w:tcPr>
                <w:p w14:paraId="1856A4C9">
                  <w:pPr>
                    <w:jc w:val="center"/>
                    <w:rPr>
                      <w:color w:val="auto"/>
                      <w:szCs w:val="21"/>
                    </w:rPr>
                  </w:pPr>
                  <w:r>
                    <w:rPr>
                      <w:rFonts w:hint="eastAsia"/>
                      <w:color w:val="auto"/>
                      <w:szCs w:val="21"/>
                    </w:rPr>
                    <w:t>4402021.262</w:t>
                  </w:r>
                </w:p>
              </w:tc>
              <w:tc>
                <w:tcPr>
                  <w:tcW w:w="1747" w:type="dxa"/>
                  <w:tcBorders>
                    <w:tl2br w:val="nil"/>
                    <w:tr2bl w:val="nil"/>
                  </w:tcBorders>
                  <w:noWrap/>
                  <w:vAlign w:val="center"/>
                </w:tcPr>
                <w:p w14:paraId="5E293306">
                  <w:pPr>
                    <w:jc w:val="center"/>
                    <w:rPr>
                      <w:color w:val="auto"/>
                      <w:szCs w:val="21"/>
                    </w:rPr>
                  </w:pPr>
                  <w:r>
                    <w:rPr>
                      <w:rFonts w:hint="eastAsia"/>
                      <w:color w:val="auto"/>
                      <w:szCs w:val="21"/>
                    </w:rPr>
                    <w:t>37416581.578</w:t>
                  </w:r>
                </w:p>
              </w:tc>
            </w:tr>
            <w:tr w14:paraId="3B9672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3A429FE">
                  <w:pPr>
                    <w:jc w:val="center"/>
                    <w:rPr>
                      <w:color w:val="auto"/>
                      <w:szCs w:val="21"/>
                    </w:rPr>
                  </w:pPr>
                  <w:r>
                    <w:rPr>
                      <w:rFonts w:hint="eastAsia"/>
                      <w:color w:val="auto"/>
                      <w:szCs w:val="21"/>
                    </w:rPr>
                    <w:t>16</w:t>
                  </w:r>
                </w:p>
              </w:tc>
              <w:tc>
                <w:tcPr>
                  <w:tcW w:w="1533" w:type="dxa"/>
                  <w:tcBorders>
                    <w:tl2br w:val="nil"/>
                    <w:tr2bl w:val="nil"/>
                  </w:tcBorders>
                  <w:noWrap/>
                  <w:vAlign w:val="center"/>
                </w:tcPr>
                <w:p w14:paraId="3372A25E">
                  <w:pPr>
                    <w:jc w:val="center"/>
                    <w:rPr>
                      <w:color w:val="auto"/>
                      <w:szCs w:val="21"/>
                    </w:rPr>
                  </w:pPr>
                  <w:r>
                    <w:rPr>
                      <w:rFonts w:hint="eastAsia"/>
                      <w:color w:val="auto"/>
                      <w:szCs w:val="21"/>
                    </w:rPr>
                    <w:t>4402025.061</w:t>
                  </w:r>
                </w:p>
              </w:tc>
              <w:tc>
                <w:tcPr>
                  <w:tcW w:w="1627" w:type="dxa"/>
                  <w:tcBorders>
                    <w:tl2br w:val="nil"/>
                    <w:tr2bl w:val="nil"/>
                  </w:tcBorders>
                  <w:noWrap/>
                  <w:vAlign w:val="center"/>
                </w:tcPr>
                <w:p w14:paraId="07F181B0">
                  <w:pPr>
                    <w:jc w:val="center"/>
                    <w:rPr>
                      <w:color w:val="auto"/>
                      <w:szCs w:val="21"/>
                    </w:rPr>
                  </w:pPr>
                  <w:r>
                    <w:rPr>
                      <w:rFonts w:hint="eastAsia"/>
                      <w:color w:val="auto"/>
                      <w:szCs w:val="21"/>
                    </w:rPr>
                    <w:t>37416581.148</w:t>
                  </w:r>
                </w:p>
              </w:tc>
              <w:tc>
                <w:tcPr>
                  <w:tcW w:w="773" w:type="dxa"/>
                  <w:tcBorders>
                    <w:tl2br w:val="nil"/>
                    <w:tr2bl w:val="nil"/>
                  </w:tcBorders>
                  <w:noWrap/>
                  <w:vAlign w:val="center"/>
                </w:tcPr>
                <w:p w14:paraId="530CFF63">
                  <w:pPr>
                    <w:widowControl/>
                    <w:jc w:val="center"/>
                    <w:textAlignment w:val="center"/>
                    <w:rPr>
                      <w:color w:val="auto"/>
                      <w:kern w:val="0"/>
                      <w:szCs w:val="21"/>
                    </w:rPr>
                  </w:pPr>
                  <w:r>
                    <w:rPr>
                      <w:rFonts w:hint="eastAsia"/>
                      <w:color w:val="auto"/>
                      <w:kern w:val="0"/>
                      <w:szCs w:val="21"/>
                    </w:rPr>
                    <w:t>50</w:t>
                  </w:r>
                </w:p>
              </w:tc>
              <w:tc>
                <w:tcPr>
                  <w:tcW w:w="1747" w:type="dxa"/>
                  <w:tcBorders>
                    <w:tl2br w:val="nil"/>
                    <w:tr2bl w:val="nil"/>
                  </w:tcBorders>
                  <w:noWrap/>
                  <w:vAlign w:val="center"/>
                </w:tcPr>
                <w:p w14:paraId="61BE12F8">
                  <w:pPr>
                    <w:jc w:val="center"/>
                    <w:rPr>
                      <w:color w:val="auto"/>
                      <w:szCs w:val="21"/>
                    </w:rPr>
                  </w:pPr>
                  <w:r>
                    <w:rPr>
                      <w:rFonts w:hint="eastAsia"/>
                      <w:color w:val="auto"/>
                      <w:szCs w:val="21"/>
                    </w:rPr>
                    <w:t>4402021.130</w:t>
                  </w:r>
                </w:p>
              </w:tc>
              <w:tc>
                <w:tcPr>
                  <w:tcW w:w="1747" w:type="dxa"/>
                  <w:tcBorders>
                    <w:tl2br w:val="nil"/>
                    <w:tr2bl w:val="nil"/>
                  </w:tcBorders>
                  <w:noWrap/>
                  <w:vAlign w:val="center"/>
                </w:tcPr>
                <w:p w14:paraId="7206B518">
                  <w:pPr>
                    <w:jc w:val="center"/>
                    <w:rPr>
                      <w:color w:val="auto"/>
                      <w:szCs w:val="21"/>
                    </w:rPr>
                  </w:pPr>
                  <w:r>
                    <w:rPr>
                      <w:rFonts w:hint="eastAsia"/>
                      <w:color w:val="auto"/>
                      <w:szCs w:val="21"/>
                    </w:rPr>
                    <w:t>37416581.566</w:t>
                  </w:r>
                </w:p>
              </w:tc>
            </w:tr>
            <w:tr w14:paraId="7D3332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D22E069">
                  <w:pPr>
                    <w:jc w:val="center"/>
                    <w:rPr>
                      <w:color w:val="auto"/>
                      <w:szCs w:val="21"/>
                    </w:rPr>
                  </w:pPr>
                  <w:r>
                    <w:rPr>
                      <w:rFonts w:hint="eastAsia"/>
                      <w:color w:val="auto"/>
                      <w:szCs w:val="21"/>
                    </w:rPr>
                    <w:t>17</w:t>
                  </w:r>
                </w:p>
              </w:tc>
              <w:tc>
                <w:tcPr>
                  <w:tcW w:w="1533" w:type="dxa"/>
                  <w:tcBorders>
                    <w:tl2br w:val="nil"/>
                    <w:tr2bl w:val="nil"/>
                  </w:tcBorders>
                  <w:noWrap/>
                  <w:vAlign w:val="center"/>
                </w:tcPr>
                <w:p w14:paraId="7AE75C78">
                  <w:pPr>
                    <w:jc w:val="center"/>
                    <w:rPr>
                      <w:color w:val="auto"/>
                      <w:szCs w:val="21"/>
                    </w:rPr>
                  </w:pPr>
                  <w:r>
                    <w:rPr>
                      <w:rFonts w:hint="eastAsia"/>
                      <w:color w:val="auto"/>
                      <w:szCs w:val="21"/>
                    </w:rPr>
                    <w:t>4402024.916</w:t>
                  </w:r>
                </w:p>
              </w:tc>
              <w:tc>
                <w:tcPr>
                  <w:tcW w:w="1627" w:type="dxa"/>
                  <w:tcBorders>
                    <w:tl2br w:val="nil"/>
                    <w:tr2bl w:val="nil"/>
                  </w:tcBorders>
                  <w:noWrap/>
                  <w:vAlign w:val="center"/>
                </w:tcPr>
                <w:p w14:paraId="567E394F">
                  <w:pPr>
                    <w:jc w:val="center"/>
                    <w:rPr>
                      <w:color w:val="auto"/>
                      <w:szCs w:val="21"/>
                    </w:rPr>
                  </w:pPr>
                  <w:r>
                    <w:rPr>
                      <w:rFonts w:hint="eastAsia"/>
                      <w:color w:val="auto"/>
                      <w:szCs w:val="21"/>
                    </w:rPr>
                    <w:t>37416581.193</w:t>
                  </w:r>
                </w:p>
              </w:tc>
              <w:tc>
                <w:tcPr>
                  <w:tcW w:w="773" w:type="dxa"/>
                  <w:tcBorders>
                    <w:tl2br w:val="nil"/>
                    <w:tr2bl w:val="nil"/>
                  </w:tcBorders>
                  <w:noWrap/>
                  <w:vAlign w:val="center"/>
                </w:tcPr>
                <w:p w14:paraId="7AE3E2FB">
                  <w:pPr>
                    <w:widowControl/>
                    <w:jc w:val="center"/>
                    <w:textAlignment w:val="center"/>
                    <w:rPr>
                      <w:color w:val="auto"/>
                      <w:kern w:val="0"/>
                      <w:szCs w:val="21"/>
                    </w:rPr>
                  </w:pPr>
                  <w:r>
                    <w:rPr>
                      <w:rFonts w:hint="eastAsia"/>
                      <w:color w:val="auto"/>
                      <w:kern w:val="0"/>
                      <w:szCs w:val="21"/>
                    </w:rPr>
                    <w:t>51</w:t>
                  </w:r>
                </w:p>
              </w:tc>
              <w:tc>
                <w:tcPr>
                  <w:tcW w:w="1747" w:type="dxa"/>
                  <w:tcBorders>
                    <w:tl2br w:val="nil"/>
                    <w:tr2bl w:val="nil"/>
                  </w:tcBorders>
                  <w:noWrap/>
                  <w:vAlign w:val="center"/>
                </w:tcPr>
                <w:p w14:paraId="75F9142D">
                  <w:pPr>
                    <w:jc w:val="center"/>
                    <w:rPr>
                      <w:color w:val="auto"/>
                      <w:szCs w:val="21"/>
                    </w:rPr>
                  </w:pPr>
                  <w:r>
                    <w:rPr>
                      <w:rFonts w:hint="eastAsia"/>
                      <w:color w:val="auto"/>
                      <w:szCs w:val="21"/>
                    </w:rPr>
                    <w:t>4402020.976</w:t>
                  </w:r>
                </w:p>
              </w:tc>
              <w:tc>
                <w:tcPr>
                  <w:tcW w:w="1747" w:type="dxa"/>
                  <w:tcBorders>
                    <w:tl2br w:val="nil"/>
                    <w:tr2bl w:val="nil"/>
                  </w:tcBorders>
                  <w:noWrap/>
                  <w:vAlign w:val="center"/>
                </w:tcPr>
                <w:p w14:paraId="06658A65">
                  <w:pPr>
                    <w:jc w:val="center"/>
                    <w:rPr>
                      <w:color w:val="auto"/>
                      <w:szCs w:val="21"/>
                    </w:rPr>
                  </w:pPr>
                  <w:r>
                    <w:rPr>
                      <w:rFonts w:hint="eastAsia"/>
                      <w:color w:val="auto"/>
                      <w:szCs w:val="21"/>
                    </w:rPr>
                    <w:t>37416581.551</w:t>
                  </w:r>
                </w:p>
              </w:tc>
            </w:tr>
            <w:tr w14:paraId="4F32726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319D5E35">
                  <w:pPr>
                    <w:jc w:val="center"/>
                    <w:rPr>
                      <w:color w:val="auto"/>
                      <w:szCs w:val="21"/>
                    </w:rPr>
                  </w:pPr>
                  <w:r>
                    <w:rPr>
                      <w:rFonts w:hint="eastAsia"/>
                      <w:color w:val="auto"/>
                      <w:szCs w:val="21"/>
                    </w:rPr>
                    <w:t>18</w:t>
                  </w:r>
                </w:p>
              </w:tc>
              <w:tc>
                <w:tcPr>
                  <w:tcW w:w="1533" w:type="dxa"/>
                  <w:tcBorders>
                    <w:tl2br w:val="nil"/>
                    <w:tr2bl w:val="nil"/>
                  </w:tcBorders>
                  <w:noWrap/>
                  <w:vAlign w:val="center"/>
                </w:tcPr>
                <w:p w14:paraId="3F012634">
                  <w:pPr>
                    <w:jc w:val="center"/>
                    <w:rPr>
                      <w:color w:val="auto"/>
                      <w:szCs w:val="21"/>
                    </w:rPr>
                  </w:pPr>
                  <w:r>
                    <w:rPr>
                      <w:rFonts w:hint="eastAsia"/>
                      <w:color w:val="auto"/>
                      <w:szCs w:val="21"/>
                    </w:rPr>
                    <w:t>4402024.804</w:t>
                  </w:r>
                </w:p>
              </w:tc>
              <w:tc>
                <w:tcPr>
                  <w:tcW w:w="1627" w:type="dxa"/>
                  <w:tcBorders>
                    <w:tl2br w:val="nil"/>
                    <w:tr2bl w:val="nil"/>
                  </w:tcBorders>
                  <w:noWrap/>
                  <w:vAlign w:val="center"/>
                </w:tcPr>
                <w:p w14:paraId="733E9178">
                  <w:pPr>
                    <w:jc w:val="center"/>
                    <w:rPr>
                      <w:color w:val="auto"/>
                      <w:szCs w:val="21"/>
                    </w:rPr>
                  </w:pPr>
                  <w:r>
                    <w:rPr>
                      <w:rFonts w:hint="eastAsia"/>
                      <w:color w:val="auto"/>
                      <w:szCs w:val="21"/>
                    </w:rPr>
                    <w:t>37416581.225</w:t>
                  </w:r>
                </w:p>
              </w:tc>
              <w:tc>
                <w:tcPr>
                  <w:tcW w:w="773" w:type="dxa"/>
                  <w:tcBorders>
                    <w:tl2br w:val="nil"/>
                    <w:tr2bl w:val="nil"/>
                  </w:tcBorders>
                  <w:noWrap/>
                  <w:vAlign w:val="center"/>
                </w:tcPr>
                <w:p w14:paraId="3690F5D1">
                  <w:pPr>
                    <w:widowControl/>
                    <w:jc w:val="center"/>
                    <w:textAlignment w:val="center"/>
                    <w:rPr>
                      <w:color w:val="auto"/>
                      <w:kern w:val="0"/>
                      <w:szCs w:val="21"/>
                    </w:rPr>
                  </w:pPr>
                  <w:r>
                    <w:rPr>
                      <w:rFonts w:hint="eastAsia"/>
                      <w:color w:val="auto"/>
                      <w:kern w:val="0"/>
                      <w:szCs w:val="21"/>
                    </w:rPr>
                    <w:t>52</w:t>
                  </w:r>
                </w:p>
              </w:tc>
              <w:tc>
                <w:tcPr>
                  <w:tcW w:w="1747" w:type="dxa"/>
                  <w:tcBorders>
                    <w:tl2br w:val="nil"/>
                    <w:tr2bl w:val="nil"/>
                  </w:tcBorders>
                  <w:noWrap/>
                  <w:vAlign w:val="center"/>
                </w:tcPr>
                <w:p w14:paraId="72684408">
                  <w:pPr>
                    <w:jc w:val="center"/>
                    <w:rPr>
                      <w:color w:val="auto"/>
                      <w:szCs w:val="21"/>
                    </w:rPr>
                  </w:pPr>
                  <w:r>
                    <w:rPr>
                      <w:rFonts w:hint="eastAsia"/>
                      <w:color w:val="auto"/>
                      <w:szCs w:val="21"/>
                    </w:rPr>
                    <w:t>4402020.836</w:t>
                  </w:r>
                </w:p>
              </w:tc>
              <w:tc>
                <w:tcPr>
                  <w:tcW w:w="1747" w:type="dxa"/>
                  <w:tcBorders>
                    <w:tl2br w:val="nil"/>
                    <w:tr2bl w:val="nil"/>
                  </w:tcBorders>
                  <w:noWrap/>
                  <w:vAlign w:val="center"/>
                </w:tcPr>
                <w:p w14:paraId="45B0B910">
                  <w:pPr>
                    <w:jc w:val="center"/>
                    <w:rPr>
                      <w:color w:val="auto"/>
                      <w:szCs w:val="21"/>
                    </w:rPr>
                  </w:pPr>
                  <w:r>
                    <w:rPr>
                      <w:rFonts w:hint="eastAsia"/>
                      <w:color w:val="auto"/>
                      <w:szCs w:val="21"/>
                    </w:rPr>
                    <w:t>37416581.534</w:t>
                  </w:r>
                </w:p>
              </w:tc>
            </w:tr>
            <w:tr w14:paraId="3AEAB7A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025D46D0">
                  <w:pPr>
                    <w:jc w:val="center"/>
                    <w:rPr>
                      <w:color w:val="auto"/>
                      <w:szCs w:val="21"/>
                    </w:rPr>
                  </w:pPr>
                  <w:r>
                    <w:rPr>
                      <w:rFonts w:hint="eastAsia"/>
                      <w:color w:val="auto"/>
                      <w:szCs w:val="21"/>
                    </w:rPr>
                    <w:t>19</w:t>
                  </w:r>
                </w:p>
              </w:tc>
              <w:tc>
                <w:tcPr>
                  <w:tcW w:w="1533" w:type="dxa"/>
                  <w:tcBorders>
                    <w:tl2br w:val="nil"/>
                    <w:tr2bl w:val="nil"/>
                  </w:tcBorders>
                  <w:noWrap/>
                  <w:vAlign w:val="center"/>
                </w:tcPr>
                <w:p w14:paraId="6EBDF9A1">
                  <w:pPr>
                    <w:jc w:val="center"/>
                    <w:rPr>
                      <w:color w:val="auto"/>
                      <w:szCs w:val="21"/>
                    </w:rPr>
                  </w:pPr>
                  <w:r>
                    <w:rPr>
                      <w:rFonts w:hint="eastAsia"/>
                      <w:color w:val="auto"/>
                      <w:szCs w:val="21"/>
                    </w:rPr>
                    <w:t>4402024.757</w:t>
                  </w:r>
                </w:p>
              </w:tc>
              <w:tc>
                <w:tcPr>
                  <w:tcW w:w="1627" w:type="dxa"/>
                  <w:tcBorders>
                    <w:tl2br w:val="nil"/>
                    <w:tr2bl w:val="nil"/>
                  </w:tcBorders>
                  <w:noWrap/>
                  <w:vAlign w:val="center"/>
                </w:tcPr>
                <w:p w14:paraId="35CC6BBA">
                  <w:pPr>
                    <w:jc w:val="center"/>
                    <w:rPr>
                      <w:color w:val="auto"/>
                      <w:szCs w:val="21"/>
                    </w:rPr>
                  </w:pPr>
                  <w:r>
                    <w:rPr>
                      <w:rFonts w:hint="eastAsia"/>
                      <w:color w:val="auto"/>
                      <w:szCs w:val="21"/>
                    </w:rPr>
                    <w:t>37416581.239</w:t>
                  </w:r>
                </w:p>
              </w:tc>
              <w:tc>
                <w:tcPr>
                  <w:tcW w:w="773" w:type="dxa"/>
                  <w:tcBorders>
                    <w:tl2br w:val="nil"/>
                    <w:tr2bl w:val="nil"/>
                  </w:tcBorders>
                  <w:noWrap/>
                  <w:vAlign w:val="center"/>
                </w:tcPr>
                <w:p w14:paraId="57C0F641">
                  <w:pPr>
                    <w:widowControl/>
                    <w:jc w:val="center"/>
                    <w:textAlignment w:val="center"/>
                    <w:rPr>
                      <w:color w:val="auto"/>
                      <w:kern w:val="0"/>
                      <w:szCs w:val="21"/>
                    </w:rPr>
                  </w:pPr>
                  <w:r>
                    <w:rPr>
                      <w:rFonts w:hint="eastAsia"/>
                      <w:color w:val="auto"/>
                      <w:kern w:val="0"/>
                      <w:szCs w:val="21"/>
                    </w:rPr>
                    <w:t>53</w:t>
                  </w:r>
                </w:p>
              </w:tc>
              <w:tc>
                <w:tcPr>
                  <w:tcW w:w="1747" w:type="dxa"/>
                  <w:tcBorders>
                    <w:tl2br w:val="nil"/>
                    <w:tr2bl w:val="nil"/>
                  </w:tcBorders>
                  <w:noWrap/>
                  <w:vAlign w:val="center"/>
                </w:tcPr>
                <w:p w14:paraId="4C8B3472">
                  <w:pPr>
                    <w:jc w:val="center"/>
                    <w:rPr>
                      <w:color w:val="auto"/>
                      <w:szCs w:val="21"/>
                    </w:rPr>
                  </w:pPr>
                  <w:r>
                    <w:rPr>
                      <w:rFonts w:hint="eastAsia"/>
                      <w:color w:val="auto"/>
                      <w:szCs w:val="21"/>
                    </w:rPr>
                    <w:t>4402020.697</w:t>
                  </w:r>
                </w:p>
              </w:tc>
              <w:tc>
                <w:tcPr>
                  <w:tcW w:w="1747" w:type="dxa"/>
                  <w:tcBorders>
                    <w:tl2br w:val="nil"/>
                    <w:tr2bl w:val="nil"/>
                  </w:tcBorders>
                  <w:noWrap/>
                  <w:vAlign w:val="center"/>
                </w:tcPr>
                <w:p w14:paraId="2414602F">
                  <w:pPr>
                    <w:jc w:val="center"/>
                    <w:rPr>
                      <w:color w:val="auto"/>
                      <w:szCs w:val="21"/>
                    </w:rPr>
                  </w:pPr>
                  <w:r>
                    <w:rPr>
                      <w:rFonts w:hint="eastAsia"/>
                      <w:color w:val="auto"/>
                      <w:szCs w:val="21"/>
                    </w:rPr>
                    <w:t>37416581.516</w:t>
                  </w:r>
                </w:p>
              </w:tc>
            </w:tr>
            <w:tr w14:paraId="2AABD62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602A271B">
                  <w:pPr>
                    <w:jc w:val="center"/>
                    <w:rPr>
                      <w:color w:val="auto"/>
                      <w:szCs w:val="21"/>
                    </w:rPr>
                  </w:pPr>
                  <w:r>
                    <w:rPr>
                      <w:rFonts w:hint="eastAsia"/>
                      <w:color w:val="auto"/>
                      <w:szCs w:val="21"/>
                    </w:rPr>
                    <w:t>20</w:t>
                  </w:r>
                </w:p>
              </w:tc>
              <w:tc>
                <w:tcPr>
                  <w:tcW w:w="1533" w:type="dxa"/>
                  <w:tcBorders>
                    <w:tl2br w:val="nil"/>
                    <w:tr2bl w:val="nil"/>
                  </w:tcBorders>
                  <w:noWrap/>
                  <w:vAlign w:val="center"/>
                </w:tcPr>
                <w:p w14:paraId="3613A6F6">
                  <w:pPr>
                    <w:jc w:val="center"/>
                    <w:rPr>
                      <w:color w:val="auto"/>
                      <w:szCs w:val="21"/>
                    </w:rPr>
                  </w:pPr>
                  <w:r>
                    <w:rPr>
                      <w:rFonts w:hint="eastAsia"/>
                      <w:color w:val="auto"/>
                      <w:szCs w:val="21"/>
                    </w:rPr>
                    <w:t>4402024.643</w:t>
                  </w:r>
                </w:p>
              </w:tc>
              <w:tc>
                <w:tcPr>
                  <w:tcW w:w="1627" w:type="dxa"/>
                  <w:tcBorders>
                    <w:tl2br w:val="nil"/>
                    <w:tr2bl w:val="nil"/>
                  </w:tcBorders>
                  <w:noWrap/>
                  <w:vAlign w:val="center"/>
                </w:tcPr>
                <w:p w14:paraId="72A4885C">
                  <w:pPr>
                    <w:jc w:val="center"/>
                    <w:rPr>
                      <w:color w:val="auto"/>
                      <w:szCs w:val="21"/>
                    </w:rPr>
                  </w:pPr>
                  <w:r>
                    <w:rPr>
                      <w:rFonts w:hint="eastAsia"/>
                      <w:color w:val="auto"/>
                      <w:szCs w:val="21"/>
                    </w:rPr>
                    <w:t>37416581.270</w:t>
                  </w:r>
                </w:p>
              </w:tc>
              <w:tc>
                <w:tcPr>
                  <w:tcW w:w="773" w:type="dxa"/>
                  <w:tcBorders>
                    <w:tl2br w:val="nil"/>
                    <w:tr2bl w:val="nil"/>
                  </w:tcBorders>
                  <w:noWrap/>
                  <w:vAlign w:val="center"/>
                </w:tcPr>
                <w:p w14:paraId="0802B240">
                  <w:pPr>
                    <w:widowControl/>
                    <w:jc w:val="center"/>
                    <w:textAlignment w:val="center"/>
                    <w:rPr>
                      <w:color w:val="auto"/>
                      <w:kern w:val="0"/>
                      <w:szCs w:val="21"/>
                    </w:rPr>
                  </w:pPr>
                  <w:r>
                    <w:rPr>
                      <w:rFonts w:hint="eastAsia"/>
                      <w:color w:val="auto"/>
                      <w:kern w:val="0"/>
                      <w:szCs w:val="21"/>
                    </w:rPr>
                    <w:t>54</w:t>
                  </w:r>
                </w:p>
              </w:tc>
              <w:tc>
                <w:tcPr>
                  <w:tcW w:w="1747" w:type="dxa"/>
                  <w:tcBorders>
                    <w:tl2br w:val="nil"/>
                    <w:tr2bl w:val="nil"/>
                  </w:tcBorders>
                  <w:noWrap/>
                  <w:vAlign w:val="center"/>
                </w:tcPr>
                <w:p w14:paraId="217C2A00">
                  <w:pPr>
                    <w:jc w:val="center"/>
                    <w:rPr>
                      <w:color w:val="auto"/>
                      <w:szCs w:val="21"/>
                    </w:rPr>
                  </w:pPr>
                  <w:r>
                    <w:rPr>
                      <w:rFonts w:hint="eastAsia"/>
                      <w:color w:val="auto"/>
                      <w:szCs w:val="21"/>
                    </w:rPr>
                    <w:t>4402020.550</w:t>
                  </w:r>
                </w:p>
              </w:tc>
              <w:tc>
                <w:tcPr>
                  <w:tcW w:w="1747" w:type="dxa"/>
                  <w:tcBorders>
                    <w:tl2br w:val="nil"/>
                    <w:tr2bl w:val="nil"/>
                  </w:tcBorders>
                  <w:noWrap/>
                  <w:vAlign w:val="center"/>
                </w:tcPr>
                <w:p w14:paraId="2ACAC1FB">
                  <w:pPr>
                    <w:jc w:val="center"/>
                    <w:rPr>
                      <w:color w:val="auto"/>
                      <w:szCs w:val="21"/>
                    </w:rPr>
                  </w:pPr>
                  <w:r>
                    <w:rPr>
                      <w:rFonts w:hint="eastAsia"/>
                      <w:color w:val="auto"/>
                      <w:szCs w:val="21"/>
                    </w:rPr>
                    <w:t>37416581.495</w:t>
                  </w:r>
                </w:p>
              </w:tc>
            </w:tr>
            <w:tr w14:paraId="5089FD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2734C46C">
                  <w:pPr>
                    <w:jc w:val="center"/>
                    <w:rPr>
                      <w:color w:val="auto"/>
                      <w:szCs w:val="21"/>
                    </w:rPr>
                  </w:pPr>
                  <w:r>
                    <w:rPr>
                      <w:rFonts w:hint="eastAsia"/>
                      <w:color w:val="auto"/>
                      <w:szCs w:val="21"/>
                    </w:rPr>
                    <w:t>21</w:t>
                  </w:r>
                </w:p>
              </w:tc>
              <w:tc>
                <w:tcPr>
                  <w:tcW w:w="1533" w:type="dxa"/>
                  <w:tcBorders>
                    <w:tl2br w:val="nil"/>
                    <w:tr2bl w:val="nil"/>
                  </w:tcBorders>
                  <w:noWrap/>
                  <w:vAlign w:val="center"/>
                </w:tcPr>
                <w:p w14:paraId="2AC4413F">
                  <w:pPr>
                    <w:jc w:val="center"/>
                    <w:rPr>
                      <w:color w:val="auto"/>
                      <w:szCs w:val="21"/>
                    </w:rPr>
                  </w:pPr>
                  <w:r>
                    <w:rPr>
                      <w:rFonts w:hint="eastAsia"/>
                      <w:color w:val="auto"/>
                      <w:szCs w:val="21"/>
                    </w:rPr>
                    <w:t>4402024.549</w:t>
                  </w:r>
                </w:p>
              </w:tc>
              <w:tc>
                <w:tcPr>
                  <w:tcW w:w="1627" w:type="dxa"/>
                  <w:tcBorders>
                    <w:tl2br w:val="nil"/>
                    <w:tr2bl w:val="nil"/>
                  </w:tcBorders>
                  <w:noWrap/>
                  <w:vAlign w:val="center"/>
                </w:tcPr>
                <w:p w14:paraId="1631C6C7">
                  <w:pPr>
                    <w:jc w:val="center"/>
                    <w:rPr>
                      <w:color w:val="auto"/>
                      <w:szCs w:val="21"/>
                    </w:rPr>
                  </w:pPr>
                  <w:r>
                    <w:rPr>
                      <w:rFonts w:hint="eastAsia"/>
                      <w:color w:val="auto"/>
                      <w:szCs w:val="21"/>
                    </w:rPr>
                    <w:t>37416581.295</w:t>
                  </w:r>
                </w:p>
              </w:tc>
              <w:tc>
                <w:tcPr>
                  <w:tcW w:w="773" w:type="dxa"/>
                  <w:tcBorders>
                    <w:tl2br w:val="nil"/>
                    <w:tr2bl w:val="nil"/>
                  </w:tcBorders>
                  <w:noWrap/>
                  <w:vAlign w:val="center"/>
                </w:tcPr>
                <w:p w14:paraId="55EE87BE">
                  <w:pPr>
                    <w:widowControl/>
                    <w:jc w:val="center"/>
                    <w:textAlignment w:val="center"/>
                    <w:rPr>
                      <w:color w:val="auto"/>
                      <w:kern w:val="0"/>
                      <w:szCs w:val="21"/>
                    </w:rPr>
                  </w:pPr>
                  <w:r>
                    <w:rPr>
                      <w:rFonts w:hint="eastAsia"/>
                      <w:color w:val="auto"/>
                      <w:kern w:val="0"/>
                      <w:szCs w:val="21"/>
                    </w:rPr>
                    <w:t>55</w:t>
                  </w:r>
                </w:p>
              </w:tc>
              <w:tc>
                <w:tcPr>
                  <w:tcW w:w="1747" w:type="dxa"/>
                  <w:tcBorders>
                    <w:tl2br w:val="nil"/>
                    <w:tr2bl w:val="nil"/>
                  </w:tcBorders>
                  <w:noWrap/>
                  <w:vAlign w:val="center"/>
                </w:tcPr>
                <w:p w14:paraId="2DC7F25E">
                  <w:pPr>
                    <w:jc w:val="center"/>
                    <w:rPr>
                      <w:color w:val="auto"/>
                      <w:szCs w:val="21"/>
                    </w:rPr>
                  </w:pPr>
                  <w:r>
                    <w:rPr>
                      <w:rFonts w:hint="eastAsia"/>
                      <w:color w:val="auto"/>
                      <w:szCs w:val="21"/>
                    </w:rPr>
                    <w:t>4402020.416</w:t>
                  </w:r>
                </w:p>
              </w:tc>
              <w:tc>
                <w:tcPr>
                  <w:tcW w:w="1747" w:type="dxa"/>
                  <w:tcBorders>
                    <w:tl2br w:val="nil"/>
                    <w:tr2bl w:val="nil"/>
                  </w:tcBorders>
                  <w:noWrap/>
                  <w:vAlign w:val="center"/>
                </w:tcPr>
                <w:p w14:paraId="6BA9E798">
                  <w:pPr>
                    <w:jc w:val="center"/>
                    <w:rPr>
                      <w:color w:val="auto"/>
                      <w:szCs w:val="21"/>
                    </w:rPr>
                  </w:pPr>
                  <w:r>
                    <w:rPr>
                      <w:rFonts w:hint="eastAsia"/>
                      <w:color w:val="auto"/>
                      <w:szCs w:val="21"/>
                    </w:rPr>
                    <w:t>37416581.474</w:t>
                  </w:r>
                </w:p>
              </w:tc>
            </w:tr>
            <w:tr w14:paraId="3CE075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4C57E63C">
                  <w:pPr>
                    <w:jc w:val="center"/>
                    <w:rPr>
                      <w:color w:val="auto"/>
                      <w:szCs w:val="21"/>
                    </w:rPr>
                  </w:pPr>
                  <w:r>
                    <w:rPr>
                      <w:rFonts w:hint="eastAsia"/>
                      <w:color w:val="auto"/>
                      <w:szCs w:val="21"/>
                    </w:rPr>
                    <w:t>22</w:t>
                  </w:r>
                </w:p>
              </w:tc>
              <w:tc>
                <w:tcPr>
                  <w:tcW w:w="1533" w:type="dxa"/>
                  <w:tcBorders>
                    <w:tl2br w:val="nil"/>
                    <w:tr2bl w:val="nil"/>
                  </w:tcBorders>
                  <w:noWrap/>
                  <w:vAlign w:val="center"/>
                </w:tcPr>
                <w:p w14:paraId="546C939D">
                  <w:pPr>
                    <w:jc w:val="center"/>
                    <w:rPr>
                      <w:color w:val="auto"/>
                      <w:szCs w:val="21"/>
                    </w:rPr>
                  </w:pPr>
                  <w:r>
                    <w:rPr>
                      <w:rFonts w:hint="eastAsia"/>
                      <w:color w:val="auto"/>
                      <w:szCs w:val="21"/>
                    </w:rPr>
                    <w:t>4402024.435</w:t>
                  </w:r>
                </w:p>
              </w:tc>
              <w:tc>
                <w:tcPr>
                  <w:tcW w:w="1627" w:type="dxa"/>
                  <w:tcBorders>
                    <w:tl2br w:val="nil"/>
                    <w:tr2bl w:val="nil"/>
                  </w:tcBorders>
                  <w:noWrap/>
                  <w:vAlign w:val="center"/>
                </w:tcPr>
                <w:p w14:paraId="72FA4F6B">
                  <w:pPr>
                    <w:jc w:val="center"/>
                    <w:rPr>
                      <w:color w:val="auto"/>
                      <w:szCs w:val="21"/>
                    </w:rPr>
                  </w:pPr>
                  <w:r>
                    <w:rPr>
                      <w:rFonts w:hint="eastAsia"/>
                      <w:color w:val="auto"/>
                      <w:szCs w:val="21"/>
                    </w:rPr>
                    <w:t>37416581.323</w:t>
                  </w:r>
                </w:p>
              </w:tc>
              <w:tc>
                <w:tcPr>
                  <w:tcW w:w="773" w:type="dxa"/>
                  <w:tcBorders>
                    <w:tl2br w:val="nil"/>
                    <w:tr2bl w:val="nil"/>
                  </w:tcBorders>
                  <w:noWrap/>
                  <w:vAlign w:val="center"/>
                </w:tcPr>
                <w:p w14:paraId="1A0ABCAB">
                  <w:pPr>
                    <w:widowControl/>
                    <w:jc w:val="center"/>
                    <w:textAlignment w:val="center"/>
                    <w:rPr>
                      <w:color w:val="auto"/>
                      <w:kern w:val="0"/>
                      <w:szCs w:val="21"/>
                    </w:rPr>
                  </w:pPr>
                  <w:r>
                    <w:rPr>
                      <w:rFonts w:hint="eastAsia"/>
                      <w:color w:val="auto"/>
                      <w:kern w:val="0"/>
                      <w:szCs w:val="21"/>
                    </w:rPr>
                    <w:t>56</w:t>
                  </w:r>
                </w:p>
              </w:tc>
              <w:tc>
                <w:tcPr>
                  <w:tcW w:w="1747" w:type="dxa"/>
                  <w:tcBorders>
                    <w:tl2br w:val="nil"/>
                    <w:tr2bl w:val="nil"/>
                  </w:tcBorders>
                  <w:noWrap/>
                  <w:vAlign w:val="center"/>
                </w:tcPr>
                <w:p w14:paraId="5C5E382F">
                  <w:pPr>
                    <w:jc w:val="center"/>
                    <w:rPr>
                      <w:color w:val="auto"/>
                      <w:szCs w:val="21"/>
                    </w:rPr>
                  </w:pPr>
                  <w:r>
                    <w:rPr>
                      <w:rFonts w:hint="eastAsia"/>
                      <w:color w:val="auto"/>
                      <w:szCs w:val="21"/>
                    </w:rPr>
                    <w:t>4402020.312</w:t>
                  </w:r>
                </w:p>
              </w:tc>
              <w:tc>
                <w:tcPr>
                  <w:tcW w:w="1747" w:type="dxa"/>
                  <w:tcBorders>
                    <w:tl2br w:val="nil"/>
                    <w:tr2bl w:val="nil"/>
                  </w:tcBorders>
                  <w:noWrap/>
                  <w:vAlign w:val="center"/>
                </w:tcPr>
                <w:p w14:paraId="439EAC10">
                  <w:pPr>
                    <w:jc w:val="center"/>
                    <w:rPr>
                      <w:color w:val="auto"/>
                      <w:szCs w:val="21"/>
                    </w:rPr>
                  </w:pPr>
                  <w:r>
                    <w:rPr>
                      <w:rFonts w:hint="eastAsia"/>
                      <w:color w:val="auto"/>
                      <w:szCs w:val="21"/>
                    </w:rPr>
                    <w:t>37416581.456</w:t>
                  </w:r>
                </w:p>
              </w:tc>
            </w:tr>
            <w:tr w14:paraId="184315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4CBFA4F">
                  <w:pPr>
                    <w:jc w:val="center"/>
                    <w:rPr>
                      <w:color w:val="auto"/>
                      <w:szCs w:val="21"/>
                    </w:rPr>
                  </w:pPr>
                  <w:r>
                    <w:rPr>
                      <w:rFonts w:hint="eastAsia"/>
                      <w:color w:val="auto"/>
                      <w:szCs w:val="21"/>
                    </w:rPr>
                    <w:t>23</w:t>
                  </w:r>
                </w:p>
              </w:tc>
              <w:tc>
                <w:tcPr>
                  <w:tcW w:w="1533" w:type="dxa"/>
                  <w:tcBorders>
                    <w:tl2br w:val="nil"/>
                    <w:tr2bl w:val="nil"/>
                  </w:tcBorders>
                  <w:noWrap/>
                  <w:vAlign w:val="center"/>
                </w:tcPr>
                <w:p w14:paraId="2E535147">
                  <w:pPr>
                    <w:jc w:val="center"/>
                    <w:rPr>
                      <w:color w:val="auto"/>
                      <w:szCs w:val="21"/>
                    </w:rPr>
                  </w:pPr>
                  <w:r>
                    <w:rPr>
                      <w:rFonts w:hint="eastAsia"/>
                      <w:color w:val="auto"/>
                      <w:szCs w:val="21"/>
                    </w:rPr>
                    <w:t>4402024.287</w:t>
                  </w:r>
                </w:p>
              </w:tc>
              <w:tc>
                <w:tcPr>
                  <w:tcW w:w="1627" w:type="dxa"/>
                  <w:tcBorders>
                    <w:tl2br w:val="nil"/>
                    <w:tr2bl w:val="nil"/>
                  </w:tcBorders>
                  <w:noWrap/>
                  <w:vAlign w:val="center"/>
                </w:tcPr>
                <w:p w14:paraId="10B03B92">
                  <w:pPr>
                    <w:jc w:val="center"/>
                    <w:rPr>
                      <w:color w:val="auto"/>
                      <w:szCs w:val="21"/>
                    </w:rPr>
                  </w:pPr>
                  <w:r>
                    <w:rPr>
                      <w:rFonts w:hint="eastAsia"/>
                      <w:color w:val="auto"/>
                      <w:szCs w:val="21"/>
                    </w:rPr>
                    <w:t>37416581.358</w:t>
                  </w:r>
                </w:p>
              </w:tc>
              <w:tc>
                <w:tcPr>
                  <w:tcW w:w="773" w:type="dxa"/>
                  <w:tcBorders>
                    <w:tl2br w:val="nil"/>
                    <w:tr2bl w:val="nil"/>
                  </w:tcBorders>
                  <w:noWrap/>
                  <w:vAlign w:val="center"/>
                </w:tcPr>
                <w:p w14:paraId="0712FC9D">
                  <w:pPr>
                    <w:widowControl/>
                    <w:jc w:val="center"/>
                    <w:textAlignment w:val="center"/>
                    <w:rPr>
                      <w:color w:val="auto"/>
                      <w:kern w:val="0"/>
                      <w:szCs w:val="21"/>
                    </w:rPr>
                  </w:pPr>
                  <w:r>
                    <w:rPr>
                      <w:rFonts w:hint="eastAsia"/>
                      <w:color w:val="auto"/>
                      <w:kern w:val="0"/>
                      <w:szCs w:val="21"/>
                    </w:rPr>
                    <w:t>57</w:t>
                  </w:r>
                </w:p>
              </w:tc>
              <w:tc>
                <w:tcPr>
                  <w:tcW w:w="1747" w:type="dxa"/>
                  <w:tcBorders>
                    <w:tl2br w:val="nil"/>
                    <w:tr2bl w:val="nil"/>
                  </w:tcBorders>
                  <w:noWrap/>
                  <w:vAlign w:val="center"/>
                </w:tcPr>
                <w:p w14:paraId="0367E971">
                  <w:pPr>
                    <w:jc w:val="center"/>
                    <w:rPr>
                      <w:color w:val="auto"/>
                      <w:szCs w:val="21"/>
                    </w:rPr>
                  </w:pPr>
                  <w:r>
                    <w:rPr>
                      <w:rFonts w:hint="eastAsia"/>
                      <w:color w:val="auto"/>
                      <w:szCs w:val="21"/>
                    </w:rPr>
                    <w:t>4402020.158</w:t>
                  </w:r>
                </w:p>
              </w:tc>
              <w:tc>
                <w:tcPr>
                  <w:tcW w:w="1747" w:type="dxa"/>
                  <w:tcBorders>
                    <w:tl2br w:val="nil"/>
                    <w:tr2bl w:val="nil"/>
                  </w:tcBorders>
                  <w:noWrap/>
                  <w:vAlign w:val="center"/>
                </w:tcPr>
                <w:p w14:paraId="252F8000">
                  <w:pPr>
                    <w:jc w:val="center"/>
                    <w:rPr>
                      <w:color w:val="auto"/>
                      <w:szCs w:val="21"/>
                    </w:rPr>
                  </w:pPr>
                  <w:r>
                    <w:rPr>
                      <w:rFonts w:hint="eastAsia"/>
                      <w:color w:val="auto"/>
                      <w:szCs w:val="21"/>
                    </w:rPr>
                    <w:t>37416581.427</w:t>
                  </w:r>
                </w:p>
              </w:tc>
            </w:tr>
            <w:tr w14:paraId="0C11BD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7FFF13A4">
                  <w:pPr>
                    <w:jc w:val="center"/>
                    <w:rPr>
                      <w:color w:val="auto"/>
                      <w:szCs w:val="21"/>
                    </w:rPr>
                  </w:pPr>
                  <w:r>
                    <w:rPr>
                      <w:rFonts w:hint="eastAsia"/>
                      <w:color w:val="auto"/>
                      <w:szCs w:val="21"/>
                    </w:rPr>
                    <w:t>24</w:t>
                  </w:r>
                </w:p>
              </w:tc>
              <w:tc>
                <w:tcPr>
                  <w:tcW w:w="1533" w:type="dxa"/>
                  <w:tcBorders>
                    <w:tl2br w:val="nil"/>
                    <w:tr2bl w:val="nil"/>
                  </w:tcBorders>
                  <w:noWrap/>
                  <w:vAlign w:val="center"/>
                </w:tcPr>
                <w:p w14:paraId="75CDABDF">
                  <w:pPr>
                    <w:jc w:val="center"/>
                    <w:rPr>
                      <w:color w:val="auto"/>
                      <w:szCs w:val="21"/>
                    </w:rPr>
                  </w:pPr>
                  <w:r>
                    <w:rPr>
                      <w:rFonts w:hint="eastAsia"/>
                      <w:color w:val="auto"/>
                      <w:szCs w:val="21"/>
                    </w:rPr>
                    <w:t>4402024.152</w:t>
                  </w:r>
                </w:p>
              </w:tc>
              <w:tc>
                <w:tcPr>
                  <w:tcW w:w="1627" w:type="dxa"/>
                  <w:tcBorders>
                    <w:tl2br w:val="nil"/>
                    <w:tr2bl w:val="nil"/>
                  </w:tcBorders>
                  <w:noWrap/>
                  <w:vAlign w:val="center"/>
                </w:tcPr>
                <w:p w14:paraId="1F2B31BF">
                  <w:pPr>
                    <w:jc w:val="center"/>
                    <w:rPr>
                      <w:color w:val="auto"/>
                      <w:szCs w:val="21"/>
                    </w:rPr>
                  </w:pPr>
                  <w:r>
                    <w:rPr>
                      <w:rFonts w:hint="eastAsia"/>
                      <w:color w:val="auto"/>
                      <w:szCs w:val="21"/>
                    </w:rPr>
                    <w:t>37416581.388</w:t>
                  </w:r>
                </w:p>
              </w:tc>
              <w:tc>
                <w:tcPr>
                  <w:tcW w:w="773" w:type="dxa"/>
                  <w:tcBorders>
                    <w:tl2br w:val="nil"/>
                    <w:tr2bl w:val="nil"/>
                  </w:tcBorders>
                  <w:noWrap/>
                  <w:vAlign w:val="center"/>
                </w:tcPr>
                <w:p w14:paraId="16FB6590">
                  <w:pPr>
                    <w:widowControl/>
                    <w:jc w:val="center"/>
                    <w:textAlignment w:val="center"/>
                    <w:rPr>
                      <w:color w:val="auto"/>
                      <w:kern w:val="0"/>
                      <w:szCs w:val="21"/>
                    </w:rPr>
                  </w:pPr>
                  <w:r>
                    <w:rPr>
                      <w:rFonts w:hint="eastAsia"/>
                      <w:color w:val="auto"/>
                      <w:kern w:val="0"/>
                      <w:szCs w:val="21"/>
                    </w:rPr>
                    <w:t>58</w:t>
                  </w:r>
                </w:p>
              </w:tc>
              <w:tc>
                <w:tcPr>
                  <w:tcW w:w="1747" w:type="dxa"/>
                  <w:tcBorders>
                    <w:tl2br w:val="nil"/>
                    <w:tr2bl w:val="nil"/>
                  </w:tcBorders>
                  <w:noWrap/>
                  <w:vAlign w:val="center"/>
                </w:tcPr>
                <w:p w14:paraId="75056A49">
                  <w:pPr>
                    <w:jc w:val="center"/>
                    <w:rPr>
                      <w:color w:val="auto"/>
                      <w:szCs w:val="21"/>
                    </w:rPr>
                  </w:pPr>
                  <w:r>
                    <w:rPr>
                      <w:rFonts w:hint="eastAsia"/>
                      <w:color w:val="auto"/>
                      <w:szCs w:val="21"/>
                    </w:rPr>
                    <w:t>4402019.911</w:t>
                  </w:r>
                </w:p>
              </w:tc>
              <w:tc>
                <w:tcPr>
                  <w:tcW w:w="1747" w:type="dxa"/>
                  <w:tcBorders>
                    <w:tl2br w:val="nil"/>
                    <w:tr2bl w:val="nil"/>
                  </w:tcBorders>
                  <w:noWrap/>
                  <w:vAlign w:val="center"/>
                </w:tcPr>
                <w:p w14:paraId="46C944B9">
                  <w:pPr>
                    <w:jc w:val="center"/>
                    <w:rPr>
                      <w:color w:val="auto"/>
                      <w:szCs w:val="21"/>
                    </w:rPr>
                  </w:pPr>
                  <w:r>
                    <w:rPr>
                      <w:rFonts w:hint="eastAsia"/>
                      <w:color w:val="auto"/>
                      <w:szCs w:val="21"/>
                    </w:rPr>
                    <w:t>37416581.376</w:t>
                  </w:r>
                </w:p>
              </w:tc>
            </w:tr>
            <w:tr w14:paraId="3359EB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88BC000">
                  <w:pPr>
                    <w:jc w:val="center"/>
                    <w:rPr>
                      <w:color w:val="auto"/>
                      <w:szCs w:val="21"/>
                    </w:rPr>
                  </w:pPr>
                  <w:r>
                    <w:rPr>
                      <w:rFonts w:hint="eastAsia"/>
                      <w:color w:val="auto"/>
                      <w:szCs w:val="21"/>
                    </w:rPr>
                    <w:t>25</w:t>
                  </w:r>
                </w:p>
              </w:tc>
              <w:tc>
                <w:tcPr>
                  <w:tcW w:w="1533" w:type="dxa"/>
                  <w:tcBorders>
                    <w:tl2br w:val="nil"/>
                    <w:tr2bl w:val="nil"/>
                  </w:tcBorders>
                  <w:noWrap/>
                  <w:vAlign w:val="center"/>
                </w:tcPr>
                <w:p w14:paraId="2B49383C">
                  <w:pPr>
                    <w:jc w:val="center"/>
                    <w:rPr>
                      <w:color w:val="auto"/>
                      <w:szCs w:val="21"/>
                    </w:rPr>
                  </w:pPr>
                  <w:r>
                    <w:rPr>
                      <w:rFonts w:hint="eastAsia"/>
                      <w:color w:val="auto"/>
                      <w:szCs w:val="21"/>
                    </w:rPr>
                    <w:t>4402024.138</w:t>
                  </w:r>
                </w:p>
              </w:tc>
              <w:tc>
                <w:tcPr>
                  <w:tcW w:w="1627" w:type="dxa"/>
                  <w:tcBorders>
                    <w:tl2br w:val="nil"/>
                    <w:tr2bl w:val="nil"/>
                  </w:tcBorders>
                  <w:noWrap/>
                  <w:vAlign w:val="center"/>
                </w:tcPr>
                <w:p w14:paraId="120587E0">
                  <w:pPr>
                    <w:jc w:val="center"/>
                    <w:rPr>
                      <w:color w:val="auto"/>
                      <w:szCs w:val="21"/>
                    </w:rPr>
                  </w:pPr>
                  <w:r>
                    <w:rPr>
                      <w:rFonts w:hint="eastAsia"/>
                      <w:color w:val="auto"/>
                      <w:szCs w:val="21"/>
                    </w:rPr>
                    <w:t>37416581.391</w:t>
                  </w:r>
                </w:p>
              </w:tc>
              <w:tc>
                <w:tcPr>
                  <w:tcW w:w="773" w:type="dxa"/>
                  <w:tcBorders>
                    <w:tl2br w:val="nil"/>
                    <w:tr2bl w:val="nil"/>
                  </w:tcBorders>
                  <w:noWrap/>
                  <w:vAlign w:val="center"/>
                </w:tcPr>
                <w:p w14:paraId="1295DEE6">
                  <w:pPr>
                    <w:widowControl/>
                    <w:jc w:val="center"/>
                    <w:textAlignment w:val="center"/>
                    <w:rPr>
                      <w:color w:val="auto"/>
                      <w:kern w:val="0"/>
                      <w:szCs w:val="21"/>
                    </w:rPr>
                  </w:pPr>
                  <w:r>
                    <w:rPr>
                      <w:rFonts w:hint="eastAsia"/>
                      <w:color w:val="auto"/>
                      <w:kern w:val="0"/>
                      <w:szCs w:val="21"/>
                    </w:rPr>
                    <w:t>59</w:t>
                  </w:r>
                </w:p>
              </w:tc>
              <w:tc>
                <w:tcPr>
                  <w:tcW w:w="1747" w:type="dxa"/>
                  <w:tcBorders>
                    <w:tl2br w:val="nil"/>
                    <w:tr2bl w:val="nil"/>
                  </w:tcBorders>
                  <w:noWrap/>
                  <w:vAlign w:val="center"/>
                </w:tcPr>
                <w:p w14:paraId="5F185958">
                  <w:pPr>
                    <w:jc w:val="center"/>
                    <w:rPr>
                      <w:color w:val="auto"/>
                      <w:szCs w:val="21"/>
                    </w:rPr>
                  </w:pPr>
                  <w:r>
                    <w:rPr>
                      <w:rFonts w:hint="eastAsia"/>
                      <w:color w:val="auto"/>
                      <w:szCs w:val="21"/>
                    </w:rPr>
                    <w:t>4402019.764</w:t>
                  </w:r>
                </w:p>
              </w:tc>
              <w:tc>
                <w:tcPr>
                  <w:tcW w:w="1747" w:type="dxa"/>
                  <w:tcBorders>
                    <w:tl2br w:val="nil"/>
                    <w:tr2bl w:val="nil"/>
                  </w:tcBorders>
                  <w:noWrap/>
                  <w:vAlign w:val="center"/>
                </w:tcPr>
                <w:p w14:paraId="68FD8E36">
                  <w:pPr>
                    <w:jc w:val="center"/>
                    <w:rPr>
                      <w:color w:val="auto"/>
                      <w:szCs w:val="21"/>
                    </w:rPr>
                  </w:pPr>
                  <w:r>
                    <w:rPr>
                      <w:rFonts w:hint="eastAsia"/>
                      <w:color w:val="auto"/>
                      <w:szCs w:val="21"/>
                    </w:rPr>
                    <w:t>37416581.343</w:t>
                  </w:r>
                </w:p>
              </w:tc>
            </w:tr>
            <w:tr w14:paraId="55B6E4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358A0EEB">
                  <w:pPr>
                    <w:jc w:val="center"/>
                    <w:rPr>
                      <w:color w:val="auto"/>
                      <w:szCs w:val="21"/>
                    </w:rPr>
                  </w:pPr>
                  <w:r>
                    <w:rPr>
                      <w:rFonts w:hint="eastAsia"/>
                      <w:color w:val="auto"/>
                      <w:szCs w:val="21"/>
                    </w:rPr>
                    <w:t>26</w:t>
                  </w:r>
                </w:p>
              </w:tc>
              <w:tc>
                <w:tcPr>
                  <w:tcW w:w="1533" w:type="dxa"/>
                  <w:tcBorders>
                    <w:tl2br w:val="nil"/>
                    <w:tr2bl w:val="nil"/>
                  </w:tcBorders>
                  <w:noWrap/>
                  <w:vAlign w:val="center"/>
                </w:tcPr>
                <w:p w14:paraId="442C5A27">
                  <w:pPr>
                    <w:jc w:val="center"/>
                    <w:rPr>
                      <w:color w:val="auto"/>
                      <w:szCs w:val="21"/>
                    </w:rPr>
                  </w:pPr>
                  <w:r>
                    <w:rPr>
                      <w:rFonts w:hint="eastAsia"/>
                      <w:color w:val="auto"/>
                      <w:szCs w:val="21"/>
                    </w:rPr>
                    <w:t>4402024.137</w:t>
                  </w:r>
                </w:p>
              </w:tc>
              <w:tc>
                <w:tcPr>
                  <w:tcW w:w="1627" w:type="dxa"/>
                  <w:tcBorders>
                    <w:tl2br w:val="nil"/>
                    <w:tr2bl w:val="nil"/>
                  </w:tcBorders>
                  <w:noWrap/>
                  <w:vAlign w:val="center"/>
                </w:tcPr>
                <w:p w14:paraId="4FFC34A1">
                  <w:pPr>
                    <w:jc w:val="center"/>
                    <w:rPr>
                      <w:color w:val="auto"/>
                      <w:szCs w:val="21"/>
                    </w:rPr>
                  </w:pPr>
                  <w:r>
                    <w:rPr>
                      <w:rFonts w:hint="eastAsia"/>
                      <w:color w:val="auto"/>
                      <w:szCs w:val="21"/>
                    </w:rPr>
                    <w:t>37416581.391</w:t>
                  </w:r>
                </w:p>
              </w:tc>
              <w:tc>
                <w:tcPr>
                  <w:tcW w:w="773" w:type="dxa"/>
                  <w:tcBorders>
                    <w:tl2br w:val="nil"/>
                    <w:tr2bl w:val="nil"/>
                  </w:tcBorders>
                  <w:noWrap/>
                  <w:vAlign w:val="center"/>
                </w:tcPr>
                <w:p w14:paraId="03F2F767">
                  <w:pPr>
                    <w:widowControl/>
                    <w:jc w:val="center"/>
                    <w:textAlignment w:val="center"/>
                    <w:rPr>
                      <w:color w:val="auto"/>
                      <w:kern w:val="0"/>
                      <w:szCs w:val="21"/>
                    </w:rPr>
                  </w:pPr>
                  <w:r>
                    <w:rPr>
                      <w:rFonts w:hint="eastAsia"/>
                      <w:color w:val="auto"/>
                      <w:kern w:val="0"/>
                      <w:szCs w:val="21"/>
                    </w:rPr>
                    <w:t>60</w:t>
                  </w:r>
                </w:p>
              </w:tc>
              <w:tc>
                <w:tcPr>
                  <w:tcW w:w="1747" w:type="dxa"/>
                  <w:tcBorders>
                    <w:tl2br w:val="nil"/>
                    <w:tr2bl w:val="nil"/>
                  </w:tcBorders>
                  <w:noWrap/>
                  <w:vAlign w:val="center"/>
                </w:tcPr>
                <w:p w14:paraId="54CFBD26">
                  <w:pPr>
                    <w:jc w:val="center"/>
                    <w:rPr>
                      <w:color w:val="auto"/>
                      <w:szCs w:val="21"/>
                    </w:rPr>
                  </w:pPr>
                  <w:r>
                    <w:rPr>
                      <w:rFonts w:hint="eastAsia"/>
                      <w:color w:val="auto"/>
                      <w:szCs w:val="21"/>
                    </w:rPr>
                    <w:t>4402019.410</w:t>
                  </w:r>
                </w:p>
              </w:tc>
              <w:tc>
                <w:tcPr>
                  <w:tcW w:w="1747" w:type="dxa"/>
                  <w:tcBorders>
                    <w:tl2br w:val="nil"/>
                    <w:tr2bl w:val="nil"/>
                  </w:tcBorders>
                  <w:noWrap/>
                  <w:vAlign w:val="center"/>
                </w:tcPr>
                <w:p w14:paraId="5C36135E">
                  <w:pPr>
                    <w:jc w:val="center"/>
                    <w:rPr>
                      <w:color w:val="auto"/>
                      <w:szCs w:val="21"/>
                    </w:rPr>
                  </w:pPr>
                  <w:r>
                    <w:rPr>
                      <w:rFonts w:hint="eastAsia"/>
                      <w:color w:val="auto"/>
                      <w:szCs w:val="21"/>
                    </w:rPr>
                    <w:t>37416581.252</w:t>
                  </w:r>
                </w:p>
              </w:tc>
            </w:tr>
            <w:tr w14:paraId="31F91D4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0BE25063">
                  <w:pPr>
                    <w:jc w:val="center"/>
                    <w:rPr>
                      <w:color w:val="auto"/>
                      <w:szCs w:val="21"/>
                    </w:rPr>
                  </w:pPr>
                  <w:r>
                    <w:rPr>
                      <w:rFonts w:hint="eastAsia"/>
                      <w:color w:val="auto"/>
                      <w:szCs w:val="21"/>
                    </w:rPr>
                    <w:t>27</w:t>
                  </w:r>
                </w:p>
              </w:tc>
              <w:tc>
                <w:tcPr>
                  <w:tcW w:w="1533" w:type="dxa"/>
                  <w:tcBorders>
                    <w:tl2br w:val="nil"/>
                    <w:tr2bl w:val="nil"/>
                  </w:tcBorders>
                  <w:noWrap/>
                  <w:vAlign w:val="center"/>
                </w:tcPr>
                <w:p w14:paraId="12B55ADC">
                  <w:pPr>
                    <w:jc w:val="center"/>
                    <w:rPr>
                      <w:color w:val="auto"/>
                      <w:szCs w:val="21"/>
                    </w:rPr>
                  </w:pPr>
                  <w:r>
                    <w:rPr>
                      <w:rFonts w:hint="eastAsia"/>
                      <w:color w:val="auto"/>
                      <w:szCs w:val="21"/>
                    </w:rPr>
                    <w:t>4402024.100</w:t>
                  </w:r>
                </w:p>
              </w:tc>
              <w:tc>
                <w:tcPr>
                  <w:tcW w:w="1627" w:type="dxa"/>
                  <w:tcBorders>
                    <w:tl2br w:val="nil"/>
                    <w:tr2bl w:val="nil"/>
                  </w:tcBorders>
                  <w:noWrap/>
                  <w:vAlign w:val="center"/>
                </w:tcPr>
                <w:p w14:paraId="0BF5A5F5">
                  <w:pPr>
                    <w:jc w:val="center"/>
                    <w:rPr>
                      <w:color w:val="auto"/>
                      <w:szCs w:val="21"/>
                    </w:rPr>
                  </w:pPr>
                  <w:r>
                    <w:rPr>
                      <w:rFonts w:hint="eastAsia"/>
                      <w:color w:val="auto"/>
                      <w:szCs w:val="21"/>
                    </w:rPr>
                    <w:t>37416581.399</w:t>
                  </w:r>
                </w:p>
              </w:tc>
              <w:tc>
                <w:tcPr>
                  <w:tcW w:w="773" w:type="dxa"/>
                  <w:tcBorders>
                    <w:tl2br w:val="nil"/>
                    <w:tr2bl w:val="nil"/>
                  </w:tcBorders>
                  <w:noWrap/>
                  <w:vAlign w:val="center"/>
                </w:tcPr>
                <w:p w14:paraId="70683148">
                  <w:pPr>
                    <w:widowControl/>
                    <w:jc w:val="center"/>
                    <w:textAlignment w:val="center"/>
                    <w:rPr>
                      <w:color w:val="auto"/>
                      <w:kern w:val="0"/>
                      <w:szCs w:val="21"/>
                    </w:rPr>
                  </w:pPr>
                  <w:r>
                    <w:rPr>
                      <w:rFonts w:hint="eastAsia"/>
                      <w:color w:val="auto"/>
                      <w:kern w:val="0"/>
                      <w:szCs w:val="21"/>
                    </w:rPr>
                    <w:t>61</w:t>
                  </w:r>
                </w:p>
              </w:tc>
              <w:tc>
                <w:tcPr>
                  <w:tcW w:w="1747" w:type="dxa"/>
                  <w:tcBorders>
                    <w:tl2br w:val="nil"/>
                    <w:tr2bl w:val="nil"/>
                  </w:tcBorders>
                  <w:noWrap/>
                  <w:vAlign w:val="center"/>
                </w:tcPr>
                <w:p w14:paraId="6F98DB6E">
                  <w:pPr>
                    <w:jc w:val="center"/>
                    <w:rPr>
                      <w:color w:val="auto"/>
                      <w:szCs w:val="21"/>
                    </w:rPr>
                  </w:pPr>
                  <w:r>
                    <w:rPr>
                      <w:rFonts w:hint="eastAsia"/>
                      <w:color w:val="auto"/>
                      <w:szCs w:val="21"/>
                    </w:rPr>
                    <w:t>4402018.952</w:t>
                  </w:r>
                </w:p>
              </w:tc>
              <w:tc>
                <w:tcPr>
                  <w:tcW w:w="1747" w:type="dxa"/>
                  <w:tcBorders>
                    <w:tl2br w:val="nil"/>
                    <w:tr2bl w:val="nil"/>
                  </w:tcBorders>
                  <w:noWrap/>
                  <w:vAlign w:val="center"/>
                </w:tcPr>
                <w:p w14:paraId="29DBA8B2">
                  <w:pPr>
                    <w:jc w:val="center"/>
                    <w:rPr>
                      <w:color w:val="auto"/>
                      <w:szCs w:val="21"/>
                    </w:rPr>
                  </w:pPr>
                  <w:r>
                    <w:rPr>
                      <w:rFonts w:hint="eastAsia"/>
                      <w:color w:val="auto"/>
                      <w:szCs w:val="21"/>
                    </w:rPr>
                    <w:t>37416581.115</w:t>
                  </w:r>
                </w:p>
              </w:tc>
            </w:tr>
            <w:tr w14:paraId="2AFA0EE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1E742416">
                  <w:pPr>
                    <w:jc w:val="center"/>
                    <w:rPr>
                      <w:color w:val="auto"/>
                      <w:szCs w:val="21"/>
                    </w:rPr>
                  </w:pPr>
                  <w:r>
                    <w:rPr>
                      <w:rFonts w:hint="eastAsia"/>
                      <w:color w:val="auto"/>
                      <w:szCs w:val="21"/>
                    </w:rPr>
                    <w:t>28</w:t>
                  </w:r>
                </w:p>
              </w:tc>
              <w:tc>
                <w:tcPr>
                  <w:tcW w:w="1533" w:type="dxa"/>
                  <w:tcBorders>
                    <w:tl2br w:val="nil"/>
                    <w:tr2bl w:val="nil"/>
                  </w:tcBorders>
                  <w:noWrap/>
                  <w:vAlign w:val="center"/>
                </w:tcPr>
                <w:p w14:paraId="65739A66">
                  <w:pPr>
                    <w:jc w:val="center"/>
                    <w:rPr>
                      <w:color w:val="auto"/>
                      <w:szCs w:val="21"/>
                    </w:rPr>
                  </w:pPr>
                  <w:r>
                    <w:rPr>
                      <w:rFonts w:hint="eastAsia"/>
                      <w:color w:val="auto"/>
                      <w:szCs w:val="21"/>
                    </w:rPr>
                    <w:t>4402024.019</w:t>
                  </w:r>
                </w:p>
              </w:tc>
              <w:tc>
                <w:tcPr>
                  <w:tcW w:w="1627" w:type="dxa"/>
                  <w:tcBorders>
                    <w:tl2br w:val="nil"/>
                    <w:tr2bl w:val="nil"/>
                  </w:tcBorders>
                  <w:noWrap/>
                  <w:vAlign w:val="center"/>
                </w:tcPr>
                <w:p w14:paraId="2F99AD87">
                  <w:pPr>
                    <w:jc w:val="center"/>
                    <w:rPr>
                      <w:color w:val="auto"/>
                      <w:szCs w:val="21"/>
                    </w:rPr>
                  </w:pPr>
                  <w:r>
                    <w:rPr>
                      <w:rFonts w:hint="eastAsia"/>
                      <w:color w:val="auto"/>
                      <w:szCs w:val="21"/>
                    </w:rPr>
                    <w:t>37416581.415</w:t>
                  </w:r>
                </w:p>
              </w:tc>
              <w:tc>
                <w:tcPr>
                  <w:tcW w:w="773" w:type="dxa"/>
                  <w:tcBorders>
                    <w:tl2br w:val="nil"/>
                    <w:tr2bl w:val="nil"/>
                  </w:tcBorders>
                  <w:noWrap/>
                  <w:vAlign w:val="center"/>
                </w:tcPr>
                <w:p w14:paraId="349D5211">
                  <w:pPr>
                    <w:widowControl/>
                    <w:jc w:val="center"/>
                    <w:textAlignment w:val="center"/>
                    <w:rPr>
                      <w:color w:val="auto"/>
                      <w:kern w:val="0"/>
                      <w:szCs w:val="21"/>
                    </w:rPr>
                  </w:pPr>
                  <w:r>
                    <w:rPr>
                      <w:rFonts w:hint="eastAsia"/>
                      <w:color w:val="auto"/>
                      <w:kern w:val="0"/>
                      <w:szCs w:val="21"/>
                    </w:rPr>
                    <w:t>62</w:t>
                  </w:r>
                </w:p>
              </w:tc>
              <w:tc>
                <w:tcPr>
                  <w:tcW w:w="1747" w:type="dxa"/>
                  <w:tcBorders>
                    <w:tl2br w:val="nil"/>
                    <w:tr2bl w:val="nil"/>
                  </w:tcBorders>
                  <w:noWrap/>
                  <w:vAlign w:val="center"/>
                </w:tcPr>
                <w:p w14:paraId="7AD775B4">
                  <w:pPr>
                    <w:jc w:val="center"/>
                    <w:rPr>
                      <w:color w:val="auto"/>
                      <w:szCs w:val="21"/>
                    </w:rPr>
                  </w:pPr>
                  <w:r>
                    <w:rPr>
                      <w:rFonts w:hint="eastAsia"/>
                      <w:color w:val="auto"/>
                      <w:szCs w:val="21"/>
                    </w:rPr>
                    <w:t>4401976.370</w:t>
                  </w:r>
                </w:p>
              </w:tc>
              <w:tc>
                <w:tcPr>
                  <w:tcW w:w="1747" w:type="dxa"/>
                  <w:tcBorders>
                    <w:tl2br w:val="nil"/>
                    <w:tr2bl w:val="nil"/>
                  </w:tcBorders>
                  <w:noWrap/>
                  <w:vAlign w:val="center"/>
                </w:tcPr>
                <w:p w14:paraId="5DD4F178">
                  <w:pPr>
                    <w:jc w:val="center"/>
                    <w:rPr>
                      <w:color w:val="auto"/>
                      <w:szCs w:val="21"/>
                    </w:rPr>
                  </w:pPr>
                  <w:r>
                    <w:rPr>
                      <w:rFonts w:hint="eastAsia"/>
                      <w:color w:val="auto"/>
                      <w:szCs w:val="21"/>
                    </w:rPr>
                    <w:t>37416566.770</w:t>
                  </w:r>
                </w:p>
              </w:tc>
            </w:tr>
            <w:tr w14:paraId="7CBFC54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0C27BFAB">
                  <w:pPr>
                    <w:jc w:val="center"/>
                    <w:rPr>
                      <w:color w:val="auto"/>
                      <w:szCs w:val="21"/>
                    </w:rPr>
                  </w:pPr>
                  <w:r>
                    <w:rPr>
                      <w:rFonts w:hint="eastAsia"/>
                      <w:color w:val="auto"/>
                      <w:szCs w:val="21"/>
                    </w:rPr>
                    <w:t>29</w:t>
                  </w:r>
                </w:p>
              </w:tc>
              <w:tc>
                <w:tcPr>
                  <w:tcW w:w="1533" w:type="dxa"/>
                  <w:tcBorders>
                    <w:tl2br w:val="nil"/>
                    <w:tr2bl w:val="nil"/>
                  </w:tcBorders>
                  <w:noWrap/>
                  <w:vAlign w:val="center"/>
                </w:tcPr>
                <w:p w14:paraId="5F0E1052">
                  <w:pPr>
                    <w:jc w:val="center"/>
                    <w:rPr>
                      <w:color w:val="auto"/>
                      <w:szCs w:val="21"/>
                    </w:rPr>
                  </w:pPr>
                  <w:r>
                    <w:rPr>
                      <w:rFonts w:hint="eastAsia"/>
                      <w:color w:val="auto"/>
                      <w:szCs w:val="21"/>
                    </w:rPr>
                    <w:t>4402023.921</w:t>
                  </w:r>
                </w:p>
              </w:tc>
              <w:tc>
                <w:tcPr>
                  <w:tcW w:w="1627" w:type="dxa"/>
                  <w:tcBorders>
                    <w:tl2br w:val="nil"/>
                    <w:tr2bl w:val="nil"/>
                  </w:tcBorders>
                  <w:noWrap/>
                  <w:vAlign w:val="center"/>
                </w:tcPr>
                <w:p w14:paraId="0868CE4B">
                  <w:pPr>
                    <w:jc w:val="center"/>
                    <w:rPr>
                      <w:color w:val="auto"/>
                      <w:szCs w:val="21"/>
                    </w:rPr>
                  </w:pPr>
                  <w:r>
                    <w:rPr>
                      <w:rFonts w:hint="eastAsia"/>
                      <w:color w:val="auto"/>
                      <w:szCs w:val="21"/>
                    </w:rPr>
                    <w:t>37416581.435</w:t>
                  </w:r>
                </w:p>
              </w:tc>
              <w:tc>
                <w:tcPr>
                  <w:tcW w:w="773" w:type="dxa"/>
                  <w:tcBorders>
                    <w:tl2br w:val="nil"/>
                    <w:tr2bl w:val="nil"/>
                  </w:tcBorders>
                  <w:noWrap/>
                  <w:vAlign w:val="center"/>
                </w:tcPr>
                <w:p w14:paraId="0BC9DDC8">
                  <w:pPr>
                    <w:widowControl/>
                    <w:jc w:val="center"/>
                    <w:textAlignment w:val="center"/>
                    <w:rPr>
                      <w:color w:val="auto"/>
                      <w:kern w:val="0"/>
                      <w:szCs w:val="21"/>
                    </w:rPr>
                  </w:pPr>
                  <w:r>
                    <w:rPr>
                      <w:rFonts w:hint="eastAsia"/>
                      <w:color w:val="auto"/>
                      <w:kern w:val="0"/>
                      <w:szCs w:val="21"/>
                    </w:rPr>
                    <w:t>63</w:t>
                  </w:r>
                </w:p>
              </w:tc>
              <w:tc>
                <w:tcPr>
                  <w:tcW w:w="1747" w:type="dxa"/>
                  <w:tcBorders>
                    <w:tl2br w:val="nil"/>
                    <w:tr2bl w:val="nil"/>
                  </w:tcBorders>
                  <w:noWrap/>
                  <w:vAlign w:val="center"/>
                </w:tcPr>
                <w:p w14:paraId="6AF9E2C9">
                  <w:pPr>
                    <w:jc w:val="center"/>
                    <w:rPr>
                      <w:color w:val="auto"/>
                      <w:szCs w:val="21"/>
                    </w:rPr>
                  </w:pPr>
                  <w:r>
                    <w:rPr>
                      <w:rFonts w:hint="eastAsia"/>
                      <w:color w:val="auto"/>
                      <w:szCs w:val="21"/>
                    </w:rPr>
                    <w:t>4401975.781</w:t>
                  </w:r>
                </w:p>
              </w:tc>
              <w:tc>
                <w:tcPr>
                  <w:tcW w:w="1747" w:type="dxa"/>
                  <w:tcBorders>
                    <w:tl2br w:val="nil"/>
                    <w:tr2bl w:val="nil"/>
                  </w:tcBorders>
                  <w:noWrap/>
                  <w:vAlign w:val="center"/>
                </w:tcPr>
                <w:p w14:paraId="277194DA">
                  <w:pPr>
                    <w:jc w:val="center"/>
                    <w:rPr>
                      <w:color w:val="auto"/>
                      <w:szCs w:val="21"/>
                    </w:rPr>
                  </w:pPr>
                  <w:r>
                    <w:rPr>
                      <w:rFonts w:hint="eastAsia"/>
                      <w:color w:val="auto"/>
                      <w:szCs w:val="21"/>
                    </w:rPr>
                    <w:t>37416568.520</w:t>
                  </w:r>
                </w:p>
              </w:tc>
            </w:tr>
            <w:tr w14:paraId="383DBF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6F59C253">
                  <w:pPr>
                    <w:jc w:val="center"/>
                    <w:rPr>
                      <w:color w:val="auto"/>
                      <w:szCs w:val="21"/>
                    </w:rPr>
                  </w:pPr>
                  <w:r>
                    <w:rPr>
                      <w:rFonts w:hint="eastAsia"/>
                      <w:color w:val="auto"/>
                      <w:szCs w:val="21"/>
                    </w:rPr>
                    <w:t>30</w:t>
                  </w:r>
                </w:p>
              </w:tc>
              <w:tc>
                <w:tcPr>
                  <w:tcW w:w="1533" w:type="dxa"/>
                  <w:tcBorders>
                    <w:tl2br w:val="nil"/>
                    <w:tr2bl w:val="nil"/>
                  </w:tcBorders>
                  <w:noWrap/>
                  <w:vAlign w:val="center"/>
                </w:tcPr>
                <w:p w14:paraId="09183713">
                  <w:pPr>
                    <w:jc w:val="center"/>
                    <w:rPr>
                      <w:color w:val="auto"/>
                      <w:szCs w:val="21"/>
                    </w:rPr>
                  </w:pPr>
                  <w:r>
                    <w:rPr>
                      <w:rFonts w:hint="eastAsia"/>
                      <w:color w:val="auto"/>
                      <w:szCs w:val="21"/>
                    </w:rPr>
                    <w:t>4402023.783</w:t>
                  </w:r>
                </w:p>
              </w:tc>
              <w:tc>
                <w:tcPr>
                  <w:tcW w:w="1627" w:type="dxa"/>
                  <w:tcBorders>
                    <w:tl2br w:val="nil"/>
                    <w:tr2bl w:val="nil"/>
                  </w:tcBorders>
                  <w:noWrap/>
                  <w:vAlign w:val="center"/>
                </w:tcPr>
                <w:p w14:paraId="6FFC6E00">
                  <w:pPr>
                    <w:jc w:val="center"/>
                    <w:rPr>
                      <w:color w:val="auto"/>
                      <w:szCs w:val="21"/>
                    </w:rPr>
                  </w:pPr>
                  <w:r>
                    <w:rPr>
                      <w:rFonts w:hint="eastAsia"/>
                      <w:color w:val="auto"/>
                      <w:szCs w:val="21"/>
                    </w:rPr>
                    <w:t>37416581.460</w:t>
                  </w:r>
                </w:p>
              </w:tc>
              <w:tc>
                <w:tcPr>
                  <w:tcW w:w="773" w:type="dxa"/>
                  <w:tcBorders>
                    <w:tl2br w:val="nil"/>
                    <w:tr2bl w:val="nil"/>
                  </w:tcBorders>
                  <w:noWrap/>
                  <w:vAlign w:val="center"/>
                </w:tcPr>
                <w:p w14:paraId="5248C7DE">
                  <w:pPr>
                    <w:widowControl/>
                    <w:jc w:val="center"/>
                    <w:textAlignment w:val="center"/>
                    <w:rPr>
                      <w:color w:val="auto"/>
                      <w:kern w:val="0"/>
                      <w:szCs w:val="21"/>
                    </w:rPr>
                  </w:pPr>
                  <w:r>
                    <w:rPr>
                      <w:rFonts w:hint="eastAsia"/>
                      <w:color w:val="auto"/>
                      <w:kern w:val="0"/>
                      <w:szCs w:val="21"/>
                    </w:rPr>
                    <w:t>64</w:t>
                  </w:r>
                </w:p>
              </w:tc>
              <w:tc>
                <w:tcPr>
                  <w:tcW w:w="1747" w:type="dxa"/>
                  <w:tcBorders>
                    <w:tl2br w:val="nil"/>
                    <w:tr2bl w:val="nil"/>
                  </w:tcBorders>
                  <w:noWrap/>
                  <w:vAlign w:val="center"/>
                </w:tcPr>
                <w:p w14:paraId="60AB96C9">
                  <w:pPr>
                    <w:jc w:val="center"/>
                    <w:rPr>
                      <w:color w:val="auto"/>
                      <w:szCs w:val="21"/>
                    </w:rPr>
                  </w:pPr>
                  <w:r>
                    <w:rPr>
                      <w:rFonts w:hint="eastAsia"/>
                      <w:color w:val="auto"/>
                      <w:szCs w:val="21"/>
                    </w:rPr>
                    <w:t>4401954.844</w:t>
                  </w:r>
                </w:p>
              </w:tc>
              <w:tc>
                <w:tcPr>
                  <w:tcW w:w="1747" w:type="dxa"/>
                  <w:tcBorders>
                    <w:tl2br w:val="nil"/>
                    <w:tr2bl w:val="nil"/>
                  </w:tcBorders>
                  <w:noWrap/>
                  <w:vAlign w:val="center"/>
                </w:tcPr>
                <w:p w14:paraId="500840A4">
                  <w:pPr>
                    <w:jc w:val="center"/>
                    <w:rPr>
                      <w:color w:val="auto"/>
                      <w:szCs w:val="21"/>
                    </w:rPr>
                  </w:pPr>
                  <w:r>
                    <w:rPr>
                      <w:rFonts w:hint="eastAsia"/>
                      <w:color w:val="auto"/>
                      <w:szCs w:val="21"/>
                    </w:rPr>
                    <w:t>37416561.693</w:t>
                  </w:r>
                </w:p>
              </w:tc>
            </w:tr>
            <w:tr w14:paraId="42784F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7FEC69D">
                  <w:pPr>
                    <w:jc w:val="center"/>
                    <w:rPr>
                      <w:color w:val="auto"/>
                      <w:szCs w:val="21"/>
                    </w:rPr>
                  </w:pPr>
                  <w:r>
                    <w:rPr>
                      <w:rFonts w:hint="eastAsia"/>
                      <w:color w:val="auto"/>
                      <w:szCs w:val="21"/>
                    </w:rPr>
                    <w:t>31</w:t>
                  </w:r>
                </w:p>
              </w:tc>
              <w:tc>
                <w:tcPr>
                  <w:tcW w:w="1533" w:type="dxa"/>
                  <w:tcBorders>
                    <w:tl2br w:val="nil"/>
                    <w:tr2bl w:val="nil"/>
                  </w:tcBorders>
                  <w:noWrap/>
                  <w:vAlign w:val="center"/>
                </w:tcPr>
                <w:p w14:paraId="1C060831">
                  <w:pPr>
                    <w:jc w:val="center"/>
                    <w:rPr>
                      <w:color w:val="auto"/>
                      <w:szCs w:val="21"/>
                    </w:rPr>
                  </w:pPr>
                  <w:r>
                    <w:rPr>
                      <w:rFonts w:hint="eastAsia"/>
                      <w:color w:val="auto"/>
                      <w:szCs w:val="21"/>
                    </w:rPr>
                    <w:t>4402023.665</w:t>
                  </w:r>
                </w:p>
              </w:tc>
              <w:tc>
                <w:tcPr>
                  <w:tcW w:w="1627" w:type="dxa"/>
                  <w:tcBorders>
                    <w:tl2br w:val="nil"/>
                    <w:tr2bl w:val="nil"/>
                  </w:tcBorders>
                  <w:noWrap/>
                  <w:vAlign w:val="center"/>
                </w:tcPr>
                <w:p w14:paraId="77AC5A5A">
                  <w:pPr>
                    <w:jc w:val="center"/>
                    <w:rPr>
                      <w:color w:val="auto"/>
                      <w:szCs w:val="21"/>
                    </w:rPr>
                  </w:pPr>
                  <w:r>
                    <w:rPr>
                      <w:rFonts w:hint="eastAsia"/>
                      <w:color w:val="auto"/>
                      <w:szCs w:val="21"/>
                    </w:rPr>
                    <w:t>37416581.480</w:t>
                  </w:r>
                </w:p>
              </w:tc>
              <w:tc>
                <w:tcPr>
                  <w:tcW w:w="773" w:type="dxa"/>
                  <w:tcBorders>
                    <w:tl2br w:val="nil"/>
                    <w:tr2bl w:val="nil"/>
                  </w:tcBorders>
                  <w:noWrap/>
                  <w:vAlign w:val="center"/>
                </w:tcPr>
                <w:p w14:paraId="2232DE2A">
                  <w:pPr>
                    <w:widowControl/>
                    <w:jc w:val="center"/>
                    <w:textAlignment w:val="center"/>
                    <w:rPr>
                      <w:color w:val="auto"/>
                      <w:kern w:val="0"/>
                      <w:szCs w:val="21"/>
                    </w:rPr>
                  </w:pPr>
                  <w:r>
                    <w:rPr>
                      <w:rFonts w:hint="eastAsia"/>
                      <w:color w:val="auto"/>
                      <w:kern w:val="0"/>
                      <w:szCs w:val="21"/>
                    </w:rPr>
                    <w:t>65</w:t>
                  </w:r>
                </w:p>
              </w:tc>
              <w:tc>
                <w:tcPr>
                  <w:tcW w:w="1747" w:type="dxa"/>
                  <w:tcBorders>
                    <w:tl2br w:val="nil"/>
                    <w:tr2bl w:val="nil"/>
                  </w:tcBorders>
                  <w:noWrap/>
                  <w:vAlign w:val="center"/>
                </w:tcPr>
                <w:p w14:paraId="46A816AB">
                  <w:pPr>
                    <w:jc w:val="center"/>
                    <w:rPr>
                      <w:color w:val="auto"/>
                      <w:szCs w:val="21"/>
                    </w:rPr>
                  </w:pPr>
                  <w:r>
                    <w:rPr>
                      <w:rFonts w:hint="eastAsia"/>
                      <w:color w:val="auto"/>
                      <w:szCs w:val="21"/>
                    </w:rPr>
                    <w:t>4401955.501</w:t>
                  </w:r>
                </w:p>
              </w:tc>
              <w:tc>
                <w:tcPr>
                  <w:tcW w:w="1747" w:type="dxa"/>
                  <w:tcBorders>
                    <w:tl2br w:val="nil"/>
                    <w:tr2bl w:val="nil"/>
                  </w:tcBorders>
                  <w:noWrap/>
                  <w:vAlign w:val="center"/>
                </w:tcPr>
                <w:p w14:paraId="14B5817C">
                  <w:pPr>
                    <w:jc w:val="center"/>
                    <w:rPr>
                      <w:color w:val="auto"/>
                      <w:szCs w:val="21"/>
                    </w:rPr>
                  </w:pPr>
                  <w:r>
                    <w:rPr>
                      <w:rFonts w:hint="eastAsia"/>
                      <w:color w:val="auto"/>
                      <w:szCs w:val="21"/>
                    </w:rPr>
                    <w:t>37416559.740</w:t>
                  </w:r>
                </w:p>
              </w:tc>
            </w:tr>
            <w:tr w14:paraId="7A34E7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10DCD44A">
                  <w:pPr>
                    <w:jc w:val="center"/>
                    <w:rPr>
                      <w:color w:val="auto"/>
                      <w:szCs w:val="21"/>
                    </w:rPr>
                  </w:pPr>
                  <w:r>
                    <w:rPr>
                      <w:rFonts w:hint="eastAsia"/>
                      <w:color w:val="auto"/>
                      <w:szCs w:val="21"/>
                    </w:rPr>
                    <w:t>32</w:t>
                  </w:r>
                </w:p>
              </w:tc>
              <w:tc>
                <w:tcPr>
                  <w:tcW w:w="1533" w:type="dxa"/>
                  <w:tcBorders>
                    <w:tl2br w:val="nil"/>
                    <w:tr2bl w:val="nil"/>
                  </w:tcBorders>
                  <w:noWrap/>
                  <w:vAlign w:val="center"/>
                </w:tcPr>
                <w:p w14:paraId="1DF5ABDB">
                  <w:pPr>
                    <w:jc w:val="center"/>
                    <w:rPr>
                      <w:color w:val="auto"/>
                      <w:szCs w:val="21"/>
                    </w:rPr>
                  </w:pPr>
                  <w:r>
                    <w:rPr>
                      <w:rFonts w:hint="eastAsia"/>
                      <w:color w:val="auto"/>
                      <w:szCs w:val="21"/>
                    </w:rPr>
                    <w:t>4402023.559</w:t>
                  </w:r>
                </w:p>
              </w:tc>
              <w:tc>
                <w:tcPr>
                  <w:tcW w:w="1627" w:type="dxa"/>
                  <w:tcBorders>
                    <w:tl2br w:val="nil"/>
                    <w:tr2bl w:val="nil"/>
                  </w:tcBorders>
                  <w:noWrap/>
                  <w:vAlign w:val="center"/>
                </w:tcPr>
                <w:p w14:paraId="469275A4">
                  <w:pPr>
                    <w:jc w:val="center"/>
                    <w:rPr>
                      <w:color w:val="auto"/>
                      <w:szCs w:val="21"/>
                    </w:rPr>
                  </w:pPr>
                  <w:r>
                    <w:rPr>
                      <w:rFonts w:hint="eastAsia"/>
                      <w:color w:val="auto"/>
                      <w:szCs w:val="21"/>
                    </w:rPr>
                    <w:t>37416581.496</w:t>
                  </w:r>
                </w:p>
              </w:tc>
              <w:tc>
                <w:tcPr>
                  <w:tcW w:w="773" w:type="dxa"/>
                  <w:tcBorders>
                    <w:tl2br w:val="nil"/>
                    <w:tr2bl w:val="nil"/>
                  </w:tcBorders>
                  <w:noWrap/>
                  <w:vAlign w:val="center"/>
                </w:tcPr>
                <w:p w14:paraId="6D1ACDF1">
                  <w:pPr>
                    <w:widowControl/>
                    <w:jc w:val="center"/>
                    <w:textAlignment w:val="center"/>
                    <w:rPr>
                      <w:color w:val="auto"/>
                      <w:kern w:val="0"/>
                      <w:szCs w:val="21"/>
                    </w:rPr>
                  </w:pPr>
                  <w:r>
                    <w:rPr>
                      <w:rFonts w:hint="eastAsia"/>
                      <w:color w:val="auto"/>
                      <w:kern w:val="0"/>
                      <w:szCs w:val="21"/>
                    </w:rPr>
                    <w:t>66</w:t>
                  </w:r>
                </w:p>
              </w:tc>
              <w:tc>
                <w:tcPr>
                  <w:tcW w:w="1747" w:type="dxa"/>
                  <w:tcBorders>
                    <w:tl2br w:val="nil"/>
                    <w:tr2bl w:val="nil"/>
                  </w:tcBorders>
                  <w:noWrap/>
                  <w:vAlign w:val="center"/>
                </w:tcPr>
                <w:p w14:paraId="5CFB2374">
                  <w:pPr>
                    <w:jc w:val="center"/>
                    <w:rPr>
                      <w:color w:val="auto"/>
                      <w:szCs w:val="21"/>
                    </w:rPr>
                  </w:pPr>
                  <w:r>
                    <w:rPr>
                      <w:rFonts w:hint="eastAsia"/>
                      <w:color w:val="auto"/>
                      <w:szCs w:val="21"/>
                    </w:rPr>
                    <w:t>4401913.684</w:t>
                  </w:r>
                </w:p>
              </w:tc>
              <w:tc>
                <w:tcPr>
                  <w:tcW w:w="1747" w:type="dxa"/>
                  <w:tcBorders>
                    <w:tl2br w:val="nil"/>
                    <w:tr2bl w:val="nil"/>
                  </w:tcBorders>
                  <w:noWrap/>
                  <w:vAlign w:val="center"/>
                </w:tcPr>
                <w:p w14:paraId="4E2D2D01">
                  <w:pPr>
                    <w:jc w:val="center"/>
                    <w:rPr>
                      <w:color w:val="auto"/>
                      <w:szCs w:val="21"/>
                    </w:rPr>
                  </w:pPr>
                  <w:r>
                    <w:rPr>
                      <w:rFonts w:hint="eastAsia"/>
                      <w:color w:val="auto"/>
                      <w:szCs w:val="21"/>
                    </w:rPr>
                    <w:t>37416545.652</w:t>
                  </w:r>
                </w:p>
              </w:tc>
            </w:tr>
            <w:tr w14:paraId="39B91AE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5A2218FF">
                  <w:pPr>
                    <w:jc w:val="center"/>
                    <w:rPr>
                      <w:color w:val="auto"/>
                      <w:szCs w:val="21"/>
                    </w:rPr>
                  </w:pPr>
                  <w:r>
                    <w:rPr>
                      <w:rFonts w:hint="eastAsia"/>
                      <w:color w:val="auto"/>
                      <w:szCs w:val="21"/>
                    </w:rPr>
                    <w:t>33</w:t>
                  </w:r>
                </w:p>
              </w:tc>
              <w:tc>
                <w:tcPr>
                  <w:tcW w:w="1533" w:type="dxa"/>
                  <w:tcBorders>
                    <w:tl2br w:val="nil"/>
                    <w:tr2bl w:val="nil"/>
                  </w:tcBorders>
                  <w:noWrap/>
                  <w:vAlign w:val="center"/>
                </w:tcPr>
                <w:p w14:paraId="632FB4E6">
                  <w:pPr>
                    <w:jc w:val="center"/>
                    <w:rPr>
                      <w:color w:val="auto"/>
                      <w:szCs w:val="21"/>
                    </w:rPr>
                  </w:pPr>
                  <w:r>
                    <w:rPr>
                      <w:rFonts w:hint="eastAsia"/>
                      <w:color w:val="auto"/>
                      <w:szCs w:val="21"/>
                    </w:rPr>
                    <w:t>4402023.421</w:t>
                  </w:r>
                </w:p>
              </w:tc>
              <w:tc>
                <w:tcPr>
                  <w:tcW w:w="1627" w:type="dxa"/>
                  <w:tcBorders>
                    <w:tl2br w:val="nil"/>
                    <w:tr2bl w:val="nil"/>
                  </w:tcBorders>
                  <w:noWrap/>
                  <w:vAlign w:val="center"/>
                </w:tcPr>
                <w:p w14:paraId="56892A47">
                  <w:pPr>
                    <w:jc w:val="center"/>
                    <w:rPr>
                      <w:color w:val="auto"/>
                      <w:szCs w:val="21"/>
                    </w:rPr>
                  </w:pPr>
                  <w:r>
                    <w:rPr>
                      <w:rFonts w:hint="eastAsia"/>
                      <w:color w:val="auto"/>
                      <w:szCs w:val="21"/>
                    </w:rPr>
                    <w:t>37416581.516</w:t>
                  </w:r>
                </w:p>
              </w:tc>
              <w:tc>
                <w:tcPr>
                  <w:tcW w:w="773" w:type="dxa"/>
                  <w:tcBorders>
                    <w:tl2br w:val="nil"/>
                    <w:tr2bl w:val="nil"/>
                  </w:tcBorders>
                  <w:noWrap/>
                  <w:vAlign w:val="center"/>
                </w:tcPr>
                <w:p w14:paraId="019EF17E">
                  <w:pPr>
                    <w:widowControl/>
                    <w:jc w:val="center"/>
                    <w:textAlignment w:val="center"/>
                    <w:rPr>
                      <w:color w:val="auto"/>
                      <w:kern w:val="0"/>
                      <w:szCs w:val="21"/>
                    </w:rPr>
                  </w:pPr>
                  <w:r>
                    <w:rPr>
                      <w:rFonts w:hint="eastAsia"/>
                      <w:color w:val="auto"/>
                      <w:kern w:val="0"/>
                      <w:szCs w:val="21"/>
                    </w:rPr>
                    <w:t>67</w:t>
                  </w:r>
                </w:p>
              </w:tc>
              <w:tc>
                <w:tcPr>
                  <w:tcW w:w="1747" w:type="dxa"/>
                  <w:tcBorders>
                    <w:tl2br w:val="nil"/>
                    <w:tr2bl w:val="nil"/>
                  </w:tcBorders>
                  <w:noWrap/>
                  <w:vAlign w:val="center"/>
                </w:tcPr>
                <w:p w14:paraId="7AC1A46E">
                  <w:pPr>
                    <w:jc w:val="center"/>
                    <w:rPr>
                      <w:color w:val="auto"/>
                      <w:szCs w:val="21"/>
                    </w:rPr>
                  </w:pPr>
                  <w:r>
                    <w:rPr>
                      <w:rFonts w:hint="eastAsia"/>
                      <w:color w:val="auto"/>
                      <w:szCs w:val="21"/>
                    </w:rPr>
                    <w:t>4401935.550</w:t>
                  </w:r>
                </w:p>
              </w:tc>
              <w:tc>
                <w:tcPr>
                  <w:tcW w:w="1747" w:type="dxa"/>
                  <w:tcBorders>
                    <w:tl2br w:val="nil"/>
                    <w:tr2bl w:val="nil"/>
                  </w:tcBorders>
                  <w:noWrap/>
                  <w:vAlign w:val="center"/>
                </w:tcPr>
                <w:p w14:paraId="63780D0C">
                  <w:pPr>
                    <w:jc w:val="center"/>
                    <w:rPr>
                      <w:color w:val="auto"/>
                      <w:szCs w:val="21"/>
                    </w:rPr>
                  </w:pPr>
                  <w:r>
                    <w:rPr>
                      <w:rFonts w:hint="eastAsia"/>
                      <w:color w:val="auto"/>
                      <w:szCs w:val="21"/>
                    </w:rPr>
                    <w:t>37416478.760</w:t>
                  </w:r>
                </w:p>
              </w:tc>
            </w:tr>
            <w:tr w14:paraId="5213E2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0" w:type="dxa"/>
                  <w:tcBorders>
                    <w:tl2br w:val="nil"/>
                    <w:tr2bl w:val="nil"/>
                  </w:tcBorders>
                  <w:noWrap/>
                  <w:vAlign w:val="bottom"/>
                </w:tcPr>
                <w:p w14:paraId="3A478649">
                  <w:pPr>
                    <w:jc w:val="center"/>
                    <w:rPr>
                      <w:color w:val="auto"/>
                      <w:szCs w:val="21"/>
                    </w:rPr>
                  </w:pPr>
                  <w:r>
                    <w:rPr>
                      <w:rFonts w:hint="eastAsia"/>
                      <w:color w:val="auto"/>
                      <w:szCs w:val="21"/>
                    </w:rPr>
                    <w:t>34</w:t>
                  </w:r>
                </w:p>
              </w:tc>
              <w:tc>
                <w:tcPr>
                  <w:tcW w:w="1533" w:type="dxa"/>
                  <w:tcBorders>
                    <w:tl2br w:val="nil"/>
                    <w:tr2bl w:val="nil"/>
                  </w:tcBorders>
                  <w:noWrap/>
                  <w:vAlign w:val="center"/>
                </w:tcPr>
                <w:p w14:paraId="235FC3BD">
                  <w:pPr>
                    <w:jc w:val="center"/>
                    <w:rPr>
                      <w:color w:val="auto"/>
                      <w:szCs w:val="21"/>
                    </w:rPr>
                  </w:pPr>
                  <w:r>
                    <w:rPr>
                      <w:rFonts w:hint="eastAsia"/>
                      <w:color w:val="auto"/>
                      <w:szCs w:val="21"/>
                    </w:rPr>
                    <w:t>4402023.315</w:t>
                  </w:r>
                </w:p>
              </w:tc>
              <w:tc>
                <w:tcPr>
                  <w:tcW w:w="1627" w:type="dxa"/>
                  <w:tcBorders>
                    <w:tl2br w:val="nil"/>
                    <w:tr2bl w:val="nil"/>
                  </w:tcBorders>
                  <w:noWrap/>
                  <w:vAlign w:val="center"/>
                </w:tcPr>
                <w:p w14:paraId="1DDB918D">
                  <w:pPr>
                    <w:jc w:val="center"/>
                    <w:rPr>
                      <w:color w:val="auto"/>
                      <w:szCs w:val="21"/>
                    </w:rPr>
                  </w:pPr>
                  <w:r>
                    <w:rPr>
                      <w:rFonts w:hint="eastAsia"/>
                      <w:color w:val="auto"/>
                      <w:szCs w:val="21"/>
                    </w:rPr>
                    <w:t>37416581.530</w:t>
                  </w:r>
                </w:p>
              </w:tc>
              <w:tc>
                <w:tcPr>
                  <w:tcW w:w="773" w:type="dxa"/>
                  <w:tcBorders>
                    <w:tl2br w:val="nil"/>
                    <w:tr2bl w:val="nil"/>
                  </w:tcBorders>
                  <w:noWrap/>
                  <w:vAlign w:val="center"/>
                </w:tcPr>
                <w:p w14:paraId="22770DFF">
                  <w:pPr>
                    <w:widowControl/>
                    <w:jc w:val="center"/>
                    <w:textAlignment w:val="center"/>
                    <w:rPr>
                      <w:color w:val="auto"/>
                      <w:kern w:val="0"/>
                      <w:szCs w:val="21"/>
                    </w:rPr>
                  </w:pPr>
                  <w:r>
                    <w:rPr>
                      <w:rFonts w:hint="eastAsia"/>
                      <w:color w:val="auto"/>
                      <w:kern w:val="0"/>
                      <w:szCs w:val="21"/>
                    </w:rPr>
                    <w:t>/</w:t>
                  </w:r>
                </w:p>
              </w:tc>
              <w:tc>
                <w:tcPr>
                  <w:tcW w:w="1747" w:type="dxa"/>
                  <w:tcBorders>
                    <w:tl2br w:val="nil"/>
                    <w:tr2bl w:val="nil"/>
                  </w:tcBorders>
                  <w:noWrap/>
                  <w:vAlign w:val="center"/>
                </w:tcPr>
                <w:p w14:paraId="43AC5C9B">
                  <w:pPr>
                    <w:widowControl/>
                    <w:jc w:val="center"/>
                    <w:textAlignment w:val="center"/>
                    <w:rPr>
                      <w:color w:val="auto"/>
                      <w:kern w:val="0"/>
                      <w:szCs w:val="21"/>
                    </w:rPr>
                  </w:pPr>
                  <w:r>
                    <w:rPr>
                      <w:rFonts w:hint="eastAsia"/>
                      <w:color w:val="auto"/>
                      <w:kern w:val="0"/>
                      <w:szCs w:val="21"/>
                    </w:rPr>
                    <w:t>/</w:t>
                  </w:r>
                </w:p>
              </w:tc>
              <w:tc>
                <w:tcPr>
                  <w:tcW w:w="1747" w:type="dxa"/>
                  <w:tcBorders>
                    <w:tl2br w:val="nil"/>
                    <w:tr2bl w:val="nil"/>
                  </w:tcBorders>
                  <w:noWrap/>
                  <w:vAlign w:val="center"/>
                </w:tcPr>
                <w:p w14:paraId="48B03C28">
                  <w:pPr>
                    <w:widowControl/>
                    <w:jc w:val="center"/>
                    <w:textAlignment w:val="center"/>
                    <w:rPr>
                      <w:color w:val="auto"/>
                      <w:kern w:val="0"/>
                      <w:szCs w:val="21"/>
                    </w:rPr>
                  </w:pPr>
                  <w:r>
                    <w:rPr>
                      <w:rFonts w:hint="eastAsia"/>
                      <w:color w:val="auto"/>
                      <w:kern w:val="0"/>
                      <w:szCs w:val="21"/>
                    </w:rPr>
                    <w:t>/</w:t>
                  </w:r>
                </w:p>
              </w:tc>
            </w:tr>
          </w:tbl>
          <w:p w14:paraId="483C84C4">
            <w:pPr>
              <w:adjustRightInd w:val="0"/>
              <w:snapToGrid w:val="0"/>
              <w:jc w:val="center"/>
              <w:rPr>
                <w:rFonts w:ascii="宋体" w:hAnsi="宋体" w:cs="宋体"/>
                <w:color w:val="auto"/>
                <w:kern w:val="0"/>
                <w:szCs w:val="21"/>
              </w:rPr>
            </w:pPr>
          </w:p>
        </w:tc>
      </w:tr>
      <w:tr w14:paraId="4A220A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613" w:hRule="atLeast"/>
        </w:trPr>
        <w:tc>
          <w:tcPr>
            <w:tcW w:w="765" w:type="dxa"/>
            <w:vAlign w:val="center"/>
          </w:tcPr>
          <w:p w14:paraId="7674E6E1">
            <w:pPr>
              <w:adjustRightInd w:val="0"/>
              <w:snapToGrid w:val="0"/>
              <w:jc w:val="center"/>
              <w:rPr>
                <w:rFonts w:ascii="宋体" w:hAnsi="宋体" w:cs="宋体"/>
                <w:color w:val="auto"/>
                <w:kern w:val="0"/>
                <w:szCs w:val="21"/>
              </w:rPr>
            </w:pPr>
            <w:r>
              <w:rPr>
                <w:rFonts w:hint="eastAsia" w:ascii="宋体" w:hAnsi="宋体" w:cs="宋体"/>
                <w:color w:val="auto"/>
                <w:kern w:val="0"/>
                <w:sz w:val="24"/>
              </w:rPr>
              <w:t>项目组成及规模</w:t>
            </w:r>
          </w:p>
        </w:tc>
        <w:tc>
          <w:tcPr>
            <w:tcW w:w="8295" w:type="dxa"/>
            <w:vAlign w:val="center"/>
          </w:tcPr>
          <w:p w14:paraId="0C7B063A">
            <w:pPr>
              <w:pStyle w:val="5"/>
              <w:keepNext w:val="0"/>
              <w:keepLines w:val="0"/>
              <w:pageBreakBefore w:val="0"/>
              <w:widowControl w:val="0"/>
              <w:kinsoku/>
              <w:wordWrap/>
              <w:overflowPunct/>
              <w:topLinePunct w:val="0"/>
              <w:autoSpaceDE/>
              <w:autoSpaceDN/>
              <w:bidi w:val="0"/>
              <w:adjustRightInd/>
              <w:spacing w:before="0" w:after="0" w:line="480" w:lineRule="exact"/>
              <w:ind w:right="0" w:firstLine="482" w:firstLineChars="200"/>
              <w:textAlignment w:val="auto"/>
              <w:rPr>
                <w:b/>
                <w:color w:val="auto"/>
                <w:sz w:val="24"/>
                <w:szCs w:val="24"/>
              </w:rPr>
            </w:pPr>
            <w:r>
              <w:rPr>
                <w:rFonts w:hint="eastAsia"/>
                <w:b/>
                <w:color w:val="auto"/>
                <w:sz w:val="24"/>
                <w:szCs w:val="24"/>
                <w:lang w:val="en-US" w:eastAsia="zh-CN"/>
              </w:rPr>
              <w:t>一</w:t>
            </w:r>
            <w:r>
              <w:rPr>
                <w:b/>
                <w:color w:val="auto"/>
                <w:sz w:val="24"/>
                <w:szCs w:val="24"/>
              </w:rPr>
              <w:t>、项目背景</w:t>
            </w:r>
          </w:p>
          <w:p w14:paraId="665F6861">
            <w:pPr>
              <w:pStyle w:val="54"/>
              <w:keepNext w:val="0"/>
              <w:keepLines w:val="0"/>
              <w:pageBreakBefore w:val="0"/>
              <w:widowControl w:val="0"/>
              <w:kinsoku/>
              <w:wordWrap/>
              <w:overflowPunct/>
              <w:topLinePunct w:val="0"/>
              <w:autoSpaceDE/>
              <w:autoSpaceDN/>
              <w:bidi w:val="0"/>
              <w:adjustRightInd/>
              <w:spacing w:line="480" w:lineRule="exact"/>
              <w:ind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神华集团包头矿业有限责任公司李家壕煤矿</w:t>
            </w:r>
            <w:r>
              <w:rPr>
                <w:rFonts w:hint="eastAsia" w:ascii="Times New Roman" w:hAnsi="Times New Roman" w:eastAsia="宋体" w:cs="Times New Roman"/>
                <w:color w:val="auto"/>
                <w:lang w:val="en-US" w:eastAsia="zh-CN"/>
              </w:rPr>
              <w:t>于2015年5月变更为</w:t>
            </w:r>
            <w:r>
              <w:rPr>
                <w:rFonts w:hint="eastAsia" w:ascii="Times New Roman" w:hAnsi="Times New Roman" w:eastAsia="宋体" w:cs="Times New Roman"/>
                <w:color w:val="auto"/>
                <w:kern w:val="0"/>
                <w:szCs w:val="24"/>
              </w:rPr>
              <w:t>神华包头能源有限责任公司李家壕煤矿</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lang w:val="en-US" w:eastAsia="zh-CN"/>
              </w:rPr>
              <w:t>并于2021年2月变更为</w:t>
            </w:r>
            <w:r>
              <w:rPr>
                <w:rFonts w:hint="eastAsia" w:ascii="Times New Roman" w:hAnsi="Times New Roman" w:eastAsia="宋体" w:cs="Times New Roman"/>
                <w:color w:val="auto"/>
                <w:kern w:val="0"/>
                <w:szCs w:val="24"/>
              </w:rPr>
              <w:t>国能包头能源有限责任公司李家壕煤矿</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lang w:val="en-US" w:eastAsia="zh-CN"/>
              </w:rPr>
              <w:t>以下简称</w:t>
            </w:r>
            <w:r>
              <w:rPr>
                <w:rFonts w:hint="default" w:ascii="Times New Roman" w:hAnsi="Times New Roman" w:eastAsia="宋体" w:cs="Times New Roman"/>
                <w:color w:val="auto"/>
                <w:kern w:val="0"/>
                <w:szCs w:val="24"/>
                <w:lang w:val="en-US" w:eastAsia="zh-CN"/>
              </w:rPr>
              <w:t>“李家壕煤矿”</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lang w:val="en-US" w:eastAsia="zh-CN"/>
              </w:rPr>
              <w:t>，位于</w:t>
            </w:r>
            <w:r>
              <w:rPr>
                <w:rFonts w:hint="eastAsia"/>
                <w:color w:val="auto"/>
                <w:sz w:val="24"/>
              </w:rPr>
              <w:t>内蒙古自治区鄂尔多斯市境内，行政区划隶属于东胜区罕台镇管辖。</w:t>
            </w:r>
            <w:r>
              <w:rPr>
                <w:rFonts w:hint="eastAsia"/>
                <w:color w:val="auto"/>
                <w:sz w:val="24"/>
                <w:lang w:val="en-US" w:eastAsia="zh-CN"/>
              </w:rPr>
              <w:t>矿井生产能力为</w:t>
            </w:r>
            <w:r>
              <w:rPr>
                <w:rFonts w:hint="eastAsia" w:ascii="Times New Roman" w:hAnsi="Times New Roman" w:eastAsia="宋体" w:cs="Times New Roman"/>
                <w:color w:val="auto"/>
                <w:lang w:val="en-US" w:eastAsia="zh-CN"/>
              </w:rPr>
              <w:t>6.00Mt/a，可采储量为224.95Mt，服务年限为26.8a。</w:t>
            </w:r>
          </w:p>
          <w:p w14:paraId="61C2654E">
            <w:pPr>
              <w:pStyle w:val="54"/>
              <w:keepNext w:val="0"/>
              <w:keepLines w:val="0"/>
              <w:pageBreakBefore w:val="0"/>
              <w:widowControl w:val="0"/>
              <w:kinsoku/>
              <w:wordWrap/>
              <w:overflowPunct/>
              <w:topLinePunct w:val="0"/>
              <w:autoSpaceDE/>
              <w:autoSpaceDN/>
              <w:bidi w:val="0"/>
              <w:adjustRightInd/>
              <w:spacing w:line="480" w:lineRule="exact"/>
              <w:ind w:firstLine="48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rPr>
              <w:t>20</w:t>
            </w:r>
            <w:r>
              <w:rPr>
                <w:rFonts w:hint="default" w:ascii="Times New Roman" w:hAnsi="Times New Roman" w:eastAsia="宋体" w:cs="Times New Roman"/>
                <w:color w:val="auto"/>
                <w:lang w:val="en-US" w:eastAsia="zh-CN"/>
              </w:rPr>
              <w:t>06</w:t>
            </w:r>
            <w:r>
              <w:rPr>
                <w:rFonts w:hint="default" w:ascii="Times New Roman" w:hAnsi="Times New Roman" w:eastAsia="宋体" w:cs="Times New Roman"/>
                <w:color w:val="auto"/>
              </w:rPr>
              <w:t>年</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月</w:t>
            </w:r>
            <w:r>
              <w:rPr>
                <w:rFonts w:hint="default" w:ascii="Times New Roman" w:hAnsi="Times New Roman" w:eastAsia="宋体" w:cs="Times New Roman"/>
                <w:color w:val="auto"/>
                <w:lang w:val="en-US" w:eastAsia="zh-CN"/>
              </w:rPr>
              <w:t>21</w:t>
            </w:r>
            <w:r>
              <w:rPr>
                <w:rFonts w:hint="default" w:ascii="Times New Roman" w:hAnsi="Times New Roman" w:eastAsia="宋体" w:cs="Times New Roman"/>
                <w:color w:val="auto"/>
              </w:rPr>
              <w:t>日，原</w:t>
            </w:r>
            <w:r>
              <w:rPr>
                <w:rFonts w:hint="default" w:ascii="Times New Roman" w:hAnsi="Times New Roman" w:eastAsia="宋体" w:cs="Times New Roman"/>
                <w:color w:val="auto"/>
                <w:lang w:val="en-US" w:eastAsia="zh-CN"/>
              </w:rPr>
              <w:t>国家环境保护总局</w:t>
            </w:r>
            <w:r>
              <w:rPr>
                <w:rFonts w:hint="default" w:ascii="Times New Roman" w:hAnsi="Times New Roman" w:eastAsia="宋体" w:cs="Times New Roman"/>
                <w:color w:val="auto"/>
              </w:rPr>
              <w:t>以“环审﹝20</w:t>
            </w:r>
            <w:r>
              <w:rPr>
                <w:rFonts w:hint="default" w:ascii="Times New Roman" w:hAnsi="Times New Roman" w:eastAsia="宋体" w:cs="Times New Roman"/>
                <w:color w:val="auto"/>
                <w:lang w:val="en-US" w:eastAsia="zh-CN"/>
              </w:rPr>
              <w:t>06</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294</w:t>
            </w:r>
            <w:r>
              <w:rPr>
                <w:rFonts w:hint="default" w:ascii="Times New Roman" w:hAnsi="Times New Roman" w:eastAsia="宋体" w:cs="Times New Roman"/>
                <w:color w:val="auto"/>
              </w:rPr>
              <w:t xml:space="preserve"> 号”文对《</w:t>
            </w:r>
            <w:r>
              <w:rPr>
                <w:rFonts w:hint="default" w:ascii="Times New Roman" w:hAnsi="Times New Roman" w:eastAsia="宋体" w:cs="Times New Roman"/>
                <w:color w:val="auto"/>
                <w:lang w:val="en-US" w:eastAsia="zh-CN"/>
              </w:rPr>
              <w:t>神华集团包头矿业有限责任公司李家壕煤矿建设项目</w:t>
            </w:r>
            <w:r>
              <w:rPr>
                <w:rFonts w:hint="default" w:ascii="Times New Roman" w:hAnsi="Times New Roman" w:eastAsia="宋体" w:cs="Times New Roman"/>
                <w:color w:val="auto"/>
              </w:rPr>
              <w:t>环境影响报告书》进行了批复</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附件1</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w:t>
            </w:r>
            <w:bookmarkStart w:id="8" w:name="OLE_LINK83"/>
            <w:r>
              <w:rPr>
                <w:rFonts w:hint="default" w:ascii="Times New Roman" w:hAnsi="Times New Roman" w:eastAsia="宋体" w:cs="Times New Roman"/>
                <w:color w:val="auto"/>
                <w:lang w:val="en-US" w:eastAsia="zh-CN"/>
              </w:rPr>
              <w:t>2010年2月9日，企业取得了</w:t>
            </w:r>
            <w:r>
              <w:rPr>
                <w:rFonts w:hint="default" w:ascii="Times New Roman" w:hAnsi="Times New Roman" w:cs="Times New Roman"/>
                <w:color w:val="auto"/>
                <w:sz w:val="24"/>
              </w:rPr>
              <w:t>中华人民共和国国土资源部颁发的采矿许可证</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附件1</w:t>
            </w:r>
            <w:r>
              <w:rPr>
                <w:rFonts w:hint="eastAsia" w:ascii="Times New Roman" w:hAnsi="Times New Roman" w:cs="Times New Roman"/>
                <w:color w:val="auto"/>
                <w:sz w:val="24"/>
                <w:lang w:val="en-US" w:eastAsia="zh-CN"/>
              </w:rPr>
              <w:t>3</w:t>
            </w:r>
            <w:r>
              <w:rPr>
                <w:rFonts w:hint="default" w:ascii="Times New Roman" w:hAnsi="Times New Roman" w:cs="Times New Roman"/>
                <w:color w:val="auto"/>
                <w:sz w:val="24"/>
                <w:lang w:eastAsia="zh-CN"/>
              </w:rPr>
              <w:t>）</w:t>
            </w:r>
            <w:r>
              <w:rPr>
                <w:rFonts w:hint="eastAsia" w:ascii="Times New Roman" w:hAnsi="Times New Roman" w:cs="Times New Roman"/>
                <w:color w:val="auto"/>
                <w:sz w:val="24"/>
                <w:lang w:eastAsia="zh-CN"/>
              </w:rPr>
              <w:t>，</w:t>
            </w:r>
            <w:r>
              <w:rPr>
                <w:rFonts w:hint="default" w:ascii="Times New Roman" w:hAnsi="Times New Roman" w:eastAsia="宋体" w:cs="Times New Roman"/>
                <w:color w:val="auto"/>
                <w:lang w:val="en-US" w:eastAsia="zh-CN"/>
              </w:rPr>
              <w:t>证号：C1000002010021110056343，矿区面积为67.5453km</w:t>
            </w:r>
            <w:r>
              <w:rPr>
                <w:rFonts w:hint="default" w:ascii="Times New Roman" w:hAnsi="Times New Roman" w:eastAsia="宋体" w:cs="Times New Roman"/>
                <w:color w:val="auto"/>
                <w:vertAlign w:val="superscript"/>
                <w:lang w:val="en-US" w:eastAsia="zh-CN"/>
              </w:rPr>
              <w:t>2</w:t>
            </w:r>
            <w:r>
              <w:rPr>
                <w:rFonts w:hint="default" w:ascii="Times New Roman" w:hAnsi="Times New Roman" w:eastAsia="宋体" w:cs="Times New Roman"/>
                <w:color w:val="auto"/>
                <w:lang w:val="en-US" w:eastAsia="zh-CN"/>
              </w:rPr>
              <w:t>，有效期至2040年2月9日。</w:t>
            </w:r>
          </w:p>
          <w:p w14:paraId="6ED95A0D">
            <w:pPr>
              <w:pStyle w:val="54"/>
              <w:keepNext w:val="0"/>
              <w:keepLines w:val="0"/>
              <w:pageBreakBefore w:val="0"/>
              <w:widowControl w:val="0"/>
              <w:kinsoku/>
              <w:wordWrap/>
              <w:overflowPunct/>
              <w:topLinePunct w:val="0"/>
              <w:autoSpaceDE/>
              <w:autoSpaceDN/>
              <w:bidi w:val="0"/>
              <w:adjustRightInd/>
              <w:spacing w:line="480" w:lineRule="exact"/>
              <w:ind w:firstLine="480"/>
              <w:textAlignment w:val="auto"/>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lang w:val="en-US" w:eastAsia="zh-CN"/>
              </w:rPr>
              <w:t>李家壕煤矿于2006年7月开工建设，2013年12月</w:t>
            </w:r>
            <w:r>
              <w:rPr>
                <w:rFonts w:hint="eastAsia" w:ascii="Times New Roman" w:hAnsi="Times New Roman" w:eastAsia="宋体" w:cs="Times New Roman"/>
                <w:color w:val="auto"/>
                <w:highlight w:val="none"/>
                <w:lang w:val="en-US" w:eastAsia="zh-CN"/>
              </w:rPr>
              <w:t>试生产</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kern w:val="0"/>
                <w:szCs w:val="24"/>
              </w:rPr>
              <w:t>201</w:t>
            </w:r>
            <w:r>
              <w:rPr>
                <w:rFonts w:hint="default" w:ascii="Times New Roman" w:hAnsi="Times New Roman" w:eastAsia="宋体" w:cs="Times New Roman"/>
                <w:color w:val="auto"/>
                <w:kern w:val="0"/>
                <w:szCs w:val="24"/>
                <w:lang w:val="en-US" w:eastAsia="zh-CN"/>
              </w:rPr>
              <w:t>6</w:t>
            </w:r>
            <w:r>
              <w:rPr>
                <w:rFonts w:hint="default" w:ascii="Times New Roman" w:hAnsi="Times New Roman" w:eastAsia="宋体" w:cs="Times New Roman"/>
                <w:color w:val="auto"/>
                <w:kern w:val="0"/>
                <w:szCs w:val="24"/>
              </w:rPr>
              <w:t>年</w:t>
            </w:r>
            <w:r>
              <w:rPr>
                <w:rFonts w:hint="default" w:ascii="Times New Roman" w:hAnsi="Times New Roman" w:eastAsia="宋体" w:cs="Times New Roman"/>
                <w:color w:val="auto"/>
                <w:kern w:val="0"/>
                <w:szCs w:val="24"/>
                <w:lang w:val="en-US" w:eastAsia="zh-CN"/>
              </w:rPr>
              <w:t>6</w:t>
            </w:r>
            <w:r>
              <w:rPr>
                <w:rFonts w:hint="default" w:ascii="Times New Roman" w:hAnsi="Times New Roman" w:eastAsia="宋体" w:cs="Times New Roman"/>
                <w:color w:val="auto"/>
                <w:kern w:val="0"/>
                <w:szCs w:val="24"/>
              </w:rPr>
              <w:t>月1</w:t>
            </w:r>
            <w:r>
              <w:rPr>
                <w:rFonts w:hint="default" w:ascii="Times New Roman" w:hAnsi="Times New Roman" w:eastAsia="宋体" w:cs="Times New Roman"/>
                <w:color w:val="auto"/>
                <w:kern w:val="0"/>
                <w:szCs w:val="24"/>
                <w:lang w:val="en-US" w:eastAsia="zh-CN"/>
              </w:rPr>
              <w:t>4</w:t>
            </w:r>
            <w:r>
              <w:rPr>
                <w:rFonts w:hint="default" w:ascii="Times New Roman" w:hAnsi="Times New Roman" w:eastAsia="宋体" w:cs="Times New Roman"/>
                <w:color w:val="auto"/>
                <w:kern w:val="0"/>
                <w:szCs w:val="24"/>
              </w:rPr>
              <w:t>日，原</w:t>
            </w:r>
            <w:r>
              <w:rPr>
                <w:rFonts w:hint="default" w:ascii="Times New Roman" w:hAnsi="Times New Roman" w:eastAsia="宋体" w:cs="Times New Roman"/>
                <w:color w:val="auto"/>
                <w:kern w:val="0"/>
                <w:szCs w:val="24"/>
                <w:lang w:val="en-US" w:eastAsia="zh-CN"/>
              </w:rPr>
              <w:t>环境保护部</w:t>
            </w:r>
            <w:r>
              <w:rPr>
                <w:rFonts w:hint="default" w:ascii="Times New Roman" w:hAnsi="Times New Roman" w:eastAsia="宋体" w:cs="Times New Roman"/>
                <w:color w:val="auto"/>
                <w:kern w:val="0"/>
                <w:szCs w:val="24"/>
              </w:rPr>
              <w:t>以“环验﹝201</w:t>
            </w:r>
            <w:r>
              <w:rPr>
                <w:rFonts w:hint="default" w:ascii="Times New Roman" w:hAnsi="Times New Roman" w:eastAsia="宋体" w:cs="Times New Roman"/>
                <w:color w:val="auto"/>
                <w:kern w:val="0"/>
                <w:szCs w:val="24"/>
                <w:lang w:val="en-US" w:eastAsia="zh-CN"/>
              </w:rPr>
              <w:t>6</w:t>
            </w:r>
            <w:r>
              <w:rPr>
                <w:rFonts w:hint="default" w:ascii="Times New Roman" w:hAnsi="Times New Roman" w:eastAsia="宋体" w:cs="Times New Roman"/>
                <w:color w:val="auto"/>
                <w:kern w:val="0"/>
                <w:szCs w:val="24"/>
              </w:rPr>
              <w:t>﹞</w:t>
            </w:r>
            <w:r>
              <w:rPr>
                <w:rFonts w:hint="default" w:ascii="Times New Roman" w:hAnsi="Times New Roman" w:eastAsia="宋体" w:cs="Times New Roman"/>
                <w:color w:val="auto"/>
                <w:kern w:val="0"/>
                <w:szCs w:val="24"/>
                <w:lang w:val="en-US" w:eastAsia="zh-CN"/>
              </w:rPr>
              <w:t>55</w:t>
            </w:r>
            <w:r>
              <w:rPr>
                <w:rFonts w:hint="default" w:ascii="Times New Roman" w:hAnsi="Times New Roman" w:eastAsia="宋体" w:cs="Times New Roman"/>
                <w:color w:val="auto"/>
                <w:kern w:val="0"/>
                <w:szCs w:val="24"/>
              </w:rPr>
              <w:t>号”文对《</w:t>
            </w:r>
            <w:bookmarkStart w:id="9" w:name="OLE_LINK85"/>
            <w:r>
              <w:rPr>
                <w:rFonts w:hint="default" w:ascii="Times New Roman" w:hAnsi="Times New Roman" w:eastAsia="宋体" w:cs="Times New Roman"/>
                <w:color w:val="auto"/>
                <w:lang w:val="en-US" w:eastAsia="zh-CN"/>
              </w:rPr>
              <w:t>神华集团包头矿业有限责任公司李家壕煤矿建设项目</w:t>
            </w:r>
            <w:r>
              <w:rPr>
                <w:rFonts w:hint="eastAsia" w:ascii="Times New Roman" w:hAnsi="Times New Roman" w:eastAsia="宋体" w:cs="Times New Roman"/>
                <w:color w:val="auto"/>
                <w:lang w:val="en-US" w:eastAsia="zh-CN"/>
              </w:rPr>
              <w:t>竣工环境保护</w:t>
            </w:r>
            <w:r>
              <w:rPr>
                <w:rFonts w:hint="default" w:ascii="Times New Roman" w:hAnsi="Times New Roman" w:eastAsia="宋体" w:cs="Times New Roman"/>
                <w:color w:val="auto"/>
                <w:kern w:val="0"/>
                <w:szCs w:val="24"/>
              </w:rPr>
              <w:t>验收</w:t>
            </w:r>
            <w:r>
              <w:rPr>
                <w:rFonts w:hint="eastAsia" w:ascii="Times New Roman" w:hAnsi="Times New Roman" w:eastAsia="宋体" w:cs="Times New Roman"/>
                <w:color w:val="auto"/>
                <w:kern w:val="0"/>
                <w:szCs w:val="24"/>
                <w:lang w:val="en-US" w:eastAsia="zh-CN"/>
              </w:rPr>
              <w:t>调查</w:t>
            </w:r>
            <w:r>
              <w:rPr>
                <w:rFonts w:hint="default" w:ascii="Times New Roman" w:hAnsi="Times New Roman" w:eastAsia="宋体" w:cs="Times New Roman"/>
                <w:color w:val="auto"/>
                <w:kern w:val="0"/>
                <w:szCs w:val="24"/>
              </w:rPr>
              <w:t>报告</w:t>
            </w:r>
            <w:bookmarkEnd w:id="9"/>
            <w:r>
              <w:rPr>
                <w:rFonts w:hint="default" w:ascii="Times New Roman" w:hAnsi="Times New Roman" w:eastAsia="宋体" w:cs="Times New Roman"/>
                <w:color w:val="auto"/>
                <w:kern w:val="0"/>
                <w:szCs w:val="24"/>
              </w:rPr>
              <w:t>》出具验收意见</w:t>
            </w:r>
            <w:bookmarkEnd w:id="8"/>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lang w:val="en-US" w:eastAsia="zh-CN"/>
              </w:rPr>
              <w:t>附件14</w:t>
            </w:r>
            <w:r>
              <w:rPr>
                <w:rFonts w:hint="eastAsia" w:ascii="Times New Roman" w:hAnsi="Times New Roman" w:eastAsia="宋体" w:cs="Times New Roman"/>
                <w:color w:val="auto"/>
                <w:kern w:val="0"/>
                <w:szCs w:val="24"/>
                <w:lang w:eastAsia="zh-CN"/>
              </w:rPr>
              <w:t>）</w:t>
            </w:r>
            <w:r>
              <w:rPr>
                <w:rFonts w:hint="default" w:ascii="Times New Roman" w:hAnsi="Times New Roman" w:eastAsia="宋体" w:cs="Times New Roman"/>
                <w:color w:val="auto"/>
                <w:kern w:val="0"/>
                <w:szCs w:val="24"/>
              </w:rPr>
              <w:t>。</w:t>
            </w:r>
            <w:r>
              <w:rPr>
                <w:rFonts w:hint="eastAsia" w:ascii="Times New Roman" w:hAnsi="Times New Roman" w:eastAsia="宋体" w:cs="Times New Roman"/>
                <w:color w:val="auto"/>
                <w:kern w:val="0"/>
                <w:szCs w:val="24"/>
              </w:rPr>
              <w:t>2022年</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rPr>
              <w:t>李家壕煤矿委托中煤科工集团武汉设计研究院有限公司编制了《国能包头能源有限责任公司李家壕煤矿二水平开拓延深初步设计变更》。2023年4月</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rPr>
              <w:t>国能包头能源有限责任公司以包能发〔2023〕65号文件对李家壕煤矿二水平开拓延深项目竣工验收予以批复</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lang w:val="en-US" w:eastAsia="zh-CN"/>
              </w:rPr>
              <w:t>附件15</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rPr>
              <w:t>。</w:t>
            </w:r>
          </w:p>
          <w:p w14:paraId="064F8956">
            <w:pPr>
              <w:pStyle w:val="54"/>
              <w:keepNext w:val="0"/>
              <w:keepLines w:val="0"/>
              <w:pageBreakBefore w:val="0"/>
              <w:widowControl w:val="0"/>
              <w:kinsoku/>
              <w:wordWrap/>
              <w:overflowPunct/>
              <w:topLinePunct w:val="0"/>
              <w:autoSpaceDE/>
              <w:autoSpaceDN/>
              <w:bidi w:val="0"/>
              <w:adjustRightInd/>
              <w:spacing w:line="480" w:lineRule="exact"/>
              <w:ind w:firstLine="480"/>
              <w:textAlignment w:val="auto"/>
              <w:rPr>
                <w:rFonts w:hint="eastAsia" w:ascii="Times New Roman" w:hAnsi="Times New Roman" w:eastAsia="宋体" w:cs="Times New Roman"/>
                <w:color w:val="auto"/>
                <w:kern w:val="0"/>
                <w:szCs w:val="24"/>
              </w:rPr>
            </w:pPr>
            <w:r>
              <w:rPr>
                <w:rFonts w:ascii="Times New Roman" w:hAnsi="Times New Roman" w:eastAsia="宋体" w:cs="Times New Roman"/>
                <w:color w:val="auto"/>
                <w:kern w:val="0"/>
                <w:szCs w:val="24"/>
              </w:rPr>
              <w:t>李家壕煤矿采矿许可证批准井田面积67.5453km</w:t>
            </w:r>
            <w:r>
              <w:rPr>
                <w:rFonts w:ascii="Times New Roman" w:hAnsi="Times New Roman" w:eastAsia="宋体" w:cs="Times New Roman"/>
                <w:color w:val="auto"/>
                <w:kern w:val="0"/>
                <w:szCs w:val="24"/>
                <w:vertAlign w:val="superscript"/>
              </w:rPr>
              <w:t>2</w:t>
            </w:r>
            <w:r>
              <w:rPr>
                <w:rFonts w:ascii="Times New Roman" w:hAnsi="Times New Roman" w:eastAsia="宋体" w:cs="Times New Roman"/>
                <w:color w:val="auto"/>
                <w:kern w:val="0"/>
                <w:szCs w:val="24"/>
              </w:rPr>
              <w:t>，但根据《关于协调李家壕煤矿采区范围与东胜城市建设用地界限有关事宜的会议纪要（鄂尔多斯市东胜区人民政府办公室</w:t>
            </w:r>
            <w:r>
              <w:rPr>
                <w:rFonts w:hint="default" w:ascii="Times New Roman" w:hAnsi="Times New Roman" w:eastAsia="宋体" w:cs="Times New Roman"/>
                <w:color w:val="auto"/>
                <w:kern w:val="0"/>
                <w:szCs w:val="24"/>
              </w:rPr>
              <w:t>﹝201</w:t>
            </w:r>
            <w:r>
              <w:rPr>
                <w:rFonts w:hint="eastAsia" w:ascii="Times New Roman" w:hAnsi="Times New Roman" w:eastAsia="宋体" w:cs="Times New Roman"/>
                <w:color w:val="auto"/>
                <w:kern w:val="0"/>
                <w:szCs w:val="24"/>
                <w:lang w:val="en-US" w:eastAsia="zh-CN"/>
              </w:rPr>
              <w:t>2</w:t>
            </w:r>
            <w:r>
              <w:rPr>
                <w:rFonts w:hint="default" w:ascii="Times New Roman" w:hAnsi="Times New Roman" w:eastAsia="宋体" w:cs="Times New Roman"/>
                <w:color w:val="auto"/>
                <w:kern w:val="0"/>
                <w:szCs w:val="24"/>
              </w:rPr>
              <w:t>﹞</w:t>
            </w:r>
            <w:r>
              <w:rPr>
                <w:rFonts w:ascii="Times New Roman" w:hAnsi="Times New Roman" w:eastAsia="宋体" w:cs="Times New Roman"/>
                <w:color w:val="auto"/>
                <w:kern w:val="0"/>
                <w:szCs w:val="24"/>
              </w:rPr>
              <w:t>13号）》</w:t>
            </w:r>
            <w:r>
              <w:rPr>
                <w:rFonts w:hint="eastAsia" w:ascii="Times New Roman" w:hAnsi="Times New Roman" w:eastAsia="宋体" w:cs="Times New Roman"/>
                <w:color w:val="auto"/>
                <w:kern w:val="0"/>
                <w:szCs w:val="24"/>
                <w:highlight w:val="none"/>
                <w:lang w:val="en-US" w:eastAsia="zh-CN"/>
              </w:rPr>
              <w:t>（附件16）</w:t>
            </w:r>
            <w:r>
              <w:rPr>
                <w:rFonts w:ascii="Times New Roman" w:hAnsi="Times New Roman" w:eastAsia="宋体" w:cs="Times New Roman"/>
                <w:color w:val="auto"/>
                <w:kern w:val="0"/>
                <w:szCs w:val="24"/>
              </w:rPr>
              <w:t>，要求保留绕城公路以南、世纪大道以北的城市建设用地。东胜城区规划用地压覆造成李家壕井田的可采面积及储量大幅减少，可采面积为21.13km</w:t>
            </w:r>
            <w:r>
              <w:rPr>
                <w:rFonts w:ascii="Times New Roman" w:hAnsi="Times New Roman" w:eastAsia="宋体" w:cs="Times New Roman"/>
                <w:color w:val="auto"/>
                <w:kern w:val="0"/>
                <w:szCs w:val="24"/>
                <w:vertAlign w:val="superscript"/>
              </w:rPr>
              <w:t>2</w:t>
            </w:r>
            <w:r>
              <w:rPr>
                <w:rFonts w:ascii="Times New Roman" w:hAnsi="Times New Roman" w:eastAsia="宋体" w:cs="Times New Roman"/>
                <w:color w:val="auto"/>
                <w:kern w:val="0"/>
                <w:szCs w:val="24"/>
              </w:rPr>
              <w:t>，</w:t>
            </w:r>
            <w:r>
              <w:rPr>
                <w:rFonts w:hint="eastAsia" w:ascii="Times New Roman" w:hAnsi="Times New Roman" w:eastAsia="宋体" w:cs="Times New Roman"/>
                <w:color w:val="auto"/>
                <w:kern w:val="0"/>
                <w:szCs w:val="24"/>
                <w:lang w:eastAsia="zh-CN"/>
              </w:rPr>
              <w:t>减少</w:t>
            </w:r>
            <w:r>
              <w:rPr>
                <w:rFonts w:ascii="Times New Roman" w:hAnsi="Times New Roman" w:eastAsia="宋体" w:cs="Times New Roman"/>
                <w:color w:val="auto"/>
                <w:kern w:val="0"/>
                <w:szCs w:val="24"/>
              </w:rPr>
              <w:t>了68.7%，地质资源量504.40Mt，减少了67.4%。</w:t>
            </w:r>
            <w:r>
              <w:rPr>
                <w:rFonts w:hint="eastAsia" w:ascii="Times New Roman" w:hAnsi="Times New Roman" w:eastAsia="宋体" w:cs="Times New Roman"/>
                <w:color w:val="auto"/>
                <w:kern w:val="0"/>
                <w:szCs w:val="24"/>
              </w:rPr>
              <w:t>目前矿井按第二次调整开采范围进行组织生产，正在开采5</w:t>
            </w:r>
            <w:r>
              <w:rPr>
                <w:rFonts w:ascii="Times New Roman" w:hAnsi="Times New Roman" w:eastAsia="宋体" w:cs="Times New Roman"/>
                <w:color w:val="auto"/>
                <w:kern w:val="0"/>
                <w:szCs w:val="24"/>
              </w:rPr>
              <w:t>-1</w:t>
            </w:r>
            <w:r>
              <w:rPr>
                <w:rFonts w:hint="eastAsia" w:ascii="Times New Roman" w:hAnsi="Times New Roman" w:eastAsia="宋体" w:cs="Times New Roman"/>
                <w:color w:val="auto"/>
                <w:kern w:val="0"/>
                <w:szCs w:val="24"/>
              </w:rPr>
              <w:t>煤，5</w:t>
            </w:r>
            <w:r>
              <w:rPr>
                <w:rFonts w:ascii="Times New Roman" w:hAnsi="Times New Roman" w:eastAsia="宋体" w:cs="Times New Roman"/>
                <w:color w:val="auto"/>
                <w:kern w:val="0"/>
                <w:szCs w:val="24"/>
              </w:rPr>
              <w:t>11108</w:t>
            </w:r>
            <w:r>
              <w:rPr>
                <w:rFonts w:hint="eastAsia" w:ascii="Times New Roman" w:hAnsi="Times New Roman" w:eastAsia="宋体" w:cs="Times New Roman"/>
                <w:color w:val="auto"/>
                <w:kern w:val="0"/>
                <w:szCs w:val="24"/>
              </w:rPr>
              <w:t>工作面。</w:t>
            </w:r>
          </w:p>
          <w:p w14:paraId="09FF97F1">
            <w:pPr>
              <w:pStyle w:val="54"/>
              <w:keepNext w:val="0"/>
              <w:keepLines w:val="0"/>
              <w:pageBreakBefore w:val="0"/>
              <w:widowControl w:val="0"/>
              <w:kinsoku/>
              <w:wordWrap/>
              <w:overflowPunct/>
              <w:topLinePunct w:val="0"/>
              <w:autoSpaceDE/>
              <w:autoSpaceDN/>
              <w:bidi w:val="0"/>
              <w:adjustRightInd/>
              <w:spacing w:line="480" w:lineRule="exact"/>
              <w:ind w:firstLine="480"/>
              <w:textAlignment w:val="auto"/>
              <w:rPr>
                <w:rFonts w:hint="eastAsia"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highlight w:val="none"/>
                <w:lang w:val="en-US" w:eastAsia="zh-CN"/>
              </w:rPr>
              <w:t>根据《内蒙古自治区人民政府关于&lt;鄂尔多斯市国土空间总体规划（2021-2035年）&gt;的批复（内政字〔2024〕57号）》（附件17），</w:t>
            </w:r>
            <w:r>
              <w:rPr>
                <w:rFonts w:ascii="Times New Roman" w:hAnsi="Times New Roman" w:eastAsia="宋体" w:cs="Times New Roman"/>
                <w:color w:val="auto"/>
                <w:kern w:val="0"/>
                <w:szCs w:val="24"/>
                <w:highlight w:val="none"/>
              </w:rPr>
              <w:t>井田许可开采范围调整至绕城公路以南500m的范围内</w:t>
            </w:r>
            <w:r>
              <w:rPr>
                <w:rFonts w:hint="eastAsia" w:ascii="Times New Roman" w:hAnsi="Times New Roman" w:eastAsia="宋体" w:cs="Times New Roman"/>
                <w:color w:val="auto"/>
                <w:kern w:val="0"/>
                <w:szCs w:val="24"/>
                <w:highlight w:val="none"/>
              </w:rPr>
              <w:t>，</w:t>
            </w:r>
            <w:r>
              <w:rPr>
                <w:rFonts w:hint="eastAsia" w:ascii="Times New Roman" w:hAnsi="Times New Roman" w:eastAsia="宋体" w:cs="Times New Roman"/>
                <w:color w:val="auto"/>
                <w:kern w:val="0"/>
                <w:szCs w:val="24"/>
              </w:rPr>
              <w:t>较原设计开采范围向北平移大约1700m，井田许可开采面积约29.45km</w:t>
            </w:r>
            <w:r>
              <w:rPr>
                <w:rFonts w:hint="eastAsia" w:ascii="Times New Roman" w:hAnsi="Times New Roman" w:eastAsia="宋体" w:cs="Times New Roman"/>
                <w:color w:val="auto"/>
                <w:kern w:val="0"/>
                <w:szCs w:val="24"/>
                <w:vertAlign w:val="superscript"/>
              </w:rPr>
              <w:t>2</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lang w:val="en-US" w:eastAsia="zh-CN"/>
              </w:rPr>
              <w:t>致使矿井已开采区域（南部区域）的北部新增一处可开采范围（北部区域）。为解决新增区域压茬关系释放5-1厚煤层，需在上覆2-2中煤层、3-1煤层中布置一个配采工作面，形成2区2面的生产系统。</w:t>
            </w:r>
            <w:r>
              <w:rPr>
                <w:rFonts w:hint="eastAsia" w:ascii="宋体" w:hAnsi="宋体" w:cs="宋体"/>
                <w:b w:val="0"/>
                <w:bCs w:val="0"/>
                <w:color w:val="auto"/>
                <w:sz w:val="24"/>
                <w:highlight w:val="none"/>
              </w:rPr>
              <w:t>届时矿井通风风量、负压会进一步增大，矿井现有的通风系统将不能满足矿井生产要求，有必要进</w:t>
            </w:r>
            <w:r>
              <w:rPr>
                <w:rFonts w:hint="eastAsia" w:ascii="Arial Narrow" w:hAnsi="Arial Narrow"/>
                <w:b w:val="0"/>
                <w:bCs w:val="0"/>
                <w:color w:val="auto"/>
                <w:sz w:val="24"/>
                <w:highlight w:val="none"/>
              </w:rPr>
              <w:t>行矿井通风系统改造。</w:t>
            </w:r>
            <w:r>
              <w:rPr>
                <w:rFonts w:hint="eastAsia" w:ascii="Times New Roman" w:hAnsi="Times New Roman" w:eastAsia="宋体" w:cs="Times New Roman"/>
                <w:color w:val="auto"/>
                <w:kern w:val="0"/>
                <w:szCs w:val="24"/>
                <w:lang w:val="en-US" w:eastAsia="zh-CN"/>
              </w:rPr>
              <w:t>为实现矿井分区通风，满足矿井通风需求，需要根据目前资源条件及生产系统特点，新建进、回风立井，实现安全合规生产。</w:t>
            </w:r>
          </w:p>
          <w:p w14:paraId="4B01F3B3">
            <w:pPr>
              <w:pStyle w:val="54"/>
              <w:keepNext w:val="0"/>
              <w:keepLines w:val="0"/>
              <w:pageBreakBefore w:val="0"/>
              <w:widowControl w:val="0"/>
              <w:kinsoku/>
              <w:wordWrap/>
              <w:overflowPunct/>
              <w:topLinePunct w:val="0"/>
              <w:autoSpaceDE/>
              <w:autoSpaceDN/>
              <w:bidi w:val="0"/>
              <w:spacing w:line="480" w:lineRule="exact"/>
              <w:ind w:firstLine="480"/>
              <w:textAlignment w:val="auto"/>
              <w:rPr>
                <w:rFonts w:ascii="Times New Roman" w:hAnsi="Times New Roman" w:eastAsia="宋体" w:cs="Times New Roman"/>
                <w:color w:val="auto"/>
                <w:kern w:val="0"/>
                <w:szCs w:val="24"/>
              </w:rPr>
            </w:pPr>
            <w:r>
              <w:rPr>
                <w:rFonts w:hint="eastAsia" w:ascii="Times New Roman" w:hAnsi="Times New Roman" w:eastAsia="宋体" w:cs="Times New Roman"/>
                <w:color w:val="auto"/>
                <w:kern w:val="0"/>
                <w:szCs w:val="24"/>
              </w:rPr>
              <w:t>李家壕煤矿新建进、回风立井后，形成3进2回的通风系统，即主斜井、</w:t>
            </w:r>
            <w:r>
              <w:rPr>
                <w:rFonts w:hint="eastAsia" w:ascii="Times New Roman" w:hAnsi="Times New Roman" w:eastAsia="宋体" w:cs="Times New Roman"/>
                <w:color w:val="auto"/>
                <w:kern w:val="0"/>
                <w:szCs w:val="24"/>
                <w:lang w:val="en-US" w:eastAsia="zh-CN"/>
              </w:rPr>
              <w:t>缓坡</w:t>
            </w:r>
            <w:r>
              <w:rPr>
                <w:rFonts w:hint="eastAsia" w:ascii="Times New Roman" w:hAnsi="Times New Roman" w:eastAsia="宋体" w:cs="Times New Roman"/>
                <w:color w:val="auto"/>
                <w:kern w:val="0"/>
                <w:szCs w:val="24"/>
              </w:rPr>
              <w:t>副斜井和新建进风立井进风，原回风立井和新建回风立井回风。矿井采用分区式通风方式，一个回风井负责一个采区，根据开拓部署，确定新建进、回风立井服务范围为南翼采区（包括5-1煤南翼盘区和6-2煤南翼盘区），服务时间同南翼采区回采时间；原回风井服务于北翼盘区。</w:t>
            </w:r>
          </w:p>
          <w:p w14:paraId="12B4BDDA">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rFonts w:hint="default"/>
                <w:b/>
                <w:bCs/>
                <w:color w:val="auto"/>
                <w:sz w:val="24"/>
                <w:lang w:val="en-US" w:eastAsia="zh-CN"/>
              </w:rPr>
            </w:pPr>
            <w:r>
              <w:rPr>
                <w:rFonts w:hint="eastAsia"/>
                <w:b/>
                <w:bCs/>
                <w:color w:val="auto"/>
                <w:sz w:val="24"/>
                <w:lang w:val="en-US" w:eastAsia="zh-CN"/>
              </w:rPr>
              <w:t>二、现有工程建设内容</w:t>
            </w:r>
          </w:p>
          <w:p w14:paraId="40DC03D1">
            <w:pPr>
              <w:pStyle w:val="54"/>
              <w:keepNext w:val="0"/>
              <w:keepLines w:val="0"/>
              <w:pageBreakBefore w:val="0"/>
              <w:widowControl w:val="0"/>
              <w:kinsoku/>
              <w:wordWrap/>
              <w:overflowPunct/>
              <w:topLinePunct w:val="0"/>
              <w:autoSpaceDE/>
              <w:autoSpaceDN/>
              <w:bidi w:val="0"/>
              <w:spacing w:line="480" w:lineRule="exact"/>
              <w:ind w:firstLine="480"/>
              <w:textAlignment w:val="auto"/>
              <w:rPr>
                <w:rFonts w:hint="default" w:ascii="Times New Roman" w:hAnsi="Times New Roman" w:eastAsia="宋体" w:cs="Times New Roman"/>
                <w:color w:val="auto"/>
                <w:kern w:val="0"/>
                <w:szCs w:val="24"/>
                <w:lang w:val="en-US" w:eastAsia="zh-CN"/>
              </w:rPr>
            </w:pPr>
            <w:r>
              <w:rPr>
                <w:rFonts w:hint="eastAsia" w:ascii="Times New Roman" w:hAnsi="Times New Roman" w:eastAsia="宋体" w:cs="Times New Roman"/>
                <w:color w:val="auto"/>
                <w:kern w:val="0"/>
                <w:szCs w:val="24"/>
                <w:lang w:val="en-US" w:eastAsia="zh-CN"/>
              </w:rPr>
              <w:t>现有工程主要建设内容见下表。</w:t>
            </w:r>
          </w:p>
          <w:p w14:paraId="558C6607">
            <w:pPr>
              <w:keepNext w:val="0"/>
              <w:keepLines w:val="0"/>
              <w:pageBreakBefore w:val="0"/>
              <w:widowControl w:val="0"/>
              <w:kinsoku/>
              <w:wordWrap/>
              <w:overflowPunct/>
              <w:topLinePunct w:val="0"/>
              <w:autoSpaceDE/>
              <w:autoSpaceDN/>
              <w:bidi w:val="0"/>
              <w:adjustRightInd w:val="0"/>
              <w:snapToGrid w:val="0"/>
              <w:spacing w:line="480" w:lineRule="exact"/>
              <w:ind w:firstLine="1205" w:firstLineChars="500"/>
              <w:textAlignment w:val="auto"/>
              <w:rPr>
                <w:rFonts w:hint="default"/>
                <w:b/>
                <w:bCs/>
                <w:color w:val="auto"/>
                <w:sz w:val="24"/>
                <w:lang w:val="en-US" w:eastAsia="zh-CN"/>
              </w:rPr>
            </w:pPr>
            <w:r>
              <w:rPr>
                <w:rFonts w:hint="eastAsia"/>
                <w:b/>
                <w:bCs/>
                <w:color w:val="auto"/>
                <w:sz w:val="24"/>
                <w:lang w:val="en-US" w:eastAsia="zh-CN"/>
              </w:rPr>
              <w:t>表2-2    现有工程项目组成一览表（现有风井）</w:t>
            </w:r>
          </w:p>
          <w:tbl>
            <w:tblPr>
              <w:tblStyle w:val="30"/>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4"/>
              <w:gridCol w:w="1560"/>
              <w:gridCol w:w="6101"/>
            </w:tblGrid>
            <w:tr w14:paraId="3EE31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Align w:val="center"/>
                </w:tcPr>
                <w:p w14:paraId="10A09B18">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类别</w:t>
                  </w:r>
                </w:p>
              </w:tc>
              <w:tc>
                <w:tcPr>
                  <w:tcW w:w="1560" w:type="dxa"/>
                  <w:vAlign w:val="center"/>
                </w:tcPr>
                <w:p w14:paraId="51518F97">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w:t>
                  </w:r>
                </w:p>
              </w:tc>
              <w:tc>
                <w:tcPr>
                  <w:tcW w:w="6101" w:type="dxa"/>
                  <w:vAlign w:val="center"/>
                </w:tcPr>
                <w:p w14:paraId="5B2897B0">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建设内容</w:t>
                  </w:r>
                </w:p>
              </w:tc>
            </w:tr>
            <w:tr w14:paraId="6ECBC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restart"/>
                  <w:vAlign w:val="center"/>
                </w:tcPr>
                <w:p w14:paraId="55757F00">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主体工程</w:t>
                  </w:r>
                </w:p>
              </w:tc>
              <w:tc>
                <w:tcPr>
                  <w:tcW w:w="1560" w:type="dxa"/>
                  <w:vAlign w:val="center"/>
                </w:tcPr>
                <w:p w14:paraId="47957935">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主斜井</w:t>
                  </w:r>
                </w:p>
              </w:tc>
              <w:tc>
                <w:tcPr>
                  <w:tcW w:w="6101" w:type="dxa"/>
                  <w:vAlign w:val="center"/>
                </w:tcPr>
                <w:p w14:paraId="2C0FC842">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主要承担矿井的煤炭提升，且为矿井的进风井。井筒采用半圆拱形断面，净宽4.8m，净断面14.3m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，倾角0～15°，长1339m，井筒延深长度为484m。</w:t>
                  </w:r>
                </w:p>
              </w:tc>
            </w:tr>
            <w:tr w14:paraId="3B8DF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continue"/>
                  <w:vAlign w:val="center"/>
                </w:tcPr>
                <w:p w14:paraId="4BCE117D">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p>
              </w:tc>
              <w:tc>
                <w:tcPr>
                  <w:tcW w:w="1560" w:type="dxa"/>
                  <w:vAlign w:val="center"/>
                </w:tcPr>
                <w:p w14:paraId="34F91F6F">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缓坡</w:t>
                  </w:r>
                  <w:r>
                    <w:rPr>
                      <w:rFonts w:hint="default" w:ascii="Times New Roman" w:hAnsi="Times New Roman" w:cs="Times New Roman"/>
                      <w:color w:val="auto"/>
                      <w:sz w:val="21"/>
                      <w:szCs w:val="21"/>
                      <w:vertAlign w:val="baseline"/>
                      <w:lang w:val="en-US" w:eastAsia="zh-CN"/>
                    </w:rPr>
                    <w:t>副斜井</w:t>
                  </w:r>
                </w:p>
              </w:tc>
              <w:tc>
                <w:tcPr>
                  <w:tcW w:w="6101" w:type="dxa"/>
                  <w:vAlign w:val="center"/>
                </w:tcPr>
                <w:p w14:paraId="38976330">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主要担负矿井的矸石、材料、设备运输和上下人员等辅助运输任务，为矿井的主要进风井。采用半圆拱形断面，净宽5.4m，净断面20.0m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，倾角5.5～6°，斜长2767m，井筒延深长度为756m。</w:t>
                  </w:r>
                </w:p>
              </w:tc>
            </w:tr>
            <w:tr w14:paraId="1DDD6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continue"/>
                  <w:vAlign w:val="center"/>
                </w:tcPr>
                <w:p w14:paraId="03A5775E">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p>
              </w:tc>
              <w:tc>
                <w:tcPr>
                  <w:tcW w:w="1560" w:type="dxa"/>
                  <w:shd w:val="clear" w:color="auto" w:fill="auto"/>
                  <w:vAlign w:val="center"/>
                </w:tcPr>
                <w:p w14:paraId="19F70CD7">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回风立井</w:t>
                  </w:r>
                </w:p>
              </w:tc>
              <w:tc>
                <w:tcPr>
                  <w:tcW w:w="6101" w:type="dxa"/>
                  <w:shd w:val="clear" w:color="auto" w:fill="auto"/>
                  <w:vAlign w:val="center"/>
                </w:tcPr>
                <w:p w14:paraId="576457FC">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矿井的专用回风井。井筒直径5.0m，净断面19.6m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vertAlign w:val="baseline"/>
                      <w:lang w:val="en-US" w:eastAsia="zh-CN" w:bidi="ar-SA"/>
                    </w:rPr>
                    <w:t>，落底3-1煤，井筒深度297.5m。井筒内装备密封梯子间，作为矿井安全出口。</w:t>
                  </w:r>
                </w:p>
              </w:tc>
            </w:tr>
            <w:tr w14:paraId="67C70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continue"/>
                  <w:vAlign w:val="center"/>
                </w:tcPr>
                <w:p w14:paraId="714B8ECA">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p>
              </w:tc>
              <w:tc>
                <w:tcPr>
                  <w:tcW w:w="1560" w:type="dxa"/>
                  <w:vAlign w:val="center"/>
                </w:tcPr>
                <w:p w14:paraId="35E0ADCA">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风机</w:t>
                  </w:r>
                </w:p>
              </w:tc>
              <w:tc>
                <w:tcPr>
                  <w:tcW w:w="6101" w:type="dxa"/>
                  <w:vAlign w:val="center"/>
                </w:tcPr>
                <w:p w14:paraId="723D7801">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现有回风立井井口安装2台FBCDZ№30/2×355型矿用防爆对旋轴流式通风机，1用1备。每台风机配套2台变频隔爆电动机355kW、660V、740r/min。</w:t>
                  </w:r>
                </w:p>
              </w:tc>
            </w:tr>
            <w:tr w14:paraId="06CD3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restart"/>
                  <w:vAlign w:val="center"/>
                </w:tcPr>
                <w:p w14:paraId="2FFF1F42">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公用工程</w:t>
                  </w:r>
                </w:p>
              </w:tc>
              <w:tc>
                <w:tcPr>
                  <w:tcW w:w="1560" w:type="dxa"/>
                  <w:vAlign w:val="center"/>
                </w:tcPr>
                <w:p w14:paraId="340DC800">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供水</w:t>
                  </w:r>
                </w:p>
              </w:tc>
              <w:tc>
                <w:tcPr>
                  <w:tcW w:w="6101" w:type="dxa"/>
                  <w:vAlign w:val="center"/>
                </w:tcPr>
                <w:p w14:paraId="038A1BB1">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Cs w:val="21"/>
                      <w:lang w:val="en-US" w:eastAsia="zh-CN"/>
                    </w:rPr>
                    <w:t>生产用水</w:t>
                  </w:r>
                  <w:r>
                    <w:rPr>
                      <w:rFonts w:hint="default" w:ascii="Times New Roman" w:hAnsi="Times New Roman" w:cs="Times New Roman"/>
                      <w:color w:val="auto"/>
                      <w:szCs w:val="21"/>
                    </w:rPr>
                    <w:t>水源主要为李家壕煤矿工业场地井下水处理站深度处理后的井下排水</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生活用水由东胜区自来水总公司提供</w:t>
                  </w:r>
                </w:p>
              </w:tc>
            </w:tr>
            <w:tr w14:paraId="4AC462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continue"/>
                  <w:vAlign w:val="center"/>
                </w:tcPr>
                <w:p w14:paraId="79B2CE0D">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p>
              </w:tc>
              <w:tc>
                <w:tcPr>
                  <w:tcW w:w="1560" w:type="dxa"/>
                  <w:vAlign w:val="center"/>
                </w:tcPr>
                <w:p w14:paraId="0C7238CE">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供电</w:t>
                  </w:r>
                </w:p>
              </w:tc>
              <w:tc>
                <w:tcPr>
                  <w:tcW w:w="6101" w:type="dxa"/>
                  <w:vAlign w:val="center"/>
                </w:tcPr>
                <w:p w14:paraId="74E12913">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电源引自</w:t>
                  </w:r>
                  <w:r>
                    <w:rPr>
                      <w:rFonts w:hint="default" w:ascii="Times New Roman" w:hAnsi="Times New Roman" w:cs="Times New Roman"/>
                      <w:color w:val="auto"/>
                      <w:szCs w:val="21"/>
                    </w:rPr>
                    <w:t>矿井35kV变电所</w:t>
                  </w:r>
                </w:p>
              </w:tc>
            </w:tr>
            <w:tr w14:paraId="206EB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continue"/>
                  <w:vAlign w:val="center"/>
                </w:tcPr>
                <w:p w14:paraId="39252BA3">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p>
              </w:tc>
              <w:tc>
                <w:tcPr>
                  <w:tcW w:w="1560" w:type="dxa"/>
                  <w:vAlign w:val="center"/>
                </w:tcPr>
                <w:p w14:paraId="54940E89">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采暖</w:t>
                  </w:r>
                </w:p>
              </w:tc>
              <w:tc>
                <w:tcPr>
                  <w:tcW w:w="6101" w:type="dxa"/>
                  <w:vAlign w:val="center"/>
                </w:tcPr>
                <w:p w14:paraId="7908ACE7">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工 业 场 地 设 锅 炉 房 1座 ，锅炉房采暖期设3台DZL14-1.25/115/70-AII型锅炉（2用1备）；非采暖期运行1台DZL4.2-1.0/115/70-AII 型锅炉。</w:t>
                  </w:r>
                </w:p>
              </w:tc>
            </w:tr>
            <w:tr w14:paraId="43022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Align w:val="center"/>
                </w:tcPr>
                <w:p w14:paraId="03A480FA">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道路</w:t>
                  </w:r>
                </w:p>
              </w:tc>
              <w:tc>
                <w:tcPr>
                  <w:tcW w:w="1560" w:type="dxa"/>
                  <w:vAlign w:val="center"/>
                </w:tcPr>
                <w:p w14:paraId="7DE85BDD">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场外道路</w:t>
                  </w:r>
                </w:p>
              </w:tc>
              <w:tc>
                <w:tcPr>
                  <w:tcW w:w="6101" w:type="dxa"/>
                  <w:vAlign w:val="center"/>
                </w:tcPr>
                <w:p w14:paraId="5997E774">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风井道路全长1.46km，采用辅助道路设计标准，道路的路面、路基宽分别为3.5m和4.5m。</w:t>
                  </w:r>
                </w:p>
              </w:tc>
            </w:tr>
            <w:tr w14:paraId="4671A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restart"/>
                  <w:vAlign w:val="center"/>
                </w:tcPr>
                <w:p w14:paraId="28C25ADC">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环保工程</w:t>
                  </w:r>
                </w:p>
              </w:tc>
              <w:tc>
                <w:tcPr>
                  <w:tcW w:w="1560" w:type="dxa"/>
                  <w:vAlign w:val="center"/>
                </w:tcPr>
                <w:p w14:paraId="1D2DF881">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废水</w:t>
                  </w:r>
                </w:p>
              </w:tc>
              <w:tc>
                <w:tcPr>
                  <w:tcW w:w="6101" w:type="dxa"/>
                  <w:vAlign w:val="center"/>
                </w:tcPr>
                <w:p w14:paraId="580A3586">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生活污水经煤矿生活污水处理站处理，处理后回用于选煤厂生产补充水，不外排。</w:t>
                  </w:r>
                </w:p>
              </w:tc>
            </w:tr>
            <w:tr w14:paraId="09B08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continue"/>
                  <w:vAlign w:val="center"/>
                </w:tcPr>
                <w:p w14:paraId="644DCB78">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p>
              </w:tc>
              <w:tc>
                <w:tcPr>
                  <w:tcW w:w="1560" w:type="dxa"/>
                  <w:vAlign w:val="center"/>
                </w:tcPr>
                <w:p w14:paraId="08FDADE2">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噪声</w:t>
                  </w:r>
                </w:p>
              </w:tc>
              <w:tc>
                <w:tcPr>
                  <w:tcW w:w="6101" w:type="dxa"/>
                  <w:vAlign w:val="center"/>
                </w:tcPr>
                <w:p w14:paraId="35EC4119">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Cs w:val="21"/>
                    </w:rPr>
                    <w:t>选用低噪声设备，通风机进、出气口安装消声器，设置隔声罩。</w:t>
                  </w:r>
                </w:p>
              </w:tc>
            </w:tr>
            <w:tr w14:paraId="62C75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 w:type="dxa"/>
                  <w:vMerge w:val="continue"/>
                  <w:vAlign w:val="center"/>
                </w:tcPr>
                <w:p w14:paraId="7EBFC830">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p>
              </w:tc>
              <w:tc>
                <w:tcPr>
                  <w:tcW w:w="1560" w:type="dxa"/>
                  <w:vAlign w:val="center"/>
                </w:tcPr>
                <w:p w14:paraId="3C66F277">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固废</w:t>
                  </w:r>
                </w:p>
              </w:tc>
              <w:tc>
                <w:tcPr>
                  <w:tcW w:w="6101" w:type="dxa"/>
                  <w:vAlign w:val="center"/>
                </w:tcPr>
                <w:p w14:paraId="275D73D4">
                  <w:pPr>
                    <w:keepNext w:val="0"/>
                    <w:keepLines w:val="0"/>
                    <w:pageBreakBefore w:val="0"/>
                    <w:widowControl w:val="0"/>
                    <w:kinsoku/>
                    <w:wordWrap/>
                    <w:overflowPunct/>
                    <w:topLinePunct w:val="0"/>
                    <w:autoSpaceDE/>
                    <w:autoSpaceDN/>
                    <w:bidi w:val="0"/>
                    <w:adjustRightInd w:val="0"/>
                    <w:snapToGrid w:val="0"/>
                    <w:spacing w:line="300" w:lineRule="exact"/>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生活垃圾收集后交由当地环卫部门定期清运。</w:t>
                  </w:r>
                </w:p>
              </w:tc>
            </w:tr>
          </w:tbl>
          <w:p w14:paraId="0F5E363C">
            <w:pPr>
              <w:pStyle w:val="5"/>
              <w:spacing w:before="0" w:after="0" w:line="480" w:lineRule="exact"/>
              <w:ind w:right="0" w:firstLine="482" w:firstLineChars="200"/>
              <w:rPr>
                <w:rFonts w:hint="default" w:eastAsia="宋体"/>
                <w:b/>
                <w:color w:val="auto"/>
                <w:sz w:val="24"/>
                <w:szCs w:val="24"/>
                <w:lang w:val="en-US" w:eastAsia="zh-CN"/>
              </w:rPr>
            </w:pPr>
            <w:r>
              <w:rPr>
                <w:rFonts w:hint="eastAsia"/>
                <w:b/>
                <w:color w:val="auto"/>
                <w:sz w:val="24"/>
                <w:szCs w:val="24"/>
                <w:lang w:val="en-US" w:eastAsia="zh-CN"/>
              </w:rPr>
              <w:t>三、扩建工程建设内容</w:t>
            </w:r>
          </w:p>
          <w:p w14:paraId="0A66E6FB">
            <w:pPr>
              <w:pStyle w:val="5"/>
              <w:spacing w:before="0" w:after="0" w:line="480" w:lineRule="exact"/>
              <w:ind w:right="0" w:firstLine="482" w:firstLineChars="200"/>
              <w:rPr>
                <w:b/>
                <w:color w:val="auto"/>
                <w:sz w:val="24"/>
                <w:szCs w:val="24"/>
              </w:rPr>
            </w:pPr>
            <w:r>
              <w:rPr>
                <w:rFonts w:hint="eastAsia"/>
                <w:b/>
                <w:color w:val="auto"/>
                <w:sz w:val="24"/>
                <w:szCs w:val="24"/>
                <w:lang w:val="en-US" w:eastAsia="zh-CN"/>
              </w:rPr>
              <w:t>1</w:t>
            </w:r>
            <w:r>
              <w:rPr>
                <w:rFonts w:hint="eastAsia"/>
                <w:b/>
                <w:color w:val="auto"/>
                <w:sz w:val="24"/>
                <w:szCs w:val="24"/>
              </w:rPr>
              <w:t>、</w:t>
            </w:r>
            <w:r>
              <w:rPr>
                <w:b/>
                <w:color w:val="auto"/>
                <w:sz w:val="24"/>
                <w:szCs w:val="24"/>
              </w:rPr>
              <w:t>项目基本情况</w:t>
            </w:r>
          </w:p>
          <w:p w14:paraId="308C9859">
            <w:pPr>
              <w:spacing w:line="480" w:lineRule="exact"/>
              <w:ind w:firstLine="480"/>
              <w:rPr>
                <w:color w:val="auto"/>
                <w:sz w:val="24"/>
              </w:rPr>
            </w:pPr>
            <w:r>
              <w:rPr>
                <w:bCs/>
                <w:color w:val="auto"/>
                <w:sz w:val="24"/>
              </w:rPr>
              <w:t>项目名称：</w:t>
            </w:r>
            <w:r>
              <w:rPr>
                <w:color w:val="auto"/>
                <w:sz w:val="24"/>
              </w:rPr>
              <w:t>李家壕煤矿</w:t>
            </w:r>
            <w:r>
              <w:rPr>
                <w:rFonts w:hint="eastAsia"/>
                <w:color w:val="auto"/>
                <w:sz w:val="24"/>
              </w:rPr>
              <w:t>二号回风立井项目</w:t>
            </w:r>
          </w:p>
          <w:p w14:paraId="25A6FF31">
            <w:pPr>
              <w:spacing w:line="480" w:lineRule="exact"/>
              <w:ind w:firstLine="480"/>
              <w:rPr>
                <w:bCs/>
                <w:color w:val="auto"/>
                <w:sz w:val="24"/>
              </w:rPr>
            </w:pPr>
            <w:r>
              <w:rPr>
                <w:bCs/>
                <w:color w:val="auto"/>
                <w:sz w:val="24"/>
              </w:rPr>
              <w:t>建设单位：</w:t>
            </w:r>
            <w:r>
              <w:rPr>
                <w:color w:val="auto"/>
                <w:sz w:val="24"/>
              </w:rPr>
              <w:t>国能</w:t>
            </w:r>
            <w:r>
              <w:rPr>
                <w:rFonts w:hint="eastAsia"/>
                <w:color w:val="auto"/>
                <w:sz w:val="24"/>
              </w:rPr>
              <w:t>包头</w:t>
            </w:r>
            <w:r>
              <w:rPr>
                <w:color w:val="auto"/>
                <w:sz w:val="24"/>
              </w:rPr>
              <w:t>能源有限责任公司</w:t>
            </w:r>
            <w:r>
              <w:rPr>
                <w:rFonts w:hint="eastAsia"/>
                <w:color w:val="auto"/>
                <w:sz w:val="24"/>
              </w:rPr>
              <w:t>李家壕煤矿</w:t>
            </w:r>
          </w:p>
          <w:p w14:paraId="2FB4D459">
            <w:pPr>
              <w:adjustRightInd w:val="0"/>
              <w:snapToGrid w:val="0"/>
              <w:spacing w:line="480" w:lineRule="exact"/>
              <w:ind w:firstLine="480" w:firstLineChars="200"/>
              <w:jc w:val="left"/>
              <w:rPr>
                <w:bCs/>
                <w:color w:val="auto"/>
                <w:sz w:val="24"/>
              </w:rPr>
            </w:pPr>
            <w:r>
              <w:rPr>
                <w:bCs/>
                <w:color w:val="auto"/>
                <w:sz w:val="24"/>
              </w:rPr>
              <w:t>建设地点：</w:t>
            </w:r>
            <w:r>
              <w:rPr>
                <w:color w:val="auto"/>
                <w:sz w:val="24"/>
              </w:rPr>
              <w:t>内蒙古自治区鄂尔多斯市东胜区罕台镇查干</w:t>
            </w:r>
            <w:r>
              <w:rPr>
                <w:rFonts w:hint="eastAsia"/>
                <w:color w:val="auto"/>
                <w:sz w:val="24"/>
              </w:rPr>
              <w:t>布拉格</w:t>
            </w:r>
            <w:r>
              <w:rPr>
                <w:color w:val="auto"/>
                <w:sz w:val="24"/>
              </w:rPr>
              <w:t>村</w:t>
            </w:r>
            <w:r>
              <w:rPr>
                <w:rFonts w:hint="eastAsia"/>
                <w:color w:val="auto"/>
                <w:sz w:val="24"/>
              </w:rPr>
              <w:t>李家壕煤矿</w:t>
            </w:r>
          </w:p>
          <w:p w14:paraId="21E36EDE">
            <w:pPr>
              <w:widowControl/>
              <w:spacing w:line="480" w:lineRule="exact"/>
              <w:ind w:firstLine="480" w:firstLineChars="200"/>
              <w:rPr>
                <w:bCs/>
                <w:color w:val="auto"/>
                <w:sz w:val="24"/>
              </w:rPr>
            </w:pPr>
            <w:r>
              <w:rPr>
                <w:bCs/>
                <w:color w:val="auto"/>
                <w:sz w:val="24"/>
              </w:rPr>
              <w:t>占地面积：项目</w:t>
            </w:r>
            <w:r>
              <w:rPr>
                <w:rFonts w:hint="eastAsia"/>
                <w:bCs/>
                <w:color w:val="auto"/>
                <w:sz w:val="24"/>
              </w:rPr>
              <w:t>总</w:t>
            </w:r>
            <w:r>
              <w:rPr>
                <w:color w:val="auto"/>
                <w:sz w:val="24"/>
              </w:rPr>
              <w:t>占地面积</w:t>
            </w:r>
            <w:r>
              <w:rPr>
                <w:rFonts w:hint="eastAsia"/>
                <w:color w:val="auto"/>
                <w:sz w:val="24"/>
              </w:rPr>
              <w:t>10771</w:t>
            </w:r>
            <w:r>
              <w:rPr>
                <w:color w:val="auto"/>
                <w:sz w:val="24"/>
              </w:rPr>
              <w:t>m</w:t>
            </w:r>
            <w:r>
              <w:rPr>
                <w:color w:val="auto"/>
                <w:sz w:val="24"/>
                <w:vertAlign w:val="superscript"/>
              </w:rPr>
              <w:t>2</w:t>
            </w:r>
          </w:p>
          <w:p w14:paraId="3DE303A5">
            <w:pPr>
              <w:spacing w:line="480" w:lineRule="exact"/>
              <w:ind w:firstLine="480"/>
              <w:rPr>
                <w:bCs/>
                <w:color w:val="auto"/>
                <w:sz w:val="24"/>
              </w:rPr>
            </w:pPr>
            <w:r>
              <w:rPr>
                <w:bCs/>
                <w:color w:val="auto"/>
                <w:sz w:val="24"/>
              </w:rPr>
              <w:t>建设性质：</w:t>
            </w:r>
            <w:r>
              <w:rPr>
                <w:rFonts w:hint="eastAsia"/>
                <w:bCs/>
                <w:color w:val="auto"/>
                <w:sz w:val="24"/>
                <w:lang w:val="en-US" w:eastAsia="zh-CN"/>
              </w:rPr>
              <w:t>扩</w:t>
            </w:r>
            <w:r>
              <w:rPr>
                <w:rFonts w:hint="eastAsia"/>
                <w:bCs/>
                <w:color w:val="auto"/>
                <w:sz w:val="24"/>
              </w:rPr>
              <w:t>建</w:t>
            </w:r>
          </w:p>
          <w:p w14:paraId="184D9B6C">
            <w:pPr>
              <w:spacing w:line="480" w:lineRule="exact"/>
              <w:ind w:firstLine="480"/>
              <w:rPr>
                <w:bCs/>
                <w:color w:val="auto"/>
                <w:sz w:val="24"/>
              </w:rPr>
            </w:pPr>
            <w:r>
              <w:rPr>
                <w:bCs/>
                <w:color w:val="auto"/>
                <w:sz w:val="24"/>
              </w:rPr>
              <w:t>投资规模：总投资为</w:t>
            </w:r>
            <w:r>
              <w:rPr>
                <w:rFonts w:hint="eastAsia"/>
                <w:color w:val="auto"/>
                <w:sz w:val="24"/>
              </w:rPr>
              <w:t>6000</w:t>
            </w:r>
            <w:r>
              <w:rPr>
                <w:bCs/>
                <w:color w:val="auto"/>
                <w:sz w:val="24"/>
              </w:rPr>
              <w:t>万元，其中环保投资</w:t>
            </w:r>
            <w:r>
              <w:rPr>
                <w:rFonts w:hint="eastAsia"/>
                <w:bCs/>
                <w:color w:val="auto"/>
                <w:sz w:val="24"/>
              </w:rPr>
              <w:t>79.1</w:t>
            </w:r>
            <w:r>
              <w:rPr>
                <w:bCs/>
                <w:color w:val="auto"/>
                <w:sz w:val="24"/>
              </w:rPr>
              <w:t>万元，占总投资额的</w:t>
            </w:r>
            <w:r>
              <w:rPr>
                <w:rFonts w:hint="eastAsia"/>
                <w:bCs/>
                <w:color w:val="auto"/>
                <w:sz w:val="24"/>
              </w:rPr>
              <w:t>1.32</w:t>
            </w:r>
            <w:r>
              <w:rPr>
                <w:bCs/>
                <w:color w:val="auto"/>
                <w:sz w:val="24"/>
              </w:rPr>
              <w:t>%。</w:t>
            </w:r>
          </w:p>
          <w:p w14:paraId="551CFF8A">
            <w:pPr>
              <w:pStyle w:val="5"/>
              <w:spacing w:before="0" w:after="0" w:line="480" w:lineRule="exact"/>
              <w:ind w:right="0" w:firstLine="482" w:firstLineChars="200"/>
              <w:rPr>
                <w:b/>
                <w:color w:val="auto"/>
                <w:sz w:val="24"/>
                <w:szCs w:val="24"/>
              </w:rPr>
            </w:pPr>
            <w:r>
              <w:rPr>
                <w:rFonts w:hint="eastAsia"/>
                <w:b/>
                <w:color w:val="auto"/>
                <w:sz w:val="24"/>
                <w:szCs w:val="24"/>
                <w:lang w:val="en-US" w:eastAsia="zh-CN"/>
              </w:rPr>
              <w:t>2</w:t>
            </w:r>
            <w:r>
              <w:rPr>
                <w:rFonts w:hint="eastAsia"/>
                <w:b/>
                <w:color w:val="auto"/>
                <w:sz w:val="24"/>
                <w:szCs w:val="24"/>
              </w:rPr>
              <w:t>、</w:t>
            </w:r>
            <w:r>
              <w:rPr>
                <w:b/>
                <w:color w:val="auto"/>
                <w:sz w:val="24"/>
                <w:szCs w:val="24"/>
              </w:rPr>
              <w:t>建设内容及规模</w:t>
            </w:r>
          </w:p>
          <w:p w14:paraId="6D12986D">
            <w:pPr>
              <w:adjustRightInd w:val="0"/>
              <w:snapToGrid w:val="0"/>
              <w:spacing w:line="480" w:lineRule="exact"/>
              <w:ind w:firstLine="480" w:firstLineChars="200"/>
              <w:rPr>
                <w:color w:val="auto"/>
                <w:sz w:val="24"/>
              </w:rPr>
            </w:pPr>
            <w:r>
              <w:rPr>
                <w:color w:val="auto"/>
                <w:sz w:val="24"/>
              </w:rPr>
              <w:t>工程建设内容</w:t>
            </w:r>
            <w:r>
              <w:rPr>
                <w:rFonts w:hint="eastAsia"/>
                <w:color w:val="auto"/>
                <w:sz w:val="24"/>
                <w:lang w:val="en-US" w:eastAsia="zh-CN"/>
              </w:rPr>
              <w:t>为新建了1座风井场地，主要</w:t>
            </w:r>
            <w:r>
              <w:rPr>
                <w:color w:val="auto"/>
                <w:sz w:val="24"/>
              </w:rPr>
              <w:t>包括</w:t>
            </w:r>
            <w:r>
              <w:rPr>
                <w:rFonts w:hint="eastAsia"/>
                <w:color w:val="auto"/>
                <w:sz w:val="24"/>
                <w:szCs w:val="24"/>
                <w:lang w:val="en-US" w:eastAsia="zh-CN"/>
              </w:rPr>
              <w:t>1座进风立井、1座回风立井</w:t>
            </w:r>
            <w:r>
              <w:rPr>
                <w:color w:val="auto"/>
                <w:sz w:val="24"/>
                <w:szCs w:val="24"/>
              </w:rPr>
              <w:t>及配套</w:t>
            </w:r>
            <w:r>
              <w:rPr>
                <w:rFonts w:hint="eastAsia"/>
                <w:color w:val="auto"/>
                <w:sz w:val="24"/>
                <w:szCs w:val="24"/>
                <w:lang w:val="en-US" w:eastAsia="zh-CN"/>
              </w:rPr>
              <w:t>的公辅工程和环保工程</w:t>
            </w:r>
            <w:r>
              <w:rPr>
                <w:color w:val="auto"/>
                <w:sz w:val="24"/>
              </w:rPr>
              <w:t>等。本项目工程组成见表2-</w:t>
            </w:r>
            <w:r>
              <w:rPr>
                <w:rFonts w:hint="eastAsia"/>
                <w:color w:val="auto"/>
                <w:sz w:val="24"/>
                <w:lang w:val="en-US" w:eastAsia="zh-CN"/>
              </w:rPr>
              <w:t>3</w:t>
            </w:r>
            <w:r>
              <w:rPr>
                <w:color w:val="auto"/>
                <w:sz w:val="24"/>
              </w:rPr>
              <w:t>。</w:t>
            </w:r>
          </w:p>
          <w:p w14:paraId="3E28D6F4">
            <w:pPr>
              <w:widowControl/>
              <w:spacing w:line="480" w:lineRule="exact"/>
              <w:jc w:val="center"/>
              <w:rPr>
                <w:b/>
                <w:bCs/>
                <w:color w:val="auto"/>
                <w:kern w:val="0"/>
                <w:sz w:val="24"/>
              </w:rPr>
            </w:pPr>
            <w:r>
              <w:rPr>
                <w:b/>
                <w:bCs/>
                <w:color w:val="auto"/>
                <w:kern w:val="0"/>
                <w:sz w:val="24"/>
              </w:rPr>
              <w:t>表2-</w:t>
            </w:r>
            <w:r>
              <w:rPr>
                <w:rFonts w:hint="eastAsia"/>
                <w:b/>
                <w:bCs/>
                <w:color w:val="auto"/>
                <w:kern w:val="0"/>
                <w:sz w:val="24"/>
                <w:lang w:val="en-US" w:eastAsia="zh-CN"/>
              </w:rPr>
              <w:t>3</w:t>
            </w:r>
            <w:r>
              <w:rPr>
                <w:b/>
                <w:bCs/>
                <w:color w:val="auto"/>
                <w:kern w:val="0"/>
                <w:sz w:val="24"/>
              </w:rPr>
              <w:t xml:space="preserve">  工程组成一览表</w:t>
            </w:r>
          </w:p>
          <w:tbl>
            <w:tblPr>
              <w:tblStyle w:val="29"/>
              <w:tblW w:w="4990" w:type="pct"/>
              <w:tblInd w:w="6"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436"/>
              <w:gridCol w:w="1176"/>
              <w:gridCol w:w="6274"/>
              <w:gridCol w:w="437"/>
            </w:tblGrid>
            <w:tr w14:paraId="606436B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tcBorders>
                    <w:tl2br w:val="nil"/>
                    <w:tr2bl w:val="nil"/>
                  </w:tcBorders>
                  <w:vAlign w:val="center"/>
                </w:tcPr>
                <w:p w14:paraId="7AD216F9">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分类</w:t>
                  </w:r>
                </w:p>
              </w:tc>
              <w:tc>
                <w:tcPr>
                  <w:tcW w:w="706" w:type="pct"/>
                  <w:tcBorders>
                    <w:tl2br w:val="nil"/>
                    <w:tr2bl w:val="nil"/>
                  </w:tcBorders>
                  <w:vAlign w:val="center"/>
                </w:tcPr>
                <w:p w14:paraId="17FA7980">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工程</w:t>
                  </w:r>
                </w:p>
                <w:p w14:paraId="6DE09C01">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名称</w:t>
                  </w:r>
                </w:p>
              </w:tc>
              <w:tc>
                <w:tcPr>
                  <w:tcW w:w="3768" w:type="pct"/>
                  <w:tcBorders>
                    <w:tl2br w:val="nil"/>
                    <w:tr2bl w:val="nil"/>
                  </w:tcBorders>
                  <w:vAlign w:val="center"/>
                </w:tcPr>
                <w:p w14:paraId="20EFCC4C">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主要建设内容</w:t>
                  </w:r>
                </w:p>
              </w:tc>
              <w:tc>
                <w:tcPr>
                  <w:tcW w:w="262" w:type="pct"/>
                  <w:tcBorders>
                    <w:tl2br w:val="nil"/>
                    <w:tr2bl w:val="nil"/>
                  </w:tcBorders>
                  <w:vAlign w:val="center"/>
                </w:tcPr>
                <w:p w14:paraId="3ECEF74A">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备注</w:t>
                  </w:r>
                </w:p>
              </w:tc>
            </w:tr>
            <w:tr w14:paraId="2347A75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restart"/>
                  <w:tcBorders>
                    <w:tl2br w:val="nil"/>
                    <w:tr2bl w:val="nil"/>
                  </w:tcBorders>
                  <w:vAlign w:val="center"/>
                </w:tcPr>
                <w:p w14:paraId="49323B09">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主体</w:t>
                  </w:r>
                </w:p>
                <w:p w14:paraId="563EB9F8">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工程</w:t>
                  </w:r>
                </w:p>
              </w:tc>
              <w:tc>
                <w:tcPr>
                  <w:tcW w:w="706" w:type="pct"/>
                  <w:tcBorders>
                    <w:tl2br w:val="nil"/>
                    <w:tr2bl w:val="nil"/>
                  </w:tcBorders>
                  <w:vAlign w:val="center"/>
                </w:tcPr>
                <w:p w14:paraId="1579B3BC">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r>
                    <w:rPr>
                      <w:snapToGrid w:val="0"/>
                      <w:color w:val="auto"/>
                      <w:szCs w:val="21"/>
                    </w:rPr>
                    <w:t>进风立井</w:t>
                  </w:r>
                </w:p>
              </w:tc>
              <w:tc>
                <w:tcPr>
                  <w:tcW w:w="3768" w:type="pct"/>
                  <w:tcBorders>
                    <w:tl2br w:val="nil"/>
                    <w:tr2bl w:val="nil"/>
                  </w:tcBorders>
                  <w:vAlign w:val="center"/>
                </w:tcPr>
                <w:p w14:paraId="73279DE0">
                  <w:pPr>
                    <w:pStyle w:val="55"/>
                    <w:keepNext w:val="0"/>
                    <w:keepLines w:val="0"/>
                    <w:pageBreakBefore w:val="0"/>
                    <w:kinsoku/>
                    <w:wordWrap/>
                    <w:topLinePunct w:val="0"/>
                    <w:autoSpaceDE/>
                    <w:autoSpaceDN/>
                    <w:bidi w:val="0"/>
                    <w:snapToGrid w:val="0"/>
                    <w:spacing w:line="310" w:lineRule="exact"/>
                    <w:ind w:firstLine="420"/>
                    <w:textAlignment w:val="auto"/>
                    <w:rPr>
                      <w:rFonts w:ascii="Times New Roman" w:hAnsi="Times New Roman" w:eastAsia="宋体" w:cs="Times New Roman"/>
                      <w:color w:val="auto"/>
                      <w:sz w:val="21"/>
                    </w:rPr>
                  </w:pPr>
                  <w:r>
                    <w:rPr>
                      <w:rFonts w:ascii="Times New Roman" w:hAnsi="Times New Roman" w:eastAsia="宋体" w:cs="Times New Roman"/>
                      <w:snapToGrid w:val="0"/>
                      <w:color w:val="auto"/>
                      <w:sz w:val="21"/>
                    </w:rPr>
                    <w:t>进风立井井口坐标：X=</w:t>
                  </w:r>
                  <w:r>
                    <w:rPr>
                      <w:rFonts w:ascii="Times New Roman" w:hAnsi="Times New Roman" w:eastAsia="宋体" w:cs="Times New Roman"/>
                      <w:snapToGrid w:val="0"/>
                      <w:color w:val="auto"/>
                      <w:sz w:val="21"/>
                      <w:lang w:val="zh-CN"/>
                    </w:rPr>
                    <w:t>4401945.726</w:t>
                  </w:r>
                  <w:r>
                    <w:rPr>
                      <w:rFonts w:ascii="Times New Roman" w:hAnsi="Times New Roman" w:eastAsia="宋体" w:cs="Times New Roman"/>
                      <w:snapToGrid w:val="0"/>
                      <w:color w:val="auto"/>
                      <w:sz w:val="21"/>
                    </w:rPr>
                    <w:t>、Y=</w:t>
                  </w:r>
                  <w:r>
                    <w:rPr>
                      <w:rFonts w:ascii="Times New Roman" w:hAnsi="Times New Roman" w:eastAsia="宋体" w:cs="Times New Roman"/>
                      <w:snapToGrid w:val="0"/>
                      <w:color w:val="auto"/>
                      <w:sz w:val="21"/>
                      <w:lang w:val="zh-CN"/>
                    </w:rPr>
                    <w:t>37416536.137</w:t>
                  </w:r>
                  <w:r>
                    <w:rPr>
                      <w:rFonts w:ascii="Times New Roman" w:hAnsi="Times New Roman" w:eastAsia="宋体" w:cs="Times New Roman"/>
                      <w:snapToGrid w:val="0"/>
                      <w:color w:val="auto"/>
                      <w:sz w:val="21"/>
                    </w:rPr>
                    <w:t>，井口标高+</w:t>
                  </w:r>
                  <w:r>
                    <w:rPr>
                      <w:rFonts w:hint="eastAsia" w:ascii="Times New Roman" w:hAnsi="Times New Roman" w:eastAsia="宋体" w:cs="Times New Roman"/>
                      <w:snapToGrid w:val="0"/>
                      <w:color w:val="auto"/>
                      <w:sz w:val="21"/>
                    </w:rPr>
                    <w:t>1412.0</w:t>
                  </w:r>
                  <w:r>
                    <w:rPr>
                      <w:rFonts w:ascii="Times New Roman" w:hAnsi="Times New Roman" w:eastAsia="宋体" w:cs="Times New Roman"/>
                      <w:snapToGrid w:val="0"/>
                      <w:color w:val="auto"/>
                      <w:sz w:val="21"/>
                    </w:rPr>
                    <w:t>m，井底标高+</w:t>
                  </w:r>
                  <w:r>
                    <w:rPr>
                      <w:rFonts w:hint="eastAsia" w:ascii="Times New Roman" w:hAnsi="Times New Roman" w:eastAsia="宋体" w:cs="Times New Roman"/>
                      <w:snapToGrid w:val="0"/>
                      <w:color w:val="auto"/>
                      <w:sz w:val="21"/>
                    </w:rPr>
                    <w:t>1112.0</w:t>
                  </w:r>
                  <w:r>
                    <w:rPr>
                      <w:rFonts w:ascii="Times New Roman" w:hAnsi="Times New Roman" w:eastAsia="宋体" w:cs="Times New Roman"/>
                      <w:snapToGrid w:val="0"/>
                      <w:color w:val="auto"/>
                      <w:sz w:val="21"/>
                    </w:rPr>
                    <w:t>m，落底于</w:t>
                  </w:r>
                  <w:r>
                    <w:rPr>
                      <w:rFonts w:hint="eastAsia" w:ascii="Times New Roman" w:hAnsi="Times New Roman" w:eastAsia="宋体" w:cs="Times New Roman"/>
                      <w:snapToGrid w:val="0"/>
                      <w:color w:val="auto"/>
                      <w:sz w:val="21"/>
                    </w:rPr>
                    <w:t>5-</w:t>
                  </w:r>
                  <w:r>
                    <w:rPr>
                      <w:rFonts w:ascii="Times New Roman" w:hAnsi="Times New Roman" w:eastAsia="宋体" w:cs="Times New Roman"/>
                      <w:snapToGrid w:val="0"/>
                      <w:color w:val="auto"/>
                      <w:sz w:val="21"/>
                    </w:rPr>
                    <w:t>1煤层底板，</w:t>
                  </w:r>
                  <w:r>
                    <w:rPr>
                      <w:rFonts w:ascii="Times New Roman" w:hAnsi="Times New Roman" w:eastAsia="宋体" w:cs="Times New Roman"/>
                      <w:color w:val="auto"/>
                      <w:sz w:val="21"/>
                    </w:rPr>
                    <w:t>井筒</w:t>
                  </w:r>
                  <w:r>
                    <w:rPr>
                      <w:rFonts w:ascii="Times New Roman" w:hAnsi="Times New Roman" w:eastAsia="宋体" w:cs="Times New Roman"/>
                      <w:snapToGrid w:val="0"/>
                      <w:color w:val="auto"/>
                      <w:sz w:val="21"/>
                    </w:rPr>
                    <w:t>垂深约</w:t>
                  </w:r>
                  <w:r>
                    <w:rPr>
                      <w:rFonts w:hint="eastAsia" w:ascii="Times New Roman" w:hAnsi="Times New Roman" w:eastAsia="宋体" w:cs="Times New Roman"/>
                      <w:snapToGrid w:val="0"/>
                      <w:color w:val="auto"/>
                      <w:sz w:val="21"/>
                    </w:rPr>
                    <w:t>300</w:t>
                  </w:r>
                  <w:r>
                    <w:rPr>
                      <w:rFonts w:ascii="Times New Roman" w:hAnsi="Times New Roman" w:eastAsia="宋体" w:cs="Times New Roman"/>
                      <w:snapToGrid w:val="0"/>
                      <w:color w:val="auto"/>
                      <w:sz w:val="21"/>
                    </w:rPr>
                    <w:t>m，</w:t>
                  </w:r>
                  <w:r>
                    <w:rPr>
                      <w:rFonts w:ascii="Times New Roman" w:hAnsi="Times New Roman" w:eastAsia="宋体" w:cs="Times New Roman"/>
                      <w:color w:val="auto"/>
                      <w:sz w:val="21"/>
                    </w:rPr>
                    <w:t>净直径5.0m，净断面积19.6m</w:t>
                  </w:r>
                  <w:r>
                    <w:rPr>
                      <w:rFonts w:ascii="Times New Roman" w:hAnsi="Times New Roman" w:eastAsia="宋体" w:cs="Times New Roman"/>
                      <w:color w:val="auto"/>
                      <w:sz w:val="21"/>
                      <w:vertAlign w:val="superscript"/>
                    </w:rPr>
                    <w:t>2</w:t>
                  </w:r>
                  <w:r>
                    <w:rPr>
                      <w:rFonts w:ascii="Times New Roman" w:hAnsi="Times New Roman" w:eastAsia="宋体" w:cs="Times New Roman"/>
                      <w:color w:val="auto"/>
                      <w:sz w:val="21"/>
                    </w:rPr>
                    <w:t>，为圆形断面，倾角90°</w:t>
                  </w:r>
                  <w:r>
                    <w:rPr>
                      <w:rFonts w:hint="eastAsia" w:ascii="Times New Roman" w:hAnsi="Times New Roman" w:eastAsia="宋体" w:cs="Times New Roman"/>
                      <w:color w:val="auto"/>
                      <w:sz w:val="21"/>
                    </w:rPr>
                    <w:t>，</w:t>
                  </w:r>
                  <w:r>
                    <w:rPr>
                      <w:rFonts w:ascii="Times New Roman" w:hAnsi="Times New Roman" w:eastAsia="宋体" w:cs="Times New Roman"/>
                      <w:color w:val="auto"/>
                      <w:sz w:val="21"/>
                    </w:rPr>
                    <w:t>担负矿井各煤组南翼盘区进风任务。</w:t>
                  </w:r>
                  <w:r>
                    <w:rPr>
                      <w:rFonts w:hint="eastAsia" w:ascii="Times New Roman" w:hAnsi="Times New Roman" w:eastAsia="宋体" w:cs="Times New Roman"/>
                      <w:color w:val="auto"/>
                      <w:sz w:val="21"/>
                    </w:rPr>
                    <w:t>进</w:t>
                  </w:r>
                  <w:r>
                    <w:rPr>
                      <w:rFonts w:ascii="Times New Roman" w:hAnsi="Times New Roman" w:eastAsia="宋体" w:cs="Times New Roman"/>
                      <w:color w:val="auto"/>
                      <w:sz w:val="21"/>
                    </w:rPr>
                    <w:t>风立井最大风量为100.0m</w:t>
                  </w:r>
                  <w:r>
                    <w:rPr>
                      <w:rFonts w:ascii="Times New Roman" w:hAnsi="Times New Roman" w:eastAsia="宋体" w:cs="Times New Roman"/>
                      <w:color w:val="auto"/>
                      <w:sz w:val="21"/>
                      <w:vertAlign w:val="superscript"/>
                    </w:rPr>
                    <w:t>3</w:t>
                  </w:r>
                  <w:r>
                    <w:rPr>
                      <w:rFonts w:ascii="Times New Roman" w:hAnsi="Times New Roman" w:eastAsia="宋体" w:cs="Times New Roman"/>
                      <w:color w:val="auto"/>
                      <w:sz w:val="21"/>
                    </w:rPr>
                    <w:t>/s。</w:t>
                  </w:r>
                </w:p>
                <w:p w14:paraId="2F449064">
                  <w:pPr>
                    <w:pStyle w:val="55"/>
                    <w:keepNext w:val="0"/>
                    <w:keepLines w:val="0"/>
                    <w:pageBreakBefore w:val="0"/>
                    <w:kinsoku/>
                    <w:wordWrap/>
                    <w:topLinePunct w:val="0"/>
                    <w:autoSpaceDE/>
                    <w:autoSpaceDN/>
                    <w:bidi w:val="0"/>
                    <w:snapToGrid w:val="0"/>
                    <w:spacing w:line="310" w:lineRule="exact"/>
                    <w:ind w:firstLine="420"/>
                    <w:textAlignment w:val="auto"/>
                    <w:rPr>
                      <w:rFonts w:ascii="Times New Roman" w:hAnsi="Times New Roman" w:eastAsia="宋体" w:cs="Times New Roman"/>
                      <w:color w:val="auto"/>
                      <w:sz w:val="21"/>
                    </w:rPr>
                  </w:pPr>
                  <w:r>
                    <w:rPr>
                      <w:rFonts w:ascii="Times New Roman" w:hAnsi="Times New Roman" w:eastAsia="宋体" w:cs="Times New Roman"/>
                      <w:color w:val="auto"/>
                      <w:sz w:val="21"/>
                    </w:rPr>
                    <w:t>井筒结构：表土采用钢筋混凝土支护，基岩段采用锚网喷+混凝土支护。</w:t>
                  </w:r>
                </w:p>
              </w:tc>
              <w:tc>
                <w:tcPr>
                  <w:tcW w:w="262" w:type="pct"/>
                  <w:tcBorders>
                    <w:tl2br w:val="nil"/>
                    <w:tr2bl w:val="nil"/>
                  </w:tcBorders>
                  <w:vAlign w:val="center"/>
                </w:tcPr>
                <w:p w14:paraId="4C3622AB">
                  <w:pPr>
                    <w:keepNext w:val="0"/>
                    <w:keepLines w:val="0"/>
                    <w:pageBreakBefore w:val="0"/>
                    <w:tabs>
                      <w:tab w:val="left" w:pos="1260"/>
                    </w:tabs>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767972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6B773551">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vAlign w:val="center"/>
                </w:tcPr>
                <w:p w14:paraId="33126E16">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r>
                    <w:rPr>
                      <w:snapToGrid w:val="0"/>
                      <w:color w:val="auto"/>
                      <w:szCs w:val="21"/>
                    </w:rPr>
                    <w:t>回风立井</w:t>
                  </w:r>
                </w:p>
              </w:tc>
              <w:tc>
                <w:tcPr>
                  <w:tcW w:w="3768" w:type="pct"/>
                  <w:tcBorders>
                    <w:tl2br w:val="nil"/>
                    <w:tr2bl w:val="nil"/>
                  </w:tcBorders>
                  <w:vAlign w:val="center"/>
                </w:tcPr>
                <w:p w14:paraId="303671DB">
                  <w:pPr>
                    <w:pStyle w:val="55"/>
                    <w:keepNext w:val="0"/>
                    <w:keepLines w:val="0"/>
                    <w:pageBreakBefore w:val="0"/>
                    <w:kinsoku/>
                    <w:wordWrap/>
                    <w:topLinePunct w:val="0"/>
                    <w:autoSpaceDE/>
                    <w:autoSpaceDN/>
                    <w:bidi w:val="0"/>
                    <w:snapToGrid w:val="0"/>
                    <w:spacing w:line="310" w:lineRule="exact"/>
                    <w:ind w:firstLine="420"/>
                    <w:textAlignment w:val="auto"/>
                    <w:rPr>
                      <w:rFonts w:ascii="Times New Roman" w:hAnsi="Times New Roman" w:eastAsia="宋体" w:cs="Times New Roman"/>
                      <w:color w:val="auto"/>
                      <w:sz w:val="21"/>
                    </w:rPr>
                  </w:pPr>
                  <w:r>
                    <w:rPr>
                      <w:rFonts w:hint="eastAsia" w:ascii="Times New Roman" w:hAnsi="Times New Roman" w:eastAsia="宋体" w:cs="Times New Roman"/>
                      <w:snapToGrid w:val="0"/>
                      <w:color w:val="auto"/>
                      <w:sz w:val="21"/>
                    </w:rPr>
                    <w:t>回</w:t>
                  </w:r>
                  <w:r>
                    <w:rPr>
                      <w:rFonts w:ascii="Times New Roman" w:hAnsi="Times New Roman" w:eastAsia="宋体" w:cs="Times New Roman"/>
                      <w:snapToGrid w:val="0"/>
                      <w:color w:val="auto"/>
                      <w:sz w:val="21"/>
                    </w:rPr>
                    <w:t>风立井井口坐标：X=</w:t>
                  </w:r>
                  <w:r>
                    <w:rPr>
                      <w:rFonts w:ascii="Times New Roman" w:hAnsi="Times New Roman" w:eastAsia="宋体" w:cs="Times New Roman"/>
                      <w:snapToGrid w:val="0"/>
                      <w:color w:val="auto"/>
                      <w:sz w:val="21"/>
                      <w:lang w:val="zh-CN"/>
                    </w:rPr>
                    <w:t>4401964.744</w:t>
                  </w:r>
                  <w:r>
                    <w:rPr>
                      <w:rFonts w:ascii="Times New Roman" w:hAnsi="Times New Roman" w:eastAsia="宋体" w:cs="Times New Roman"/>
                      <w:snapToGrid w:val="0"/>
                      <w:color w:val="auto"/>
                      <w:sz w:val="21"/>
                    </w:rPr>
                    <w:t>、Y=</w:t>
                  </w:r>
                  <w:r>
                    <w:rPr>
                      <w:rFonts w:ascii="Times New Roman" w:hAnsi="Times New Roman" w:eastAsia="宋体" w:cs="Times New Roman"/>
                      <w:snapToGrid w:val="0"/>
                      <w:color w:val="auto"/>
                      <w:sz w:val="21"/>
                      <w:lang w:val="zh-CN"/>
                    </w:rPr>
                    <w:t>37416491.616</w:t>
                  </w:r>
                  <w:r>
                    <w:rPr>
                      <w:rFonts w:ascii="Times New Roman" w:hAnsi="Times New Roman" w:eastAsia="宋体" w:cs="Times New Roman"/>
                      <w:snapToGrid w:val="0"/>
                      <w:color w:val="auto"/>
                      <w:sz w:val="21"/>
                    </w:rPr>
                    <w:t>，井口标高+</w:t>
                  </w:r>
                  <w:r>
                    <w:rPr>
                      <w:rFonts w:hint="eastAsia" w:ascii="Times New Roman" w:hAnsi="Times New Roman" w:eastAsia="宋体" w:cs="Times New Roman"/>
                      <w:snapToGrid w:val="0"/>
                      <w:color w:val="auto"/>
                      <w:sz w:val="21"/>
                    </w:rPr>
                    <w:t>1412.0</w:t>
                  </w:r>
                  <w:r>
                    <w:rPr>
                      <w:rFonts w:ascii="Times New Roman" w:hAnsi="Times New Roman" w:eastAsia="宋体" w:cs="Times New Roman"/>
                      <w:snapToGrid w:val="0"/>
                      <w:color w:val="auto"/>
                      <w:sz w:val="21"/>
                    </w:rPr>
                    <w:t>m，井底标高+</w:t>
                  </w:r>
                  <w:r>
                    <w:rPr>
                      <w:rFonts w:hint="eastAsia" w:ascii="Times New Roman" w:hAnsi="Times New Roman" w:eastAsia="宋体" w:cs="Times New Roman"/>
                      <w:snapToGrid w:val="0"/>
                      <w:color w:val="auto"/>
                      <w:sz w:val="21"/>
                    </w:rPr>
                    <w:t>1112.0</w:t>
                  </w:r>
                  <w:r>
                    <w:rPr>
                      <w:rFonts w:ascii="Times New Roman" w:hAnsi="Times New Roman" w:eastAsia="宋体" w:cs="Times New Roman"/>
                      <w:snapToGrid w:val="0"/>
                      <w:color w:val="auto"/>
                      <w:sz w:val="21"/>
                    </w:rPr>
                    <w:t>m，落底于</w:t>
                  </w:r>
                  <w:r>
                    <w:rPr>
                      <w:rFonts w:hint="eastAsia" w:ascii="Times New Roman" w:hAnsi="Times New Roman" w:eastAsia="宋体" w:cs="Times New Roman"/>
                      <w:snapToGrid w:val="0"/>
                      <w:color w:val="auto"/>
                      <w:sz w:val="21"/>
                    </w:rPr>
                    <w:t>5-</w:t>
                  </w:r>
                  <w:r>
                    <w:rPr>
                      <w:rFonts w:ascii="Times New Roman" w:hAnsi="Times New Roman" w:eastAsia="宋体" w:cs="Times New Roman"/>
                      <w:snapToGrid w:val="0"/>
                      <w:color w:val="auto"/>
                      <w:sz w:val="21"/>
                    </w:rPr>
                    <w:t>1煤层底板，</w:t>
                  </w:r>
                  <w:r>
                    <w:rPr>
                      <w:rFonts w:ascii="Times New Roman" w:hAnsi="Times New Roman" w:eastAsia="宋体" w:cs="Times New Roman"/>
                      <w:color w:val="auto"/>
                      <w:sz w:val="21"/>
                    </w:rPr>
                    <w:t>井筒</w:t>
                  </w:r>
                  <w:r>
                    <w:rPr>
                      <w:rFonts w:ascii="Times New Roman" w:hAnsi="Times New Roman" w:eastAsia="宋体" w:cs="Times New Roman"/>
                      <w:snapToGrid w:val="0"/>
                      <w:color w:val="auto"/>
                      <w:sz w:val="21"/>
                    </w:rPr>
                    <w:t>垂深约</w:t>
                  </w:r>
                  <w:r>
                    <w:rPr>
                      <w:rFonts w:hint="eastAsia" w:ascii="Times New Roman" w:hAnsi="Times New Roman" w:eastAsia="宋体" w:cs="Times New Roman"/>
                      <w:snapToGrid w:val="0"/>
                      <w:color w:val="auto"/>
                      <w:sz w:val="21"/>
                    </w:rPr>
                    <w:t>300</w:t>
                  </w:r>
                  <w:r>
                    <w:rPr>
                      <w:rFonts w:ascii="Times New Roman" w:hAnsi="Times New Roman" w:eastAsia="宋体" w:cs="Times New Roman"/>
                      <w:snapToGrid w:val="0"/>
                      <w:color w:val="auto"/>
                      <w:sz w:val="21"/>
                    </w:rPr>
                    <w:t>m，</w:t>
                  </w:r>
                  <w:r>
                    <w:rPr>
                      <w:rFonts w:ascii="Times New Roman" w:hAnsi="Times New Roman" w:eastAsia="宋体" w:cs="Times New Roman"/>
                      <w:color w:val="auto"/>
                      <w:sz w:val="21"/>
                    </w:rPr>
                    <w:t>净直径5.0m，净断面积19.6m</w:t>
                  </w:r>
                  <w:r>
                    <w:rPr>
                      <w:rFonts w:ascii="Times New Roman" w:hAnsi="Times New Roman" w:eastAsia="宋体" w:cs="Times New Roman"/>
                      <w:color w:val="auto"/>
                      <w:sz w:val="21"/>
                      <w:vertAlign w:val="superscript"/>
                    </w:rPr>
                    <w:t>2</w:t>
                  </w:r>
                  <w:r>
                    <w:rPr>
                      <w:rFonts w:ascii="Times New Roman" w:hAnsi="Times New Roman" w:eastAsia="宋体" w:cs="Times New Roman"/>
                      <w:color w:val="auto"/>
                      <w:sz w:val="21"/>
                    </w:rPr>
                    <w:t>，为圆形断面，倾角90°</w:t>
                  </w:r>
                  <w:r>
                    <w:rPr>
                      <w:rFonts w:hint="eastAsia" w:ascii="Times New Roman" w:hAnsi="Times New Roman" w:eastAsia="宋体" w:cs="Times New Roman"/>
                      <w:color w:val="auto"/>
                      <w:sz w:val="21"/>
                    </w:rPr>
                    <w:t>，</w:t>
                  </w:r>
                  <w:r>
                    <w:rPr>
                      <w:rFonts w:ascii="Times New Roman" w:hAnsi="Times New Roman" w:eastAsia="宋体" w:cs="Times New Roman"/>
                      <w:color w:val="auto"/>
                      <w:sz w:val="21"/>
                    </w:rPr>
                    <w:t>担负矿井各煤组南翼盘区</w:t>
                  </w:r>
                  <w:r>
                    <w:rPr>
                      <w:rFonts w:hint="eastAsia" w:ascii="Times New Roman" w:hAnsi="Times New Roman" w:eastAsia="宋体" w:cs="Times New Roman"/>
                      <w:color w:val="auto"/>
                      <w:sz w:val="21"/>
                    </w:rPr>
                    <w:t>回</w:t>
                  </w:r>
                  <w:r>
                    <w:rPr>
                      <w:rFonts w:ascii="Times New Roman" w:hAnsi="Times New Roman" w:eastAsia="宋体" w:cs="Times New Roman"/>
                      <w:color w:val="auto"/>
                      <w:sz w:val="21"/>
                    </w:rPr>
                    <w:t>风任务。回风立井最大风量为1</w:t>
                  </w:r>
                  <w:r>
                    <w:rPr>
                      <w:rFonts w:hint="eastAsia" w:ascii="Times New Roman" w:hAnsi="Times New Roman" w:eastAsia="宋体" w:cs="Times New Roman"/>
                      <w:color w:val="auto"/>
                      <w:sz w:val="21"/>
                    </w:rPr>
                    <w:t>3</w:t>
                  </w:r>
                  <w:r>
                    <w:rPr>
                      <w:rFonts w:ascii="Times New Roman" w:hAnsi="Times New Roman" w:eastAsia="宋体" w:cs="Times New Roman"/>
                      <w:color w:val="auto"/>
                      <w:sz w:val="21"/>
                    </w:rPr>
                    <w:t>0.0m</w:t>
                  </w:r>
                  <w:r>
                    <w:rPr>
                      <w:rFonts w:ascii="Times New Roman" w:hAnsi="Times New Roman" w:eastAsia="宋体" w:cs="Times New Roman"/>
                      <w:color w:val="auto"/>
                      <w:sz w:val="21"/>
                      <w:vertAlign w:val="superscript"/>
                    </w:rPr>
                    <w:t>3</w:t>
                  </w:r>
                  <w:r>
                    <w:rPr>
                      <w:rFonts w:ascii="Times New Roman" w:hAnsi="Times New Roman" w:eastAsia="宋体" w:cs="Times New Roman"/>
                      <w:color w:val="auto"/>
                      <w:sz w:val="21"/>
                    </w:rPr>
                    <w:t>/s。</w:t>
                  </w:r>
                  <w:r>
                    <w:rPr>
                      <w:rFonts w:ascii="Times New Roman" w:hAnsi="Times New Roman" w:eastAsia="宋体" w:cs="Times New Roman"/>
                      <w:snapToGrid w:val="0"/>
                      <w:color w:val="auto"/>
                      <w:sz w:val="21"/>
                    </w:rPr>
                    <w:t>井筒内装备玻璃钢梯子间，兼作矿井安全出口。</w:t>
                  </w:r>
                </w:p>
                <w:p w14:paraId="23145A4D">
                  <w:pPr>
                    <w:keepNext w:val="0"/>
                    <w:keepLines w:val="0"/>
                    <w:pageBreakBefore w:val="0"/>
                    <w:tabs>
                      <w:tab w:val="left" w:pos="1260"/>
                    </w:tabs>
                    <w:kinsoku/>
                    <w:wordWrap/>
                    <w:topLinePunct w:val="0"/>
                    <w:autoSpaceDE/>
                    <w:autoSpaceDN/>
                    <w:bidi w:val="0"/>
                    <w:adjustRightInd w:val="0"/>
                    <w:snapToGrid w:val="0"/>
                    <w:spacing w:line="310" w:lineRule="exact"/>
                    <w:ind w:firstLine="420" w:firstLineChars="200"/>
                    <w:textAlignment w:val="auto"/>
                    <w:rPr>
                      <w:color w:val="auto"/>
                      <w:szCs w:val="21"/>
                    </w:rPr>
                  </w:pPr>
                  <w:r>
                    <w:rPr>
                      <w:color w:val="auto"/>
                      <w:szCs w:val="21"/>
                    </w:rPr>
                    <w:t>井筒结构：表土采用钢筋混凝土支护，基岩段采用锚网喷+混凝土支护。</w:t>
                  </w:r>
                </w:p>
              </w:tc>
              <w:tc>
                <w:tcPr>
                  <w:tcW w:w="262" w:type="pct"/>
                  <w:tcBorders>
                    <w:tl2br w:val="nil"/>
                    <w:tr2bl w:val="nil"/>
                  </w:tcBorders>
                  <w:vAlign w:val="center"/>
                </w:tcPr>
                <w:p w14:paraId="4C7F2E7D">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4005D25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30BCE139">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shd w:val="clear" w:color="auto" w:fill="auto"/>
                  <w:vAlign w:val="center"/>
                </w:tcPr>
                <w:p w14:paraId="2399A1F0">
                  <w:pPr>
                    <w:keepNext w:val="0"/>
                    <w:keepLines w:val="0"/>
                    <w:pageBreakBefore w:val="0"/>
                    <w:kinsoku/>
                    <w:wordWrap/>
                    <w:overflowPunct w:val="0"/>
                    <w:topLinePunct w:val="0"/>
                    <w:autoSpaceDE/>
                    <w:autoSpaceDN/>
                    <w:bidi w:val="0"/>
                    <w:adjustRightInd w:val="0"/>
                    <w:snapToGrid w:val="0"/>
                    <w:spacing w:line="310" w:lineRule="exact"/>
                    <w:jc w:val="center"/>
                    <w:textAlignment w:val="auto"/>
                    <w:rPr>
                      <w:color w:val="auto"/>
                      <w:szCs w:val="21"/>
                    </w:rPr>
                  </w:pPr>
                  <w:r>
                    <w:rPr>
                      <w:color w:val="auto"/>
                      <w:szCs w:val="21"/>
                    </w:rPr>
                    <w:t>风道</w:t>
                  </w:r>
                </w:p>
              </w:tc>
              <w:tc>
                <w:tcPr>
                  <w:tcW w:w="3768" w:type="pct"/>
                  <w:tcBorders>
                    <w:tl2br w:val="nil"/>
                    <w:tr2bl w:val="nil"/>
                  </w:tcBorders>
                  <w:shd w:val="clear" w:color="auto" w:fill="auto"/>
                  <w:vAlign w:val="center"/>
                </w:tcPr>
                <w:p w14:paraId="66A78AA6">
                  <w:pPr>
                    <w:keepNext w:val="0"/>
                    <w:keepLines w:val="0"/>
                    <w:pageBreakBefore w:val="0"/>
                    <w:kinsoku/>
                    <w:wordWrap/>
                    <w:topLinePunct w:val="0"/>
                    <w:autoSpaceDE/>
                    <w:autoSpaceDN/>
                    <w:bidi w:val="0"/>
                    <w:adjustRightInd w:val="0"/>
                    <w:snapToGrid w:val="0"/>
                    <w:spacing w:line="310" w:lineRule="exact"/>
                    <w:jc w:val="left"/>
                    <w:textAlignment w:val="auto"/>
                    <w:rPr>
                      <w:color w:val="auto"/>
                      <w:spacing w:val="-2"/>
                      <w:szCs w:val="21"/>
                    </w:rPr>
                  </w:pPr>
                  <w:r>
                    <w:rPr>
                      <w:rFonts w:hint="eastAsia"/>
                      <w:color w:val="auto"/>
                      <w:spacing w:val="-2"/>
                      <w:szCs w:val="21"/>
                    </w:rPr>
                    <w:t>采用钢筋混凝土箱形暗道，埋地，长×宽×高=3.5m×3.5m×80m。风道两侧设置风门房，采用钢筋混凝土框架结构，建筑面积27m</w:t>
                  </w:r>
                  <w:r>
                    <w:rPr>
                      <w:rFonts w:hint="eastAsia"/>
                      <w:color w:val="auto"/>
                      <w:spacing w:val="-2"/>
                      <w:szCs w:val="21"/>
                      <w:vertAlign w:val="superscript"/>
                    </w:rPr>
                    <w:t>2</w:t>
                  </w:r>
                  <w:r>
                    <w:rPr>
                      <w:rFonts w:hint="eastAsia"/>
                      <w:color w:val="auto"/>
                      <w:spacing w:val="-2"/>
                      <w:szCs w:val="21"/>
                    </w:rPr>
                    <w:t>。</w:t>
                  </w:r>
                </w:p>
              </w:tc>
              <w:tc>
                <w:tcPr>
                  <w:tcW w:w="262" w:type="pct"/>
                  <w:tcBorders>
                    <w:tl2br w:val="nil"/>
                    <w:tr2bl w:val="nil"/>
                  </w:tcBorders>
                  <w:vAlign w:val="center"/>
                </w:tcPr>
                <w:p w14:paraId="6978B72B">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7374E2F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51C9D952">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shd w:val="clear" w:color="auto" w:fill="auto"/>
                  <w:vAlign w:val="center"/>
                </w:tcPr>
                <w:p w14:paraId="548D59C3">
                  <w:pPr>
                    <w:keepNext w:val="0"/>
                    <w:keepLines w:val="0"/>
                    <w:pageBreakBefore w:val="0"/>
                    <w:kinsoku/>
                    <w:wordWrap/>
                    <w:overflowPunct w:val="0"/>
                    <w:topLinePunct w:val="0"/>
                    <w:autoSpaceDE/>
                    <w:autoSpaceDN/>
                    <w:bidi w:val="0"/>
                    <w:adjustRightInd w:val="0"/>
                    <w:snapToGrid w:val="0"/>
                    <w:spacing w:line="310" w:lineRule="exact"/>
                    <w:jc w:val="center"/>
                    <w:textAlignment w:val="auto"/>
                    <w:rPr>
                      <w:bCs/>
                      <w:color w:val="auto"/>
                      <w:szCs w:val="21"/>
                    </w:rPr>
                  </w:pPr>
                  <w:r>
                    <w:rPr>
                      <w:color w:val="auto"/>
                      <w:szCs w:val="21"/>
                    </w:rPr>
                    <w:t>通风机</w:t>
                  </w:r>
                </w:p>
              </w:tc>
              <w:tc>
                <w:tcPr>
                  <w:tcW w:w="3768" w:type="pct"/>
                  <w:tcBorders>
                    <w:tl2br w:val="nil"/>
                    <w:tr2bl w:val="nil"/>
                  </w:tcBorders>
                  <w:shd w:val="clear" w:color="auto" w:fill="auto"/>
                  <w:vAlign w:val="center"/>
                </w:tcPr>
                <w:p w14:paraId="395326F1">
                  <w:pPr>
                    <w:keepNext w:val="0"/>
                    <w:keepLines w:val="0"/>
                    <w:pageBreakBefore w:val="0"/>
                    <w:kinsoku/>
                    <w:wordWrap/>
                    <w:topLinePunct w:val="0"/>
                    <w:autoSpaceDE/>
                    <w:autoSpaceDN/>
                    <w:bidi w:val="0"/>
                    <w:adjustRightInd w:val="0"/>
                    <w:snapToGrid w:val="0"/>
                    <w:spacing w:line="310" w:lineRule="exact"/>
                    <w:ind w:firstLine="412" w:firstLineChars="200"/>
                    <w:jc w:val="left"/>
                    <w:textAlignment w:val="auto"/>
                    <w:rPr>
                      <w:color w:val="auto"/>
                      <w:spacing w:val="-2"/>
                      <w:szCs w:val="21"/>
                    </w:rPr>
                  </w:pPr>
                  <w:r>
                    <w:rPr>
                      <w:color w:val="auto"/>
                      <w:spacing w:val="-2"/>
                      <w:szCs w:val="21"/>
                    </w:rPr>
                    <w:t>位于回风立井井口</w:t>
                  </w:r>
                  <w:r>
                    <w:rPr>
                      <w:color w:val="auto"/>
                      <w:kern w:val="0"/>
                      <w:szCs w:val="21"/>
                    </w:rPr>
                    <w:t>，选</w:t>
                  </w:r>
                  <w:r>
                    <w:rPr>
                      <w:color w:val="auto"/>
                      <w:spacing w:val="-2"/>
                      <w:szCs w:val="21"/>
                    </w:rPr>
                    <w:t>用</w:t>
                  </w:r>
                  <w:r>
                    <w:rPr>
                      <w:rFonts w:hint="eastAsia"/>
                      <w:color w:val="auto"/>
                      <w:spacing w:val="-2"/>
                      <w:szCs w:val="21"/>
                    </w:rPr>
                    <w:t>2台FCZ-2450/1400C型轴流式矿井</w:t>
                  </w:r>
                  <w:r>
                    <w:rPr>
                      <w:color w:val="auto"/>
                      <w:spacing w:val="-2"/>
                      <w:szCs w:val="21"/>
                    </w:rPr>
                    <w:t>通风机，一用一备，</w:t>
                  </w:r>
                  <w:r>
                    <w:rPr>
                      <w:rFonts w:hint="eastAsia"/>
                      <w:color w:val="auto"/>
                      <w:spacing w:val="-2"/>
                      <w:szCs w:val="21"/>
                    </w:rPr>
                    <w:t>每台通风机配1台YBBP5004-6型高压异步变频电动机（630kW，10kV，990r/min）</w:t>
                  </w:r>
                  <w:r>
                    <w:rPr>
                      <w:color w:val="auto"/>
                      <w:spacing w:val="-2"/>
                      <w:szCs w:val="21"/>
                    </w:rPr>
                    <w:t>。</w:t>
                  </w:r>
                </w:p>
                <w:p w14:paraId="741C4F33">
                  <w:pPr>
                    <w:keepNext w:val="0"/>
                    <w:keepLines w:val="0"/>
                    <w:pageBreakBefore w:val="0"/>
                    <w:kinsoku/>
                    <w:wordWrap/>
                    <w:topLinePunct w:val="0"/>
                    <w:autoSpaceDE/>
                    <w:autoSpaceDN/>
                    <w:bidi w:val="0"/>
                    <w:adjustRightInd w:val="0"/>
                    <w:snapToGrid w:val="0"/>
                    <w:spacing w:line="310" w:lineRule="exact"/>
                    <w:ind w:firstLine="412" w:firstLineChars="200"/>
                    <w:jc w:val="left"/>
                    <w:textAlignment w:val="auto"/>
                    <w:rPr>
                      <w:color w:val="auto"/>
                      <w:spacing w:val="-2"/>
                      <w:szCs w:val="21"/>
                    </w:rPr>
                  </w:pPr>
                  <w:r>
                    <w:rPr>
                      <w:rFonts w:hint="eastAsia"/>
                      <w:color w:val="auto"/>
                      <w:spacing w:val="-2"/>
                      <w:szCs w:val="21"/>
                    </w:rPr>
                    <w:t>每台风机配闸板风门1个、立式旋叶风门1个、水平对空风门1个。</w:t>
                  </w:r>
                </w:p>
              </w:tc>
              <w:tc>
                <w:tcPr>
                  <w:tcW w:w="262" w:type="pct"/>
                  <w:tcBorders>
                    <w:tl2br w:val="nil"/>
                    <w:tr2bl w:val="nil"/>
                  </w:tcBorders>
                  <w:vAlign w:val="center"/>
                </w:tcPr>
                <w:p w14:paraId="0B89D22C">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255E28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0E423447">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shd w:val="clear" w:color="auto" w:fill="auto"/>
                  <w:vAlign w:val="center"/>
                </w:tcPr>
                <w:p w14:paraId="0162424E">
                  <w:pPr>
                    <w:keepNext w:val="0"/>
                    <w:keepLines w:val="0"/>
                    <w:pageBreakBefore w:val="0"/>
                    <w:kinsoku/>
                    <w:wordWrap/>
                    <w:overflowPunct w:val="0"/>
                    <w:topLinePunct w:val="0"/>
                    <w:autoSpaceDE/>
                    <w:autoSpaceDN/>
                    <w:bidi w:val="0"/>
                    <w:adjustRightInd w:val="0"/>
                    <w:snapToGrid w:val="0"/>
                    <w:spacing w:line="310" w:lineRule="exact"/>
                    <w:jc w:val="center"/>
                    <w:textAlignment w:val="auto"/>
                    <w:rPr>
                      <w:color w:val="auto"/>
                      <w:szCs w:val="21"/>
                    </w:rPr>
                  </w:pPr>
                  <w:r>
                    <w:rPr>
                      <w:rFonts w:hint="eastAsia"/>
                      <w:color w:val="auto"/>
                      <w:szCs w:val="21"/>
                    </w:rPr>
                    <w:t>井巷工程</w:t>
                  </w:r>
                </w:p>
              </w:tc>
              <w:tc>
                <w:tcPr>
                  <w:tcW w:w="3768" w:type="pct"/>
                  <w:tcBorders>
                    <w:tl2br w:val="nil"/>
                    <w:tr2bl w:val="nil"/>
                  </w:tcBorders>
                  <w:shd w:val="clear" w:color="auto" w:fill="auto"/>
                  <w:vAlign w:val="center"/>
                </w:tcPr>
                <w:p w14:paraId="68743FC8">
                  <w:pPr>
                    <w:keepNext w:val="0"/>
                    <w:keepLines w:val="0"/>
                    <w:pageBreakBefore w:val="0"/>
                    <w:kinsoku/>
                    <w:wordWrap/>
                    <w:topLinePunct w:val="0"/>
                    <w:autoSpaceDE/>
                    <w:autoSpaceDN/>
                    <w:bidi w:val="0"/>
                    <w:adjustRightInd w:val="0"/>
                    <w:snapToGrid w:val="0"/>
                    <w:spacing w:line="310" w:lineRule="exact"/>
                    <w:ind w:firstLine="412" w:firstLineChars="200"/>
                    <w:jc w:val="left"/>
                    <w:textAlignment w:val="auto"/>
                    <w:rPr>
                      <w:color w:val="auto"/>
                      <w:spacing w:val="-2"/>
                      <w:szCs w:val="21"/>
                    </w:rPr>
                  </w:pPr>
                  <w:r>
                    <w:rPr>
                      <w:rFonts w:hint="eastAsia"/>
                      <w:color w:val="auto"/>
                      <w:spacing w:val="-2"/>
                      <w:szCs w:val="21"/>
                    </w:rPr>
                    <w:t>井筒、井筒与井底连接处、回风大巷等，井巷工程总长度 4244m，其中井筒600m，井底车场及硐室1128m，巷道2116m，临时工程400m。掘进体积93323.7m</w:t>
                  </w:r>
                  <w:r>
                    <w:rPr>
                      <w:rFonts w:hint="eastAsia"/>
                      <w:color w:val="auto"/>
                      <w:spacing w:val="-2"/>
                      <w:szCs w:val="21"/>
                      <w:vertAlign w:val="superscript"/>
                    </w:rPr>
                    <w:t>3</w:t>
                  </w:r>
                  <w:r>
                    <w:rPr>
                      <w:rFonts w:hint="eastAsia"/>
                      <w:color w:val="auto"/>
                      <w:spacing w:val="-2"/>
                      <w:szCs w:val="21"/>
                    </w:rPr>
                    <w:t xml:space="preserve">。 </w:t>
                  </w:r>
                </w:p>
              </w:tc>
              <w:tc>
                <w:tcPr>
                  <w:tcW w:w="262" w:type="pct"/>
                  <w:tcBorders>
                    <w:tl2br w:val="nil"/>
                    <w:tr2bl w:val="nil"/>
                  </w:tcBorders>
                  <w:vAlign w:val="center"/>
                </w:tcPr>
                <w:p w14:paraId="04A59BEF">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p>
              </w:tc>
            </w:tr>
            <w:tr w14:paraId="33D282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restart"/>
                  <w:tcBorders>
                    <w:tl2br w:val="nil"/>
                    <w:tr2bl w:val="nil"/>
                  </w:tcBorders>
                  <w:vAlign w:val="center"/>
                </w:tcPr>
                <w:p w14:paraId="606548D7">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r>
                    <w:rPr>
                      <w:color w:val="auto"/>
                      <w:szCs w:val="21"/>
                    </w:rPr>
                    <w:t>辅助工程</w:t>
                  </w:r>
                </w:p>
              </w:tc>
              <w:tc>
                <w:tcPr>
                  <w:tcW w:w="706" w:type="pct"/>
                  <w:tcBorders>
                    <w:tl2br w:val="nil"/>
                    <w:tr2bl w:val="nil"/>
                  </w:tcBorders>
                  <w:shd w:val="clear" w:color="auto" w:fill="auto"/>
                  <w:vAlign w:val="center"/>
                </w:tcPr>
                <w:p w14:paraId="134171FA">
                  <w:pPr>
                    <w:keepNext w:val="0"/>
                    <w:keepLines w:val="0"/>
                    <w:pageBreakBefore w:val="0"/>
                    <w:kinsoku/>
                    <w:wordWrap/>
                    <w:overflowPunct w:val="0"/>
                    <w:topLinePunct w:val="0"/>
                    <w:autoSpaceDE/>
                    <w:autoSpaceDN/>
                    <w:bidi w:val="0"/>
                    <w:adjustRightInd w:val="0"/>
                    <w:snapToGrid w:val="0"/>
                    <w:spacing w:line="310" w:lineRule="exact"/>
                    <w:ind w:left="-42" w:leftChars="-20" w:right="-42" w:rightChars="-20"/>
                    <w:jc w:val="center"/>
                    <w:textAlignment w:val="auto"/>
                    <w:rPr>
                      <w:color w:val="auto"/>
                      <w:spacing w:val="-6"/>
                      <w:szCs w:val="21"/>
                    </w:rPr>
                  </w:pPr>
                  <w:r>
                    <w:rPr>
                      <w:rFonts w:hint="eastAsia"/>
                      <w:color w:val="auto"/>
                      <w:spacing w:val="-6"/>
                      <w:szCs w:val="21"/>
                    </w:rPr>
                    <w:t>进风立井井口房及空气加热室</w:t>
                  </w:r>
                </w:p>
              </w:tc>
              <w:tc>
                <w:tcPr>
                  <w:tcW w:w="3768" w:type="pct"/>
                  <w:tcBorders>
                    <w:tl2br w:val="nil"/>
                    <w:tr2bl w:val="nil"/>
                  </w:tcBorders>
                  <w:shd w:val="clear" w:color="auto" w:fill="auto"/>
                  <w:vAlign w:val="center"/>
                </w:tcPr>
                <w:p w14:paraId="749EF5D1">
                  <w:pPr>
                    <w:keepNext w:val="0"/>
                    <w:keepLines w:val="0"/>
                    <w:pageBreakBefore w:val="0"/>
                    <w:kinsoku/>
                    <w:wordWrap/>
                    <w:overflowPunct w:val="0"/>
                    <w:topLinePunct w:val="0"/>
                    <w:autoSpaceDE/>
                    <w:autoSpaceDN/>
                    <w:bidi w:val="0"/>
                    <w:adjustRightInd w:val="0"/>
                    <w:snapToGrid w:val="0"/>
                    <w:spacing w:line="310" w:lineRule="exact"/>
                    <w:jc w:val="left"/>
                    <w:textAlignment w:val="auto"/>
                    <w:rPr>
                      <w:color w:val="auto"/>
                      <w:szCs w:val="21"/>
                    </w:rPr>
                  </w:pPr>
                  <w:r>
                    <w:rPr>
                      <w:rFonts w:hint="eastAsia"/>
                      <w:color w:val="auto"/>
                      <w:szCs w:val="21"/>
                    </w:rPr>
                    <w:t>位于场地南部，建筑面积546m</w:t>
                  </w:r>
                  <w:r>
                    <w:rPr>
                      <w:rFonts w:hint="eastAsia"/>
                      <w:color w:val="auto"/>
                      <w:szCs w:val="21"/>
                      <w:vertAlign w:val="superscript"/>
                    </w:rPr>
                    <w:t>2</w:t>
                  </w:r>
                  <w:r>
                    <w:rPr>
                      <w:rFonts w:hint="eastAsia"/>
                      <w:color w:val="auto"/>
                      <w:szCs w:val="21"/>
                    </w:rPr>
                    <w:t>，</w:t>
                  </w:r>
                  <w:r>
                    <w:rPr>
                      <w:color w:val="auto"/>
                      <w:szCs w:val="21"/>
                    </w:rPr>
                    <w:t>檐口高为6m，</w:t>
                  </w:r>
                  <w:r>
                    <w:rPr>
                      <w:rFonts w:hint="eastAsia"/>
                      <w:color w:val="auto"/>
                      <w:szCs w:val="21"/>
                    </w:rPr>
                    <w:t>钢筋砼框架</w:t>
                  </w:r>
                  <w:r>
                    <w:rPr>
                      <w:color w:val="auto"/>
                      <w:szCs w:val="21"/>
                    </w:rPr>
                    <w:t>结构</w:t>
                  </w:r>
                  <w:r>
                    <w:rPr>
                      <w:rFonts w:hint="eastAsia"/>
                      <w:color w:val="auto"/>
                      <w:szCs w:val="21"/>
                    </w:rPr>
                    <w:t>。</w:t>
                  </w:r>
                </w:p>
              </w:tc>
              <w:tc>
                <w:tcPr>
                  <w:tcW w:w="262" w:type="pct"/>
                  <w:tcBorders>
                    <w:tl2br w:val="nil"/>
                    <w:tr2bl w:val="nil"/>
                  </w:tcBorders>
                  <w:vAlign w:val="center"/>
                </w:tcPr>
                <w:p w14:paraId="064FB2BB">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3F0BC2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70289804">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shd w:val="clear" w:color="auto" w:fill="auto"/>
                  <w:vAlign w:val="center"/>
                </w:tcPr>
                <w:p w14:paraId="7FAC8421">
                  <w:pPr>
                    <w:keepNext w:val="0"/>
                    <w:keepLines w:val="0"/>
                    <w:pageBreakBefore w:val="0"/>
                    <w:kinsoku/>
                    <w:wordWrap/>
                    <w:overflowPunct w:val="0"/>
                    <w:topLinePunct w:val="0"/>
                    <w:autoSpaceDE/>
                    <w:autoSpaceDN/>
                    <w:bidi w:val="0"/>
                    <w:adjustRightInd w:val="0"/>
                    <w:snapToGrid w:val="0"/>
                    <w:spacing w:line="310" w:lineRule="exact"/>
                    <w:jc w:val="center"/>
                    <w:textAlignment w:val="auto"/>
                    <w:rPr>
                      <w:color w:val="auto"/>
                      <w:szCs w:val="21"/>
                    </w:rPr>
                  </w:pPr>
                  <w:r>
                    <w:rPr>
                      <w:rFonts w:hint="eastAsia"/>
                      <w:color w:val="auto"/>
                      <w:szCs w:val="21"/>
                    </w:rPr>
                    <w:t>回风立井井口房</w:t>
                  </w:r>
                </w:p>
              </w:tc>
              <w:tc>
                <w:tcPr>
                  <w:tcW w:w="3768" w:type="pct"/>
                  <w:tcBorders>
                    <w:tl2br w:val="nil"/>
                    <w:tr2bl w:val="nil"/>
                  </w:tcBorders>
                  <w:shd w:val="clear" w:color="auto" w:fill="auto"/>
                  <w:vAlign w:val="center"/>
                </w:tcPr>
                <w:p w14:paraId="62A5670A">
                  <w:pPr>
                    <w:keepNext w:val="0"/>
                    <w:keepLines w:val="0"/>
                    <w:pageBreakBefore w:val="0"/>
                    <w:kinsoku/>
                    <w:wordWrap/>
                    <w:overflowPunct w:val="0"/>
                    <w:topLinePunct w:val="0"/>
                    <w:autoSpaceDE/>
                    <w:autoSpaceDN/>
                    <w:bidi w:val="0"/>
                    <w:adjustRightInd w:val="0"/>
                    <w:snapToGrid w:val="0"/>
                    <w:spacing w:line="310" w:lineRule="exact"/>
                    <w:jc w:val="left"/>
                    <w:textAlignment w:val="auto"/>
                    <w:rPr>
                      <w:color w:val="auto"/>
                      <w:szCs w:val="21"/>
                    </w:rPr>
                  </w:pPr>
                  <w:r>
                    <w:rPr>
                      <w:color w:val="auto"/>
                      <w:szCs w:val="21"/>
                    </w:rPr>
                    <w:t>位于回风立井</w:t>
                  </w:r>
                  <w:r>
                    <w:rPr>
                      <w:rFonts w:hint="eastAsia"/>
                      <w:color w:val="auto"/>
                      <w:szCs w:val="21"/>
                    </w:rPr>
                    <w:t>东</w:t>
                  </w:r>
                  <w:r>
                    <w:rPr>
                      <w:color w:val="auto"/>
                      <w:szCs w:val="21"/>
                    </w:rPr>
                    <w:t>北侧，</w:t>
                  </w:r>
                  <w:r>
                    <w:rPr>
                      <w:rFonts w:hint="eastAsia"/>
                      <w:color w:val="auto"/>
                      <w:szCs w:val="21"/>
                    </w:rPr>
                    <w:t>建筑面积181m</w:t>
                  </w:r>
                  <w:r>
                    <w:rPr>
                      <w:rFonts w:hint="eastAsia"/>
                      <w:color w:val="auto"/>
                      <w:szCs w:val="21"/>
                      <w:vertAlign w:val="superscript"/>
                    </w:rPr>
                    <w:t>2</w:t>
                  </w:r>
                  <w:r>
                    <w:rPr>
                      <w:color w:val="auto"/>
                      <w:szCs w:val="21"/>
                    </w:rPr>
                    <w:t>，为门式</w:t>
                  </w:r>
                  <w:r>
                    <w:rPr>
                      <w:rFonts w:hint="eastAsia"/>
                      <w:color w:val="auto"/>
                      <w:szCs w:val="21"/>
                      <w:lang w:eastAsia="zh-CN"/>
                    </w:rPr>
                    <w:t>钢架</w:t>
                  </w:r>
                  <w:r>
                    <w:rPr>
                      <w:color w:val="auto"/>
                      <w:szCs w:val="21"/>
                    </w:rPr>
                    <w:t>结构，柱下独立基础，围护结构采用复合保温钢板。</w:t>
                  </w:r>
                </w:p>
              </w:tc>
              <w:tc>
                <w:tcPr>
                  <w:tcW w:w="262" w:type="pct"/>
                  <w:tcBorders>
                    <w:tl2br w:val="nil"/>
                    <w:tr2bl w:val="nil"/>
                  </w:tcBorders>
                  <w:vAlign w:val="center"/>
                </w:tcPr>
                <w:p w14:paraId="7B8B8E3D">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6C8C8A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18C63024">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vAlign w:val="center"/>
                </w:tcPr>
                <w:p w14:paraId="7ACBC926">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snapToGrid w:val="0"/>
                      <w:color w:val="auto"/>
                      <w:szCs w:val="21"/>
                    </w:rPr>
                  </w:pPr>
                  <w:r>
                    <w:rPr>
                      <w:snapToGrid w:val="0"/>
                      <w:color w:val="auto"/>
                      <w:szCs w:val="21"/>
                    </w:rPr>
                    <w:t>乏风取热平台</w:t>
                  </w:r>
                </w:p>
              </w:tc>
              <w:tc>
                <w:tcPr>
                  <w:tcW w:w="3768" w:type="pct"/>
                  <w:tcBorders>
                    <w:tl2br w:val="nil"/>
                    <w:tr2bl w:val="nil"/>
                  </w:tcBorders>
                  <w:vAlign w:val="center"/>
                </w:tcPr>
                <w:p w14:paraId="32B6AA0F">
                  <w:pPr>
                    <w:keepNext w:val="0"/>
                    <w:keepLines w:val="0"/>
                    <w:pageBreakBefore w:val="0"/>
                    <w:tabs>
                      <w:tab w:val="left" w:pos="1260"/>
                    </w:tabs>
                    <w:kinsoku/>
                    <w:wordWrap/>
                    <w:topLinePunct w:val="0"/>
                    <w:autoSpaceDE/>
                    <w:autoSpaceDN/>
                    <w:bidi w:val="0"/>
                    <w:adjustRightInd w:val="0"/>
                    <w:snapToGrid w:val="0"/>
                    <w:spacing w:line="310" w:lineRule="exact"/>
                    <w:textAlignment w:val="auto"/>
                    <w:rPr>
                      <w:color w:val="auto"/>
                      <w:szCs w:val="21"/>
                    </w:rPr>
                  </w:pPr>
                  <w:r>
                    <w:rPr>
                      <w:rFonts w:hint="eastAsia"/>
                      <w:color w:val="auto"/>
                      <w:szCs w:val="21"/>
                    </w:rPr>
                    <w:t>回风</w:t>
                  </w:r>
                  <w:r>
                    <w:rPr>
                      <w:color w:val="auto"/>
                      <w:szCs w:val="21"/>
                    </w:rPr>
                    <w:t>扩散塔上部设置乏风取热平台，</w:t>
                  </w:r>
                  <w:r>
                    <w:rPr>
                      <w:rFonts w:hint="eastAsia"/>
                      <w:color w:val="auto"/>
                      <w:szCs w:val="21"/>
                    </w:rPr>
                    <w:t>建筑面积285m</w:t>
                  </w:r>
                  <w:r>
                    <w:rPr>
                      <w:rFonts w:hint="eastAsia"/>
                      <w:color w:val="auto"/>
                      <w:szCs w:val="21"/>
                      <w:vertAlign w:val="superscript"/>
                    </w:rPr>
                    <w:t>2</w:t>
                  </w:r>
                  <w:r>
                    <w:rPr>
                      <w:color w:val="auto"/>
                      <w:szCs w:val="21"/>
                    </w:rPr>
                    <w:t>，采用钢框架平台，无围护结构。</w:t>
                  </w:r>
                </w:p>
              </w:tc>
              <w:tc>
                <w:tcPr>
                  <w:tcW w:w="262" w:type="pct"/>
                  <w:tcBorders>
                    <w:tl2br w:val="nil"/>
                    <w:tr2bl w:val="nil"/>
                  </w:tcBorders>
                  <w:vAlign w:val="center"/>
                </w:tcPr>
                <w:p w14:paraId="7C504C05">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1911A80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0F35E59D">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shd w:val="clear" w:color="auto" w:fill="auto"/>
                  <w:vAlign w:val="center"/>
                </w:tcPr>
                <w:p w14:paraId="079FA23B">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snapToGrid w:val="0"/>
                      <w:color w:val="auto"/>
                      <w:szCs w:val="21"/>
                    </w:rPr>
                  </w:pPr>
                  <w:r>
                    <w:rPr>
                      <w:rFonts w:hint="eastAsia"/>
                      <w:snapToGrid w:val="0"/>
                      <w:color w:val="auto"/>
                      <w:szCs w:val="21"/>
                    </w:rPr>
                    <w:t>乏风热泵机房及配电室</w:t>
                  </w:r>
                </w:p>
              </w:tc>
              <w:tc>
                <w:tcPr>
                  <w:tcW w:w="3768" w:type="pct"/>
                  <w:tcBorders>
                    <w:tl2br w:val="nil"/>
                    <w:tr2bl w:val="nil"/>
                  </w:tcBorders>
                  <w:shd w:val="clear" w:color="auto" w:fill="auto"/>
                  <w:vAlign w:val="center"/>
                </w:tcPr>
                <w:p w14:paraId="36CABFB4">
                  <w:pPr>
                    <w:keepNext w:val="0"/>
                    <w:keepLines w:val="0"/>
                    <w:pageBreakBefore w:val="0"/>
                    <w:tabs>
                      <w:tab w:val="left" w:pos="1260"/>
                    </w:tabs>
                    <w:kinsoku/>
                    <w:wordWrap/>
                    <w:topLinePunct w:val="0"/>
                    <w:autoSpaceDE/>
                    <w:autoSpaceDN/>
                    <w:bidi w:val="0"/>
                    <w:adjustRightInd w:val="0"/>
                    <w:snapToGrid w:val="0"/>
                    <w:spacing w:line="310" w:lineRule="exact"/>
                    <w:textAlignment w:val="auto"/>
                    <w:rPr>
                      <w:color w:val="auto"/>
                      <w:szCs w:val="21"/>
                    </w:rPr>
                  </w:pPr>
                  <w:r>
                    <w:rPr>
                      <w:snapToGrid w:val="0"/>
                      <w:color w:val="auto"/>
                      <w:szCs w:val="21"/>
                    </w:rPr>
                    <w:t>位于场地西北侧，</w:t>
                  </w:r>
                  <w:r>
                    <w:rPr>
                      <w:color w:val="auto"/>
                      <w:szCs w:val="21"/>
                    </w:rPr>
                    <w:t>建筑面积</w:t>
                  </w:r>
                  <w:r>
                    <w:rPr>
                      <w:rFonts w:hint="eastAsia"/>
                      <w:color w:val="auto"/>
                      <w:szCs w:val="21"/>
                    </w:rPr>
                    <w:t>430.5</w:t>
                  </w:r>
                  <w:r>
                    <w:rPr>
                      <w:color w:val="auto"/>
                      <w:szCs w:val="21"/>
                    </w:rPr>
                    <w:t>m</w:t>
                  </w:r>
                  <w:r>
                    <w:rPr>
                      <w:color w:val="auto"/>
                      <w:szCs w:val="21"/>
                      <w:vertAlign w:val="superscript"/>
                    </w:rPr>
                    <w:t>2</w:t>
                  </w:r>
                  <w:r>
                    <w:rPr>
                      <w:color w:val="auto"/>
                      <w:szCs w:val="21"/>
                    </w:rPr>
                    <w:t>，檐口高为7m，钢筋砼框架结构。</w:t>
                  </w:r>
                </w:p>
              </w:tc>
              <w:tc>
                <w:tcPr>
                  <w:tcW w:w="262" w:type="pct"/>
                  <w:tcBorders>
                    <w:tl2br w:val="nil"/>
                    <w:tr2bl w:val="nil"/>
                  </w:tcBorders>
                  <w:vAlign w:val="center"/>
                </w:tcPr>
                <w:p w14:paraId="638638BD">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03F6EB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6924BBAC">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vAlign w:val="center"/>
                </w:tcPr>
                <w:p w14:paraId="53029C87">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snapToGrid w:val="0"/>
                      <w:color w:val="auto"/>
                      <w:szCs w:val="21"/>
                    </w:rPr>
                  </w:pPr>
                  <w:r>
                    <w:rPr>
                      <w:rFonts w:hint="eastAsia"/>
                      <w:snapToGrid w:val="0"/>
                      <w:color w:val="auto"/>
                      <w:szCs w:val="21"/>
                    </w:rPr>
                    <w:t>通风机配电室及</w:t>
                  </w:r>
                  <w:r>
                    <w:rPr>
                      <w:snapToGrid w:val="0"/>
                      <w:color w:val="auto"/>
                      <w:szCs w:val="21"/>
                    </w:rPr>
                    <w:t>配电控制室</w:t>
                  </w:r>
                </w:p>
              </w:tc>
              <w:tc>
                <w:tcPr>
                  <w:tcW w:w="3768" w:type="pct"/>
                  <w:tcBorders>
                    <w:tl2br w:val="nil"/>
                    <w:tr2bl w:val="nil"/>
                  </w:tcBorders>
                  <w:vAlign w:val="center"/>
                </w:tcPr>
                <w:p w14:paraId="0E2191CD">
                  <w:pPr>
                    <w:keepNext w:val="0"/>
                    <w:keepLines w:val="0"/>
                    <w:pageBreakBefore w:val="0"/>
                    <w:tabs>
                      <w:tab w:val="left" w:pos="1260"/>
                    </w:tabs>
                    <w:kinsoku/>
                    <w:wordWrap/>
                    <w:topLinePunct w:val="0"/>
                    <w:autoSpaceDE/>
                    <w:autoSpaceDN/>
                    <w:bidi w:val="0"/>
                    <w:adjustRightInd w:val="0"/>
                    <w:snapToGrid w:val="0"/>
                    <w:spacing w:line="310" w:lineRule="exact"/>
                    <w:textAlignment w:val="auto"/>
                    <w:rPr>
                      <w:snapToGrid w:val="0"/>
                      <w:color w:val="auto"/>
                      <w:szCs w:val="21"/>
                    </w:rPr>
                  </w:pPr>
                  <w:r>
                    <w:rPr>
                      <w:rFonts w:hint="eastAsia"/>
                      <w:snapToGrid w:val="0"/>
                      <w:color w:val="auto"/>
                      <w:szCs w:val="21"/>
                    </w:rPr>
                    <w:t>位于场地北侧，</w:t>
                  </w:r>
                  <w:r>
                    <w:rPr>
                      <w:snapToGrid w:val="0"/>
                      <w:color w:val="auto"/>
                      <w:szCs w:val="21"/>
                    </w:rPr>
                    <w:t>建筑面积405m</w:t>
                  </w:r>
                  <w:r>
                    <w:rPr>
                      <w:snapToGrid w:val="0"/>
                      <w:color w:val="auto"/>
                      <w:szCs w:val="21"/>
                      <w:vertAlign w:val="superscript"/>
                    </w:rPr>
                    <w:t>2</w:t>
                  </w:r>
                  <w:r>
                    <w:rPr>
                      <w:snapToGrid w:val="0"/>
                      <w:color w:val="auto"/>
                      <w:szCs w:val="21"/>
                    </w:rPr>
                    <w:t>，檐口高5m，</w:t>
                  </w:r>
                  <w:r>
                    <w:rPr>
                      <w:rFonts w:hint="eastAsia"/>
                      <w:color w:val="auto"/>
                      <w:szCs w:val="21"/>
                    </w:rPr>
                    <w:t>钢筋砼框架</w:t>
                  </w:r>
                  <w:r>
                    <w:rPr>
                      <w:color w:val="auto"/>
                      <w:szCs w:val="21"/>
                    </w:rPr>
                    <w:t>结构</w:t>
                  </w:r>
                  <w:r>
                    <w:rPr>
                      <w:rFonts w:hint="eastAsia"/>
                      <w:color w:val="auto"/>
                      <w:szCs w:val="21"/>
                    </w:rPr>
                    <w:t>。</w:t>
                  </w:r>
                </w:p>
              </w:tc>
              <w:tc>
                <w:tcPr>
                  <w:tcW w:w="262" w:type="pct"/>
                  <w:tcBorders>
                    <w:tl2br w:val="nil"/>
                    <w:tr2bl w:val="nil"/>
                  </w:tcBorders>
                  <w:vAlign w:val="center"/>
                </w:tcPr>
                <w:p w14:paraId="15BF8557">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22C9F44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01F5146A">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vAlign w:val="center"/>
                </w:tcPr>
                <w:p w14:paraId="4A630015">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snapToGrid w:val="0"/>
                      <w:color w:val="auto"/>
                      <w:szCs w:val="21"/>
                    </w:rPr>
                  </w:pPr>
                  <w:r>
                    <w:rPr>
                      <w:rFonts w:hint="eastAsia"/>
                      <w:snapToGrid w:val="0"/>
                      <w:color w:val="auto"/>
                      <w:szCs w:val="21"/>
                    </w:rPr>
                    <w:t>门卫室</w:t>
                  </w:r>
                </w:p>
              </w:tc>
              <w:tc>
                <w:tcPr>
                  <w:tcW w:w="3768" w:type="pct"/>
                  <w:tcBorders>
                    <w:tl2br w:val="nil"/>
                    <w:tr2bl w:val="nil"/>
                  </w:tcBorders>
                  <w:vAlign w:val="center"/>
                </w:tcPr>
                <w:p w14:paraId="18B52244">
                  <w:pPr>
                    <w:keepNext w:val="0"/>
                    <w:keepLines w:val="0"/>
                    <w:pageBreakBefore w:val="0"/>
                    <w:tabs>
                      <w:tab w:val="left" w:pos="1260"/>
                    </w:tabs>
                    <w:kinsoku/>
                    <w:wordWrap/>
                    <w:topLinePunct w:val="0"/>
                    <w:autoSpaceDE/>
                    <w:autoSpaceDN/>
                    <w:bidi w:val="0"/>
                    <w:adjustRightInd w:val="0"/>
                    <w:snapToGrid w:val="0"/>
                    <w:spacing w:line="310" w:lineRule="exact"/>
                    <w:textAlignment w:val="auto"/>
                    <w:rPr>
                      <w:snapToGrid w:val="0"/>
                      <w:color w:val="auto"/>
                      <w:szCs w:val="21"/>
                    </w:rPr>
                  </w:pPr>
                  <w:r>
                    <w:rPr>
                      <w:rFonts w:hint="eastAsia"/>
                      <w:snapToGrid w:val="0"/>
                      <w:color w:val="auto"/>
                      <w:szCs w:val="21"/>
                    </w:rPr>
                    <w:t>位于场地东部，建筑面积15</w:t>
                  </w:r>
                  <w:r>
                    <w:rPr>
                      <w:snapToGrid w:val="0"/>
                      <w:color w:val="auto"/>
                      <w:szCs w:val="21"/>
                    </w:rPr>
                    <w:t>m</w:t>
                  </w:r>
                  <w:r>
                    <w:rPr>
                      <w:snapToGrid w:val="0"/>
                      <w:color w:val="auto"/>
                      <w:szCs w:val="21"/>
                      <w:vertAlign w:val="superscript"/>
                    </w:rPr>
                    <w:t>2</w:t>
                  </w:r>
                  <w:r>
                    <w:rPr>
                      <w:rFonts w:hint="eastAsia"/>
                      <w:snapToGrid w:val="0"/>
                      <w:color w:val="auto"/>
                      <w:szCs w:val="21"/>
                    </w:rPr>
                    <w:t>，钢筋混凝土框架结构。</w:t>
                  </w:r>
                </w:p>
              </w:tc>
              <w:tc>
                <w:tcPr>
                  <w:tcW w:w="262" w:type="pct"/>
                  <w:tcBorders>
                    <w:tl2br w:val="nil"/>
                    <w:tr2bl w:val="nil"/>
                  </w:tcBorders>
                  <w:vAlign w:val="center"/>
                </w:tcPr>
                <w:p w14:paraId="55A08A1E">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5005124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26F3508B">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vAlign w:val="center"/>
                </w:tcPr>
                <w:p w14:paraId="199E7664">
                  <w:pPr>
                    <w:keepNext w:val="0"/>
                    <w:keepLines w:val="0"/>
                    <w:pageBreakBefore w:val="0"/>
                    <w:kinsoku/>
                    <w:wordWrap/>
                    <w:overflowPunct w:val="0"/>
                    <w:topLinePunct w:val="0"/>
                    <w:autoSpaceDE/>
                    <w:autoSpaceDN/>
                    <w:bidi w:val="0"/>
                    <w:adjustRightInd w:val="0"/>
                    <w:snapToGrid w:val="0"/>
                    <w:spacing w:line="310" w:lineRule="exact"/>
                    <w:ind w:left="-42" w:leftChars="-20" w:right="-42" w:rightChars="-20"/>
                    <w:jc w:val="center"/>
                    <w:textAlignment w:val="auto"/>
                    <w:rPr>
                      <w:color w:val="auto"/>
                      <w:spacing w:val="-6"/>
                      <w:szCs w:val="21"/>
                    </w:rPr>
                  </w:pPr>
                  <w:r>
                    <w:rPr>
                      <w:rFonts w:hint="eastAsia"/>
                      <w:color w:val="auto"/>
                      <w:spacing w:val="-6"/>
                      <w:szCs w:val="21"/>
                    </w:rPr>
                    <w:t>生产</w:t>
                  </w:r>
                  <w:r>
                    <w:rPr>
                      <w:color w:val="auto"/>
                      <w:spacing w:val="-6"/>
                      <w:szCs w:val="21"/>
                    </w:rPr>
                    <w:t>及消防</w:t>
                  </w:r>
                  <w:r>
                    <w:rPr>
                      <w:rFonts w:hint="eastAsia"/>
                      <w:color w:val="auto"/>
                      <w:spacing w:val="-6"/>
                      <w:szCs w:val="21"/>
                    </w:rPr>
                    <w:t>合用</w:t>
                  </w:r>
                  <w:r>
                    <w:rPr>
                      <w:color w:val="auto"/>
                      <w:spacing w:val="-6"/>
                      <w:szCs w:val="21"/>
                    </w:rPr>
                    <w:t>水池</w:t>
                  </w:r>
                </w:p>
              </w:tc>
              <w:tc>
                <w:tcPr>
                  <w:tcW w:w="3768" w:type="pct"/>
                  <w:tcBorders>
                    <w:tl2br w:val="nil"/>
                    <w:tr2bl w:val="nil"/>
                  </w:tcBorders>
                  <w:vAlign w:val="center"/>
                </w:tcPr>
                <w:p w14:paraId="1A3BE549">
                  <w:pPr>
                    <w:keepNext w:val="0"/>
                    <w:keepLines w:val="0"/>
                    <w:pageBreakBefore w:val="0"/>
                    <w:tabs>
                      <w:tab w:val="left" w:pos="1260"/>
                    </w:tabs>
                    <w:kinsoku/>
                    <w:wordWrap/>
                    <w:topLinePunct w:val="0"/>
                    <w:autoSpaceDE/>
                    <w:autoSpaceDN/>
                    <w:bidi w:val="0"/>
                    <w:adjustRightInd w:val="0"/>
                    <w:snapToGrid w:val="0"/>
                    <w:spacing w:line="310" w:lineRule="exact"/>
                    <w:ind w:firstLine="420" w:firstLineChars="200"/>
                    <w:textAlignment w:val="auto"/>
                    <w:rPr>
                      <w:snapToGrid w:val="0"/>
                      <w:color w:val="auto"/>
                      <w:szCs w:val="21"/>
                    </w:rPr>
                  </w:pPr>
                  <w:r>
                    <w:rPr>
                      <w:rFonts w:hint="eastAsia"/>
                      <w:color w:val="auto"/>
                      <w:szCs w:val="21"/>
                    </w:rPr>
                    <w:t>钢筋混凝土箱</w:t>
                  </w:r>
                  <w:r>
                    <w:rPr>
                      <w:rFonts w:hint="eastAsia"/>
                      <w:color w:val="auto"/>
                      <w:szCs w:val="21"/>
                      <w:lang w:eastAsia="zh-CN"/>
                    </w:rPr>
                    <w:t>形</w:t>
                  </w:r>
                  <w:r>
                    <w:rPr>
                      <w:rFonts w:hint="eastAsia"/>
                      <w:color w:val="auto"/>
                      <w:szCs w:val="21"/>
                    </w:rPr>
                    <w:t>水池</w:t>
                  </w:r>
                  <w:r>
                    <w:rPr>
                      <w:color w:val="auto"/>
                      <w:szCs w:val="21"/>
                    </w:rPr>
                    <w:t>，L×B×H=</w:t>
                  </w:r>
                  <w:r>
                    <w:rPr>
                      <w:rFonts w:hint="eastAsia"/>
                      <w:color w:val="auto"/>
                      <w:szCs w:val="21"/>
                    </w:rPr>
                    <w:t>9.9</w:t>
                  </w:r>
                  <w:r>
                    <w:rPr>
                      <w:color w:val="auto"/>
                      <w:szCs w:val="21"/>
                    </w:rPr>
                    <w:t>×</w:t>
                  </w:r>
                  <w:r>
                    <w:rPr>
                      <w:rFonts w:hint="eastAsia"/>
                      <w:color w:val="auto"/>
                      <w:szCs w:val="21"/>
                    </w:rPr>
                    <w:t>9.9</w:t>
                  </w:r>
                  <w:r>
                    <w:rPr>
                      <w:color w:val="auto"/>
                      <w:szCs w:val="21"/>
                    </w:rPr>
                    <w:t>×</w:t>
                  </w:r>
                  <w:r>
                    <w:rPr>
                      <w:rFonts w:hint="eastAsia"/>
                      <w:color w:val="auto"/>
                      <w:szCs w:val="21"/>
                    </w:rPr>
                    <w:t>3.5</w:t>
                  </w:r>
                  <w:r>
                    <w:rPr>
                      <w:color w:val="auto"/>
                      <w:szCs w:val="21"/>
                    </w:rPr>
                    <w:t>m，</w:t>
                  </w:r>
                  <w:r>
                    <w:rPr>
                      <w:rFonts w:hint="eastAsia"/>
                      <w:color w:val="auto"/>
                      <w:szCs w:val="21"/>
                    </w:rPr>
                    <w:t>半地下式</w:t>
                  </w:r>
                  <w:r>
                    <w:rPr>
                      <w:color w:val="auto"/>
                      <w:szCs w:val="21"/>
                    </w:rPr>
                    <w:t>，</w:t>
                  </w:r>
                  <w:r>
                    <w:rPr>
                      <w:rFonts w:hint="eastAsia"/>
                      <w:color w:val="auto"/>
                      <w:szCs w:val="21"/>
                    </w:rPr>
                    <w:t>地下部分2.0m，</w:t>
                  </w:r>
                  <w:r>
                    <w:rPr>
                      <w:color w:val="auto"/>
                      <w:szCs w:val="21"/>
                    </w:rPr>
                    <w:t>总有效储水容积</w:t>
                  </w:r>
                  <w:r>
                    <w:rPr>
                      <w:rFonts w:hint="eastAsia"/>
                      <w:color w:val="auto"/>
                      <w:szCs w:val="21"/>
                    </w:rPr>
                    <w:t>3</w:t>
                  </w:r>
                  <w:r>
                    <w:rPr>
                      <w:color w:val="auto"/>
                      <w:szCs w:val="21"/>
                    </w:rPr>
                    <w:t>00m</w:t>
                  </w:r>
                  <w:r>
                    <w:rPr>
                      <w:color w:val="auto"/>
                      <w:szCs w:val="21"/>
                      <w:vertAlign w:val="superscript"/>
                    </w:rPr>
                    <w:t>3</w:t>
                  </w:r>
                  <w:r>
                    <w:rPr>
                      <w:color w:val="auto"/>
                      <w:szCs w:val="21"/>
                    </w:rPr>
                    <w:t>，</w:t>
                  </w:r>
                  <w:r>
                    <w:rPr>
                      <w:rFonts w:hint="eastAsia"/>
                      <w:color w:val="auto"/>
                      <w:szCs w:val="21"/>
                    </w:rPr>
                    <w:t>可</w:t>
                  </w:r>
                  <w:r>
                    <w:rPr>
                      <w:color w:val="auto"/>
                      <w:szCs w:val="21"/>
                    </w:rPr>
                    <w:t>存储</w:t>
                  </w:r>
                  <w:r>
                    <w:rPr>
                      <w:rFonts w:hint="eastAsia"/>
                      <w:color w:val="auto"/>
                      <w:szCs w:val="21"/>
                    </w:rPr>
                    <w:t>27</w:t>
                  </w:r>
                  <w:r>
                    <w:rPr>
                      <w:color w:val="auto"/>
                      <w:szCs w:val="21"/>
                    </w:rPr>
                    <w:t>0m</w:t>
                  </w:r>
                  <w:r>
                    <w:rPr>
                      <w:color w:val="auto"/>
                      <w:szCs w:val="21"/>
                      <w:vertAlign w:val="superscript"/>
                    </w:rPr>
                    <w:t>3</w:t>
                  </w:r>
                  <w:r>
                    <w:rPr>
                      <w:color w:val="auto"/>
                      <w:szCs w:val="21"/>
                    </w:rPr>
                    <w:t>消防用水。</w:t>
                  </w:r>
                </w:p>
              </w:tc>
              <w:tc>
                <w:tcPr>
                  <w:tcW w:w="262" w:type="pct"/>
                  <w:tcBorders>
                    <w:tl2br w:val="nil"/>
                    <w:tr2bl w:val="nil"/>
                  </w:tcBorders>
                  <w:vAlign w:val="center"/>
                </w:tcPr>
                <w:p w14:paraId="324551C8">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523C14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75A90A77">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shd w:val="clear" w:color="auto" w:fill="auto"/>
                  <w:vAlign w:val="center"/>
                </w:tcPr>
                <w:p w14:paraId="22D0DDAF">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生产及消防</w:t>
                  </w:r>
                  <w:r>
                    <w:rPr>
                      <w:color w:val="auto"/>
                      <w:szCs w:val="21"/>
                    </w:rPr>
                    <w:t>泵房</w:t>
                  </w:r>
                </w:p>
              </w:tc>
              <w:tc>
                <w:tcPr>
                  <w:tcW w:w="3768" w:type="pct"/>
                  <w:tcBorders>
                    <w:tl2br w:val="nil"/>
                    <w:tr2bl w:val="nil"/>
                  </w:tcBorders>
                  <w:shd w:val="clear" w:color="auto" w:fill="auto"/>
                  <w:vAlign w:val="center"/>
                </w:tcPr>
                <w:p w14:paraId="4B8B2ABE">
                  <w:pPr>
                    <w:keepNext w:val="0"/>
                    <w:keepLines w:val="0"/>
                    <w:pageBreakBefore w:val="0"/>
                    <w:tabs>
                      <w:tab w:val="left" w:pos="1260"/>
                    </w:tabs>
                    <w:kinsoku/>
                    <w:wordWrap/>
                    <w:topLinePunct w:val="0"/>
                    <w:autoSpaceDE/>
                    <w:autoSpaceDN/>
                    <w:bidi w:val="0"/>
                    <w:adjustRightInd w:val="0"/>
                    <w:snapToGrid w:val="0"/>
                    <w:spacing w:line="310" w:lineRule="exact"/>
                    <w:ind w:firstLine="420" w:firstLineChars="200"/>
                    <w:textAlignment w:val="auto"/>
                    <w:rPr>
                      <w:rFonts w:hint="eastAsia" w:ascii="Times New Roman" w:hAnsi="Times New Roman" w:eastAsia="宋体" w:cs="Times New Roman"/>
                      <w:color w:val="auto"/>
                      <w:kern w:val="2"/>
                      <w:sz w:val="21"/>
                      <w:szCs w:val="21"/>
                      <w:lang w:val="en-US" w:eastAsia="zh-CN" w:bidi="ar-SA"/>
                    </w:rPr>
                  </w:pPr>
                  <w:r>
                    <w:rPr>
                      <w:rFonts w:hint="eastAsia"/>
                      <w:color w:val="auto"/>
                      <w:szCs w:val="21"/>
                    </w:rPr>
                    <w:t>位于场地西南侧，</w:t>
                  </w:r>
                  <w:r>
                    <w:rPr>
                      <w:color w:val="auto"/>
                      <w:szCs w:val="21"/>
                    </w:rPr>
                    <w:t>建筑面积为61.75m</w:t>
                  </w:r>
                  <w:r>
                    <w:rPr>
                      <w:color w:val="auto"/>
                      <w:szCs w:val="21"/>
                      <w:vertAlign w:val="superscript"/>
                    </w:rPr>
                    <w:t>2</w:t>
                  </w:r>
                  <w:r>
                    <w:rPr>
                      <w:color w:val="auto"/>
                      <w:szCs w:val="21"/>
                    </w:rPr>
                    <w:t>，檐口高5.5m，地下部分采用钢筋混凝土箱体结构，250厚侧壁及300厚底板</w:t>
                  </w:r>
                  <w:r>
                    <w:rPr>
                      <w:rFonts w:hint="eastAsia"/>
                      <w:color w:val="auto"/>
                      <w:szCs w:val="21"/>
                    </w:rPr>
                    <w:t>，</w:t>
                  </w:r>
                  <w:r>
                    <w:rPr>
                      <w:color w:val="auto"/>
                      <w:szCs w:val="21"/>
                    </w:rPr>
                    <w:t>地上部分采用钢筋混凝土框架结构</w:t>
                  </w:r>
                  <w:r>
                    <w:rPr>
                      <w:rFonts w:hint="eastAsia"/>
                      <w:color w:val="auto"/>
                      <w:szCs w:val="21"/>
                    </w:rPr>
                    <w:t>。</w:t>
                  </w:r>
                </w:p>
              </w:tc>
              <w:tc>
                <w:tcPr>
                  <w:tcW w:w="262" w:type="pct"/>
                  <w:tcBorders>
                    <w:tl2br w:val="nil"/>
                    <w:tr2bl w:val="nil"/>
                  </w:tcBorders>
                  <w:shd w:val="clear" w:color="auto" w:fill="auto"/>
                  <w:vAlign w:val="center"/>
                </w:tcPr>
                <w:p w14:paraId="6984D8FC">
                  <w:pPr>
                    <w:keepNext w:val="0"/>
                    <w:keepLines w:val="0"/>
                    <w:pageBreakBefore w:val="0"/>
                    <w:kinsoku/>
                    <w:wordWrap/>
                    <w:topLinePunct w:val="0"/>
                    <w:autoSpaceDE/>
                    <w:autoSpaceDN/>
                    <w:bidi w:val="0"/>
                    <w:adjustRightInd w:val="0"/>
                    <w:snapToGrid w:val="0"/>
                    <w:spacing w:line="310" w:lineRule="exact"/>
                    <w:textAlignment w:val="auto"/>
                    <w:rPr>
                      <w:rFonts w:ascii="Times New Roman" w:hAnsi="Times New Roman" w:eastAsia="宋体" w:cs="Times New Roman"/>
                      <w:color w:val="auto"/>
                      <w:kern w:val="2"/>
                      <w:sz w:val="21"/>
                      <w:szCs w:val="21"/>
                      <w:lang w:val="en-US" w:eastAsia="zh-CN" w:bidi="ar-SA"/>
                    </w:rPr>
                  </w:pPr>
                  <w:r>
                    <w:rPr>
                      <w:color w:val="auto"/>
                      <w:szCs w:val="21"/>
                    </w:rPr>
                    <w:t>新建</w:t>
                  </w:r>
                </w:p>
              </w:tc>
            </w:tr>
            <w:tr w14:paraId="62FD37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59B4690A">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p>
              </w:tc>
              <w:tc>
                <w:tcPr>
                  <w:tcW w:w="706" w:type="pct"/>
                  <w:tcBorders>
                    <w:tl2br w:val="nil"/>
                    <w:tr2bl w:val="nil"/>
                  </w:tcBorders>
                  <w:shd w:val="clear" w:color="auto" w:fill="auto"/>
                  <w:vAlign w:val="center"/>
                </w:tcPr>
                <w:p w14:paraId="07C401EE">
                  <w:pPr>
                    <w:keepNext w:val="0"/>
                    <w:keepLines w:val="0"/>
                    <w:pageBreakBefore w:val="0"/>
                    <w:widowControl/>
                    <w:kinsoku/>
                    <w:wordWrap/>
                    <w:topLinePunct w:val="0"/>
                    <w:autoSpaceDE/>
                    <w:autoSpaceDN/>
                    <w:bidi w:val="0"/>
                    <w:adjustRightInd w:val="0"/>
                    <w:snapToGrid w:val="0"/>
                    <w:spacing w:line="310" w:lineRule="exact"/>
                    <w:jc w:val="center"/>
                    <w:textAlignment w:val="auto"/>
                    <w:rPr>
                      <w:rFonts w:ascii="Times New Roman" w:hAnsi="Times New Roman" w:eastAsia="宋体" w:cs="Times New Roman"/>
                      <w:color w:val="auto"/>
                      <w:kern w:val="2"/>
                      <w:sz w:val="21"/>
                      <w:szCs w:val="21"/>
                      <w:lang w:val="en-US" w:eastAsia="zh-CN" w:bidi="ar-SA"/>
                    </w:rPr>
                  </w:pPr>
                  <w:r>
                    <w:rPr>
                      <w:color w:val="auto"/>
                      <w:szCs w:val="21"/>
                    </w:rPr>
                    <w:t>矿井水处理站</w:t>
                  </w:r>
                </w:p>
              </w:tc>
              <w:tc>
                <w:tcPr>
                  <w:tcW w:w="3768" w:type="pct"/>
                  <w:tcBorders>
                    <w:tl2br w:val="nil"/>
                    <w:tr2bl w:val="nil"/>
                  </w:tcBorders>
                  <w:shd w:val="clear" w:color="auto" w:fill="auto"/>
                  <w:vAlign w:val="center"/>
                </w:tcPr>
                <w:p w14:paraId="522719C7">
                  <w:pPr>
                    <w:keepNext w:val="0"/>
                    <w:keepLines w:val="0"/>
                    <w:pageBreakBefore w:val="0"/>
                    <w:widowControl/>
                    <w:kinsoku/>
                    <w:wordWrap/>
                    <w:topLinePunct w:val="0"/>
                    <w:autoSpaceDE/>
                    <w:autoSpaceDN/>
                    <w:bidi w:val="0"/>
                    <w:adjustRightInd w:val="0"/>
                    <w:snapToGrid w:val="0"/>
                    <w:spacing w:line="310" w:lineRule="exact"/>
                    <w:ind w:firstLine="420" w:firstLineChars="200"/>
                    <w:textAlignment w:val="auto"/>
                    <w:rPr>
                      <w:rFonts w:ascii="Times New Roman" w:hAnsi="Times New Roman" w:eastAsia="宋体" w:cs="Times New Roman"/>
                      <w:color w:val="auto"/>
                      <w:kern w:val="2"/>
                      <w:sz w:val="21"/>
                      <w:szCs w:val="21"/>
                      <w:lang w:val="en-US" w:eastAsia="zh-CN" w:bidi="ar-SA"/>
                    </w:rPr>
                  </w:pPr>
                  <w:r>
                    <w:rPr>
                      <w:rFonts w:hint="eastAsia"/>
                      <w:color w:val="auto"/>
                      <w:szCs w:val="21"/>
                    </w:rPr>
                    <w:t>矿井水处理站规模为3000m</w:t>
                  </w:r>
                  <w:r>
                    <w:rPr>
                      <w:rFonts w:hint="eastAsia"/>
                      <w:color w:val="auto"/>
                      <w:szCs w:val="21"/>
                      <w:vertAlign w:val="superscript"/>
                    </w:rPr>
                    <w:t>3</w:t>
                  </w:r>
                  <w:r>
                    <w:rPr>
                      <w:rFonts w:hint="eastAsia"/>
                      <w:color w:val="auto"/>
                      <w:szCs w:val="21"/>
                    </w:rPr>
                    <w:t>/d，采用“混凝沉淀-过滤-消毒”处理工艺，矿井水经过处理后，作为井下消防、综合利用。</w:t>
                  </w:r>
                </w:p>
              </w:tc>
              <w:tc>
                <w:tcPr>
                  <w:tcW w:w="262" w:type="pct"/>
                  <w:tcBorders>
                    <w:tl2br w:val="nil"/>
                    <w:tr2bl w:val="nil"/>
                  </w:tcBorders>
                  <w:shd w:val="clear" w:color="auto" w:fill="auto"/>
                  <w:vAlign w:val="center"/>
                </w:tcPr>
                <w:p w14:paraId="6F224DFC">
                  <w:pPr>
                    <w:keepNext w:val="0"/>
                    <w:keepLines w:val="0"/>
                    <w:pageBreakBefore w:val="0"/>
                    <w:tabs>
                      <w:tab w:val="left" w:pos="1260"/>
                    </w:tabs>
                    <w:kinsoku/>
                    <w:wordWrap/>
                    <w:topLinePunct w:val="0"/>
                    <w:autoSpaceDE/>
                    <w:autoSpaceDN/>
                    <w:bidi w:val="0"/>
                    <w:adjustRightInd w:val="0"/>
                    <w:snapToGrid w:val="0"/>
                    <w:spacing w:line="310" w:lineRule="exact"/>
                    <w:textAlignment w:val="auto"/>
                    <w:rPr>
                      <w:rFonts w:ascii="Times New Roman" w:hAnsi="Times New Roman" w:eastAsia="宋体" w:cs="Times New Roman"/>
                      <w:color w:val="auto"/>
                      <w:kern w:val="2"/>
                      <w:sz w:val="21"/>
                      <w:szCs w:val="21"/>
                      <w:lang w:val="en-US" w:eastAsia="zh-CN" w:bidi="ar-SA"/>
                    </w:rPr>
                  </w:pPr>
                  <w:r>
                    <w:rPr>
                      <w:rFonts w:hint="eastAsia"/>
                      <w:color w:val="auto"/>
                      <w:szCs w:val="21"/>
                    </w:rPr>
                    <w:t>依托</w:t>
                  </w:r>
                </w:p>
              </w:tc>
            </w:tr>
            <w:tr w14:paraId="2A8CBA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tcBorders>
                    <w:tl2br w:val="nil"/>
                    <w:tr2bl w:val="nil"/>
                  </w:tcBorders>
                  <w:vAlign w:val="center"/>
                </w:tcPr>
                <w:p w14:paraId="685D5EBE">
                  <w:pPr>
                    <w:keepNext w:val="0"/>
                    <w:keepLines w:val="0"/>
                    <w:pageBreakBefore w:val="0"/>
                    <w:kinsoku/>
                    <w:wordWrap/>
                    <w:topLinePunct w:val="0"/>
                    <w:autoSpaceDE/>
                    <w:autoSpaceDN/>
                    <w:bidi w:val="0"/>
                    <w:adjustRightInd w:val="0"/>
                    <w:snapToGrid w:val="0"/>
                    <w:spacing w:line="310" w:lineRule="exact"/>
                    <w:jc w:val="center"/>
                    <w:textAlignment w:val="auto"/>
                    <w:rPr>
                      <w:color w:val="auto"/>
                      <w:szCs w:val="21"/>
                    </w:rPr>
                  </w:pPr>
                  <w:r>
                    <w:rPr>
                      <w:rFonts w:hint="eastAsia"/>
                      <w:color w:val="auto"/>
                      <w:szCs w:val="21"/>
                    </w:rPr>
                    <w:t>临时工程</w:t>
                  </w:r>
                </w:p>
              </w:tc>
              <w:tc>
                <w:tcPr>
                  <w:tcW w:w="706" w:type="pct"/>
                  <w:tcBorders>
                    <w:tl2br w:val="nil"/>
                    <w:tr2bl w:val="nil"/>
                  </w:tcBorders>
                  <w:vAlign w:val="center"/>
                </w:tcPr>
                <w:p w14:paraId="3B44E44F">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snapToGrid w:val="0"/>
                      <w:color w:val="auto"/>
                      <w:szCs w:val="21"/>
                    </w:rPr>
                  </w:pPr>
                  <w:r>
                    <w:rPr>
                      <w:rFonts w:hint="eastAsia"/>
                      <w:snapToGrid w:val="0"/>
                      <w:color w:val="auto"/>
                      <w:szCs w:val="21"/>
                    </w:rPr>
                    <w:t>施工场地</w:t>
                  </w:r>
                </w:p>
              </w:tc>
              <w:tc>
                <w:tcPr>
                  <w:tcW w:w="3768" w:type="pct"/>
                  <w:tcBorders>
                    <w:tl2br w:val="nil"/>
                    <w:tr2bl w:val="nil"/>
                  </w:tcBorders>
                  <w:vAlign w:val="center"/>
                </w:tcPr>
                <w:p w14:paraId="3C89A365">
                  <w:pPr>
                    <w:keepNext w:val="0"/>
                    <w:keepLines w:val="0"/>
                    <w:pageBreakBefore w:val="0"/>
                    <w:tabs>
                      <w:tab w:val="left" w:pos="1260"/>
                    </w:tabs>
                    <w:kinsoku/>
                    <w:wordWrap/>
                    <w:topLinePunct w:val="0"/>
                    <w:autoSpaceDE/>
                    <w:autoSpaceDN/>
                    <w:bidi w:val="0"/>
                    <w:adjustRightInd w:val="0"/>
                    <w:snapToGrid w:val="0"/>
                    <w:spacing w:line="310" w:lineRule="exact"/>
                    <w:ind w:firstLine="420" w:firstLineChars="200"/>
                    <w:textAlignment w:val="auto"/>
                    <w:rPr>
                      <w:snapToGrid w:val="0"/>
                      <w:color w:val="auto"/>
                      <w:szCs w:val="21"/>
                    </w:rPr>
                  </w:pPr>
                  <w:r>
                    <w:rPr>
                      <w:rFonts w:hint="eastAsia"/>
                      <w:snapToGrid w:val="0"/>
                      <w:color w:val="auto"/>
                      <w:szCs w:val="21"/>
                    </w:rPr>
                    <w:t>施工场地占地面积为0.5hm</w:t>
                  </w:r>
                  <w:r>
                    <w:rPr>
                      <w:rFonts w:hint="eastAsia"/>
                      <w:snapToGrid w:val="0"/>
                      <w:color w:val="auto"/>
                      <w:szCs w:val="21"/>
                      <w:vertAlign w:val="superscript"/>
                    </w:rPr>
                    <w:t>2</w:t>
                  </w:r>
                  <w:r>
                    <w:rPr>
                      <w:rFonts w:hint="eastAsia"/>
                      <w:snapToGrid w:val="0"/>
                      <w:color w:val="auto"/>
                      <w:szCs w:val="21"/>
                    </w:rPr>
                    <w:t>，设有临时表土堆场、材料堆场等；施工场地位于风井工业场地永久占地范围内，不新增临时占地。本项目不设置混凝土和沥青拌合站。</w:t>
                  </w:r>
                </w:p>
                <w:p w14:paraId="5FE990FB">
                  <w:pPr>
                    <w:keepNext w:val="0"/>
                    <w:keepLines w:val="0"/>
                    <w:pageBreakBefore w:val="0"/>
                    <w:tabs>
                      <w:tab w:val="left" w:pos="1260"/>
                    </w:tabs>
                    <w:kinsoku/>
                    <w:wordWrap/>
                    <w:topLinePunct w:val="0"/>
                    <w:autoSpaceDE/>
                    <w:autoSpaceDN/>
                    <w:bidi w:val="0"/>
                    <w:adjustRightInd w:val="0"/>
                    <w:snapToGrid w:val="0"/>
                    <w:spacing w:line="310" w:lineRule="exact"/>
                    <w:ind w:firstLine="420" w:firstLineChars="200"/>
                    <w:textAlignment w:val="auto"/>
                    <w:rPr>
                      <w:snapToGrid w:val="0"/>
                      <w:color w:val="auto"/>
                      <w:szCs w:val="21"/>
                    </w:rPr>
                  </w:pPr>
                  <w:r>
                    <w:rPr>
                      <w:rFonts w:hint="eastAsia"/>
                      <w:snapToGrid w:val="0"/>
                      <w:color w:val="auto"/>
                      <w:szCs w:val="21"/>
                    </w:rPr>
                    <w:t>施工场地内不设员工住宿及食堂，施工人员食宿依托李家壕煤矿内。</w:t>
                  </w:r>
                </w:p>
              </w:tc>
              <w:tc>
                <w:tcPr>
                  <w:tcW w:w="262" w:type="pct"/>
                  <w:tcBorders>
                    <w:tl2br w:val="nil"/>
                    <w:tr2bl w:val="nil"/>
                  </w:tcBorders>
                  <w:vAlign w:val="center"/>
                </w:tcPr>
                <w:p w14:paraId="1D1A5E7B">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432F9E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restart"/>
                  <w:tcBorders>
                    <w:tl2br w:val="nil"/>
                    <w:tr2bl w:val="nil"/>
                  </w:tcBorders>
                  <w:vAlign w:val="center"/>
                </w:tcPr>
                <w:p w14:paraId="332E6FA5">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公用工程</w:t>
                  </w:r>
                </w:p>
              </w:tc>
              <w:tc>
                <w:tcPr>
                  <w:tcW w:w="706" w:type="pct"/>
                  <w:tcBorders>
                    <w:tl2br w:val="nil"/>
                    <w:tr2bl w:val="nil"/>
                  </w:tcBorders>
                  <w:vAlign w:val="center"/>
                </w:tcPr>
                <w:p w14:paraId="7911EAF9">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r>
                    <w:rPr>
                      <w:color w:val="auto"/>
                      <w:szCs w:val="21"/>
                    </w:rPr>
                    <w:t>供电</w:t>
                  </w:r>
                </w:p>
              </w:tc>
              <w:tc>
                <w:tcPr>
                  <w:tcW w:w="3768" w:type="pct"/>
                  <w:tcBorders>
                    <w:tl2br w:val="nil"/>
                    <w:tr2bl w:val="nil"/>
                  </w:tcBorders>
                  <w:vAlign w:val="center"/>
                </w:tcPr>
                <w:p w14:paraId="316203EF">
                  <w:pPr>
                    <w:pStyle w:val="36"/>
                    <w:keepNext w:val="0"/>
                    <w:keepLines w:val="0"/>
                    <w:pageBreakBefore w:val="0"/>
                    <w:kinsoku/>
                    <w:wordWrap/>
                    <w:topLinePunct w:val="0"/>
                    <w:autoSpaceDE/>
                    <w:autoSpaceDN/>
                    <w:bidi w:val="0"/>
                    <w:adjustRightInd w:val="0"/>
                    <w:spacing w:line="310" w:lineRule="exact"/>
                    <w:ind w:firstLine="420"/>
                    <w:textAlignment w:val="auto"/>
                    <w:rPr>
                      <w:color w:val="auto"/>
                      <w:szCs w:val="21"/>
                    </w:rPr>
                  </w:pPr>
                  <w:r>
                    <w:rPr>
                      <w:color w:val="auto"/>
                      <w:szCs w:val="21"/>
                    </w:rPr>
                    <w:t>设计采用4回10kV电源线路供电，均引自矿井35kV变电所10kV不同母线段，2回至新通风机房配电室，2回至乏风系统配电室，导线均采用LGJ-70钢芯铝绞线架空线，每回长度1.2km。</w:t>
                  </w:r>
                </w:p>
              </w:tc>
              <w:tc>
                <w:tcPr>
                  <w:tcW w:w="262" w:type="pct"/>
                  <w:tcBorders>
                    <w:tl2br w:val="nil"/>
                    <w:tr2bl w:val="nil"/>
                  </w:tcBorders>
                  <w:vAlign w:val="center"/>
                </w:tcPr>
                <w:p w14:paraId="2E04C84B">
                  <w:pPr>
                    <w:pStyle w:val="36"/>
                    <w:keepNext w:val="0"/>
                    <w:keepLines w:val="0"/>
                    <w:pageBreakBefore w:val="0"/>
                    <w:kinsoku/>
                    <w:wordWrap/>
                    <w:topLinePunct w:val="0"/>
                    <w:autoSpaceDE/>
                    <w:autoSpaceDN/>
                    <w:bidi w:val="0"/>
                    <w:adjustRightInd w:val="0"/>
                    <w:spacing w:line="310" w:lineRule="exact"/>
                    <w:ind w:firstLine="0" w:firstLineChars="0"/>
                    <w:textAlignment w:val="auto"/>
                    <w:rPr>
                      <w:color w:val="auto"/>
                      <w:szCs w:val="21"/>
                    </w:rPr>
                  </w:pPr>
                  <w:r>
                    <w:rPr>
                      <w:color w:val="auto"/>
                      <w:szCs w:val="21"/>
                    </w:rPr>
                    <w:t>新建</w:t>
                  </w:r>
                </w:p>
              </w:tc>
            </w:tr>
            <w:tr w14:paraId="1E2F3B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76B16F07">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p>
              </w:tc>
              <w:tc>
                <w:tcPr>
                  <w:tcW w:w="706" w:type="pct"/>
                  <w:tcBorders>
                    <w:tl2br w:val="nil"/>
                    <w:tr2bl w:val="nil"/>
                  </w:tcBorders>
                  <w:vAlign w:val="center"/>
                </w:tcPr>
                <w:p w14:paraId="585F9D95">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r>
                    <w:rPr>
                      <w:color w:val="auto"/>
                      <w:szCs w:val="21"/>
                    </w:rPr>
                    <w:t>供水</w:t>
                  </w:r>
                </w:p>
              </w:tc>
              <w:tc>
                <w:tcPr>
                  <w:tcW w:w="3768" w:type="pct"/>
                  <w:tcBorders>
                    <w:tl2br w:val="nil"/>
                    <w:tr2bl w:val="nil"/>
                  </w:tcBorders>
                  <w:vAlign w:val="center"/>
                </w:tcPr>
                <w:p w14:paraId="400396B0">
                  <w:pPr>
                    <w:keepNext w:val="0"/>
                    <w:keepLines w:val="0"/>
                    <w:pageBreakBefore w:val="0"/>
                    <w:widowControl/>
                    <w:kinsoku/>
                    <w:wordWrap/>
                    <w:topLinePunct w:val="0"/>
                    <w:autoSpaceDE/>
                    <w:autoSpaceDN/>
                    <w:bidi w:val="0"/>
                    <w:adjustRightInd w:val="0"/>
                    <w:snapToGrid w:val="0"/>
                    <w:spacing w:line="310" w:lineRule="exact"/>
                    <w:ind w:firstLine="420" w:firstLineChars="200"/>
                    <w:textAlignment w:val="auto"/>
                    <w:rPr>
                      <w:color w:val="auto"/>
                      <w:szCs w:val="21"/>
                    </w:rPr>
                  </w:pPr>
                  <w:r>
                    <w:rPr>
                      <w:color w:val="auto"/>
                      <w:szCs w:val="21"/>
                    </w:rPr>
                    <w:t>水源主要为李家壕煤矿工业场地井下水处理站深度处理后的井下排水，场地内</w:t>
                  </w:r>
                  <w:r>
                    <w:rPr>
                      <w:rFonts w:hint="eastAsia"/>
                      <w:color w:val="auto"/>
                      <w:szCs w:val="21"/>
                    </w:rPr>
                    <w:t>设</w:t>
                  </w:r>
                  <w:r>
                    <w:rPr>
                      <w:color w:val="auto"/>
                      <w:szCs w:val="21"/>
                    </w:rPr>
                    <w:t>生产消防合用</w:t>
                  </w:r>
                  <w:r>
                    <w:rPr>
                      <w:rFonts w:hint="eastAsia"/>
                      <w:color w:val="auto"/>
                      <w:szCs w:val="21"/>
                    </w:rPr>
                    <w:t>供水</w:t>
                  </w:r>
                  <w:r>
                    <w:rPr>
                      <w:color w:val="auto"/>
                      <w:szCs w:val="21"/>
                    </w:rPr>
                    <w:t>管网，管径DN100，管材为钢丝网骨架复合管，接自既有风井场地。</w:t>
                  </w:r>
                </w:p>
              </w:tc>
              <w:tc>
                <w:tcPr>
                  <w:tcW w:w="262" w:type="pct"/>
                  <w:tcBorders>
                    <w:tl2br w:val="nil"/>
                    <w:tr2bl w:val="nil"/>
                  </w:tcBorders>
                  <w:vAlign w:val="center"/>
                </w:tcPr>
                <w:p w14:paraId="7E93E1DF">
                  <w:pPr>
                    <w:keepNext w:val="0"/>
                    <w:keepLines w:val="0"/>
                    <w:pageBreakBefore w:val="0"/>
                    <w:tabs>
                      <w:tab w:val="left" w:pos="1260"/>
                    </w:tabs>
                    <w:kinsoku/>
                    <w:wordWrap/>
                    <w:topLinePunct w:val="0"/>
                    <w:autoSpaceDE/>
                    <w:autoSpaceDN/>
                    <w:bidi w:val="0"/>
                    <w:adjustRightInd w:val="0"/>
                    <w:snapToGrid w:val="0"/>
                    <w:spacing w:line="310" w:lineRule="exact"/>
                    <w:textAlignment w:val="auto"/>
                    <w:rPr>
                      <w:color w:val="auto"/>
                      <w:szCs w:val="21"/>
                    </w:rPr>
                  </w:pPr>
                  <w:r>
                    <w:rPr>
                      <w:rFonts w:hint="eastAsia"/>
                      <w:color w:val="auto"/>
                      <w:szCs w:val="21"/>
                    </w:rPr>
                    <w:t>新建</w:t>
                  </w:r>
                </w:p>
              </w:tc>
            </w:tr>
            <w:tr w14:paraId="701FA1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198A375F">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p>
              </w:tc>
              <w:tc>
                <w:tcPr>
                  <w:tcW w:w="706" w:type="pct"/>
                  <w:tcBorders>
                    <w:tl2br w:val="nil"/>
                    <w:tr2bl w:val="nil"/>
                  </w:tcBorders>
                  <w:vAlign w:val="center"/>
                </w:tcPr>
                <w:p w14:paraId="2D8F93DA">
                  <w:pPr>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color w:val="auto"/>
                      <w:szCs w:val="21"/>
                    </w:rPr>
                  </w:pPr>
                  <w:r>
                    <w:rPr>
                      <w:color w:val="auto"/>
                      <w:szCs w:val="21"/>
                    </w:rPr>
                    <w:t>供暖</w:t>
                  </w:r>
                </w:p>
              </w:tc>
              <w:tc>
                <w:tcPr>
                  <w:tcW w:w="3768" w:type="pct"/>
                  <w:tcBorders>
                    <w:tl2br w:val="nil"/>
                    <w:tr2bl w:val="nil"/>
                  </w:tcBorders>
                  <w:vAlign w:val="center"/>
                </w:tcPr>
                <w:p w14:paraId="50A9E789">
                  <w:pPr>
                    <w:keepNext w:val="0"/>
                    <w:keepLines w:val="0"/>
                    <w:pageBreakBefore w:val="0"/>
                    <w:widowControl/>
                    <w:kinsoku/>
                    <w:wordWrap/>
                    <w:topLinePunct w:val="0"/>
                    <w:autoSpaceDE/>
                    <w:autoSpaceDN/>
                    <w:bidi w:val="0"/>
                    <w:adjustRightInd w:val="0"/>
                    <w:snapToGrid w:val="0"/>
                    <w:spacing w:line="310" w:lineRule="exact"/>
                    <w:ind w:firstLine="420" w:firstLineChars="200"/>
                    <w:textAlignment w:val="auto"/>
                    <w:rPr>
                      <w:color w:val="auto"/>
                      <w:szCs w:val="21"/>
                      <w:highlight w:val="yellow"/>
                    </w:rPr>
                  </w:pPr>
                  <w:r>
                    <w:rPr>
                      <w:rFonts w:hint="eastAsia"/>
                      <w:color w:val="auto"/>
                      <w:szCs w:val="21"/>
                    </w:rPr>
                    <w:t>场地内</w:t>
                  </w:r>
                  <w:r>
                    <w:rPr>
                      <w:color w:val="auto"/>
                      <w:szCs w:val="21"/>
                    </w:rPr>
                    <w:t>建筑物采暖及井筒防冻</w:t>
                  </w:r>
                  <w:r>
                    <w:rPr>
                      <w:rFonts w:hint="eastAsia"/>
                      <w:color w:val="auto"/>
                      <w:szCs w:val="21"/>
                    </w:rPr>
                    <w:t>均</w:t>
                  </w:r>
                  <w:r>
                    <w:rPr>
                      <w:color w:val="auto"/>
                      <w:szCs w:val="21"/>
                    </w:rPr>
                    <w:t>选择乏风余热利用方案。选取直冷式乏风热泵机组SMEET-FS-R-1700型</w:t>
                  </w:r>
                  <w:r>
                    <w:rPr>
                      <w:rFonts w:hint="eastAsia"/>
                      <w:color w:val="auto"/>
                      <w:szCs w:val="21"/>
                    </w:rPr>
                    <w:t>3</w:t>
                  </w:r>
                  <w:r>
                    <w:rPr>
                      <w:color w:val="auto"/>
                      <w:szCs w:val="21"/>
                    </w:rPr>
                    <w:t>台，机组设置在乏风热泵机房内；在回风扩散塔上方新建一座乏风取热平台，其内布置24台型号为SMEET-FSQ-180型乏风取热箱</w:t>
                  </w:r>
                  <w:r>
                    <w:rPr>
                      <w:rFonts w:hint="eastAsia"/>
                      <w:color w:val="auto"/>
                      <w:szCs w:val="21"/>
                    </w:rPr>
                    <w:t>；</w:t>
                  </w:r>
                  <w:r>
                    <w:rPr>
                      <w:color w:val="auto"/>
                      <w:szCs w:val="21"/>
                    </w:rPr>
                    <w:t>在</w:t>
                  </w:r>
                  <w:r>
                    <w:rPr>
                      <w:rFonts w:hint="eastAsia"/>
                      <w:color w:val="auto"/>
                      <w:spacing w:val="-6"/>
                      <w:szCs w:val="21"/>
                    </w:rPr>
                    <w:t>进风立井井口房及空气加热室</w:t>
                  </w:r>
                  <w:r>
                    <w:rPr>
                      <w:color w:val="auto"/>
                      <w:szCs w:val="21"/>
                    </w:rPr>
                    <w:t>内设置</w:t>
                  </w:r>
                  <w:r>
                    <w:rPr>
                      <w:rFonts w:hint="eastAsia"/>
                      <w:color w:val="auto"/>
                      <w:szCs w:val="21"/>
                    </w:rPr>
                    <w:t>了煤矿专用井口空气加热机组SMEET-FJ-580</w:t>
                  </w:r>
                  <w:r>
                    <w:rPr>
                      <w:color w:val="auto"/>
                      <w:szCs w:val="21"/>
                    </w:rPr>
                    <w:t>型</w:t>
                  </w:r>
                  <w:r>
                    <w:rPr>
                      <w:rFonts w:hint="eastAsia"/>
                      <w:color w:val="auto"/>
                      <w:szCs w:val="21"/>
                    </w:rPr>
                    <w:t>8</w:t>
                  </w:r>
                  <w:r>
                    <w:rPr>
                      <w:color w:val="auto"/>
                      <w:szCs w:val="21"/>
                    </w:rPr>
                    <w:t>台。</w:t>
                  </w:r>
                </w:p>
              </w:tc>
              <w:tc>
                <w:tcPr>
                  <w:tcW w:w="262" w:type="pct"/>
                  <w:tcBorders>
                    <w:tl2br w:val="nil"/>
                    <w:tr2bl w:val="nil"/>
                  </w:tcBorders>
                  <w:vAlign w:val="center"/>
                </w:tcPr>
                <w:p w14:paraId="6CCAA2C9">
                  <w:pPr>
                    <w:keepNext w:val="0"/>
                    <w:keepLines w:val="0"/>
                    <w:pageBreakBefore w:val="0"/>
                    <w:tabs>
                      <w:tab w:val="left" w:pos="1260"/>
                    </w:tabs>
                    <w:kinsoku/>
                    <w:wordWrap/>
                    <w:topLinePunct w:val="0"/>
                    <w:autoSpaceDE/>
                    <w:autoSpaceDN/>
                    <w:bidi w:val="0"/>
                    <w:adjustRightInd w:val="0"/>
                    <w:snapToGrid w:val="0"/>
                    <w:spacing w:line="310" w:lineRule="exact"/>
                    <w:textAlignment w:val="auto"/>
                    <w:rPr>
                      <w:color w:val="auto"/>
                      <w:szCs w:val="21"/>
                    </w:rPr>
                  </w:pPr>
                  <w:r>
                    <w:rPr>
                      <w:color w:val="auto"/>
                      <w:szCs w:val="21"/>
                    </w:rPr>
                    <w:t>新建</w:t>
                  </w:r>
                </w:p>
              </w:tc>
            </w:tr>
            <w:tr w14:paraId="23D0207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restart"/>
                  <w:tcBorders>
                    <w:tl2br w:val="nil"/>
                    <w:tr2bl w:val="nil"/>
                  </w:tcBorders>
                  <w:vAlign w:val="center"/>
                </w:tcPr>
                <w:p w14:paraId="3423C6C0">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环保</w:t>
                  </w:r>
                </w:p>
                <w:p w14:paraId="2752AF4D">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工程</w:t>
                  </w:r>
                </w:p>
              </w:tc>
              <w:tc>
                <w:tcPr>
                  <w:tcW w:w="706" w:type="pct"/>
                  <w:tcBorders>
                    <w:tl2br w:val="nil"/>
                    <w:tr2bl w:val="nil"/>
                  </w:tcBorders>
                  <w:vAlign w:val="center"/>
                </w:tcPr>
                <w:p w14:paraId="7386876F">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废气</w:t>
                  </w:r>
                </w:p>
              </w:tc>
              <w:tc>
                <w:tcPr>
                  <w:tcW w:w="3768" w:type="pct"/>
                  <w:tcBorders>
                    <w:tl2br w:val="nil"/>
                    <w:tr2bl w:val="nil"/>
                  </w:tcBorders>
                  <w:vAlign w:val="center"/>
                </w:tcPr>
                <w:p w14:paraId="57CC2630">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rFonts w:hint="eastAsia" w:asciiTheme="minorEastAsia" w:hAnsiTheme="minorEastAsia" w:eastAsiaTheme="minorEastAsia" w:cstheme="minorEastAsia"/>
                      <w:color w:val="auto"/>
                      <w:szCs w:val="21"/>
                      <w:lang w:val="en-US" w:eastAsia="zh-CN"/>
                    </w:rPr>
                    <w:t>本项目运营期采取</w:t>
                  </w:r>
                  <w:r>
                    <w:rPr>
                      <w:rFonts w:hint="eastAsia" w:asciiTheme="minorEastAsia" w:hAnsiTheme="minorEastAsia" w:eastAsiaTheme="minorEastAsia" w:cstheme="minorEastAsia"/>
                      <w:color w:val="auto"/>
                      <w:szCs w:val="21"/>
                    </w:rPr>
                    <w:t>设置风流净化水幕</w:t>
                  </w:r>
                  <w:r>
                    <w:rPr>
                      <w:rFonts w:hint="eastAsia" w:asciiTheme="minorEastAsia" w:hAnsiTheme="minorEastAsia" w:eastAsiaTheme="minorEastAsia" w:cstheme="minorEastAsia"/>
                      <w:color w:val="auto"/>
                      <w:szCs w:val="21"/>
                      <w:lang w:eastAsia="zh-CN"/>
                    </w:rPr>
                    <w:t>，</w:t>
                  </w:r>
                  <w:r>
                    <w:rPr>
                      <w:rFonts w:hint="eastAsia" w:asciiTheme="minorEastAsia" w:hAnsiTheme="minorEastAsia" w:eastAsiaTheme="minorEastAsia" w:cstheme="minorEastAsia"/>
                      <w:color w:val="auto"/>
                      <w:szCs w:val="21"/>
                    </w:rPr>
                    <w:t>设置喷雾洒水装置</w:t>
                  </w:r>
                  <w:r>
                    <w:rPr>
                      <w:rFonts w:hint="eastAsia" w:asciiTheme="minorEastAsia" w:hAnsiTheme="minorEastAsia" w:eastAsiaTheme="minorEastAsia" w:cstheme="minorEastAsia"/>
                      <w:color w:val="auto"/>
                      <w:szCs w:val="21"/>
                      <w:lang w:eastAsia="zh-CN"/>
                    </w:rPr>
                    <w:t>，粉尘积聚处定期清理、并撒布岩粉</w:t>
                  </w:r>
                  <w:r>
                    <w:rPr>
                      <w:rFonts w:hint="eastAsia" w:asciiTheme="minorEastAsia" w:hAnsiTheme="minorEastAsia" w:eastAsiaTheme="minorEastAsia" w:cstheme="minorEastAsia"/>
                      <w:color w:val="auto"/>
                      <w:szCs w:val="21"/>
                      <w:lang w:val="en-US" w:eastAsia="zh-CN"/>
                    </w:rPr>
                    <w:t>等措施后可有效抑制井下粉尘产生，废气产生量较小。</w:t>
                  </w:r>
                </w:p>
              </w:tc>
              <w:tc>
                <w:tcPr>
                  <w:tcW w:w="262" w:type="pct"/>
                  <w:tcBorders>
                    <w:tl2br w:val="nil"/>
                    <w:tr2bl w:val="nil"/>
                  </w:tcBorders>
                  <w:vAlign w:val="center"/>
                </w:tcPr>
                <w:p w14:paraId="5C7E4070">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w:t>
                  </w:r>
                </w:p>
              </w:tc>
            </w:tr>
            <w:tr w14:paraId="5A2A85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44AA675C">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p>
              </w:tc>
              <w:tc>
                <w:tcPr>
                  <w:tcW w:w="706" w:type="pct"/>
                  <w:tcBorders>
                    <w:tl2br w:val="nil"/>
                    <w:tr2bl w:val="nil"/>
                  </w:tcBorders>
                  <w:vAlign w:val="center"/>
                </w:tcPr>
                <w:p w14:paraId="6182A2E8">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废水</w:t>
                  </w:r>
                </w:p>
              </w:tc>
              <w:tc>
                <w:tcPr>
                  <w:tcW w:w="3768" w:type="pct"/>
                  <w:tcBorders>
                    <w:tl2br w:val="nil"/>
                    <w:tr2bl w:val="nil"/>
                  </w:tcBorders>
                  <w:vAlign w:val="center"/>
                </w:tcPr>
                <w:p w14:paraId="5CA98D99">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本项目不新增生活污水。</w:t>
                  </w:r>
                  <w:r>
                    <w:rPr>
                      <w:rFonts w:hint="eastAsia"/>
                      <w:color w:val="auto"/>
                      <w:szCs w:val="21"/>
                      <w:lang w:val="en-US" w:eastAsia="zh-CN"/>
                    </w:rPr>
                    <w:t>厂区西南侧建有一座废水收集池（112m</w:t>
                  </w:r>
                  <w:r>
                    <w:rPr>
                      <w:rFonts w:hint="eastAsia"/>
                      <w:color w:val="auto"/>
                      <w:szCs w:val="21"/>
                      <w:vertAlign w:val="superscript"/>
                      <w:lang w:val="en-US" w:eastAsia="zh-CN"/>
                    </w:rPr>
                    <w:t>3</w:t>
                  </w:r>
                  <w:r>
                    <w:rPr>
                      <w:rFonts w:hint="eastAsia"/>
                      <w:color w:val="auto"/>
                      <w:szCs w:val="21"/>
                      <w:lang w:val="en-US" w:eastAsia="zh-CN"/>
                    </w:rPr>
                    <w:t>），</w:t>
                  </w:r>
                  <w:r>
                    <w:rPr>
                      <w:color w:val="auto"/>
                      <w:szCs w:val="21"/>
                    </w:rPr>
                    <w:t>乏风取热设施</w:t>
                  </w:r>
                  <w:r>
                    <w:rPr>
                      <w:rFonts w:hint="eastAsia"/>
                      <w:color w:val="auto"/>
                      <w:szCs w:val="21"/>
                      <w:lang w:val="en-US" w:eastAsia="zh-CN"/>
                    </w:rPr>
                    <w:t>定期冲洗</w:t>
                  </w:r>
                  <w:r>
                    <w:rPr>
                      <w:color w:val="auto"/>
                      <w:szCs w:val="21"/>
                    </w:rPr>
                    <w:t>废水</w:t>
                  </w:r>
                  <w:r>
                    <w:rPr>
                      <w:rFonts w:hint="eastAsia"/>
                      <w:color w:val="auto"/>
                      <w:szCs w:val="21"/>
                      <w:lang w:eastAsia="zh-CN"/>
                    </w:rPr>
                    <w:t>，</w:t>
                  </w:r>
                  <w:r>
                    <w:rPr>
                      <w:color w:val="auto"/>
                      <w:szCs w:val="21"/>
                    </w:rPr>
                    <w:t>经收集后进入</w:t>
                  </w:r>
                  <w:r>
                    <w:rPr>
                      <w:rFonts w:hint="eastAsia"/>
                      <w:color w:val="auto"/>
                      <w:szCs w:val="21"/>
                    </w:rPr>
                    <w:t>废</w:t>
                  </w:r>
                  <w:r>
                    <w:rPr>
                      <w:color w:val="auto"/>
                      <w:szCs w:val="21"/>
                    </w:rPr>
                    <w:t>水收集池，最终被送至</w:t>
                  </w:r>
                  <w:r>
                    <w:rPr>
                      <w:rFonts w:hint="eastAsia"/>
                      <w:color w:val="auto"/>
                      <w:szCs w:val="21"/>
                    </w:rPr>
                    <w:t>李家壕煤矿</w:t>
                  </w:r>
                  <w:r>
                    <w:rPr>
                      <w:color w:val="auto"/>
                      <w:szCs w:val="21"/>
                    </w:rPr>
                    <w:t>矿井水处理站进行处理，不外排。</w:t>
                  </w:r>
                </w:p>
              </w:tc>
              <w:tc>
                <w:tcPr>
                  <w:tcW w:w="262" w:type="pct"/>
                  <w:tcBorders>
                    <w:tl2br w:val="nil"/>
                    <w:tr2bl w:val="nil"/>
                  </w:tcBorders>
                  <w:vAlign w:val="center"/>
                </w:tcPr>
                <w:p w14:paraId="7295BE4D">
                  <w:pPr>
                    <w:keepNext w:val="0"/>
                    <w:keepLines w:val="0"/>
                    <w:pageBreakBefore w:val="0"/>
                    <w:kinsoku/>
                    <w:wordWrap/>
                    <w:topLinePunct w:val="0"/>
                    <w:autoSpaceDE/>
                    <w:autoSpaceDN/>
                    <w:bidi w:val="0"/>
                    <w:adjustRightInd w:val="0"/>
                    <w:snapToGrid w:val="0"/>
                    <w:spacing w:line="310" w:lineRule="exact"/>
                    <w:jc w:val="center"/>
                    <w:textAlignment w:val="auto"/>
                    <w:rPr>
                      <w:color w:val="auto"/>
                      <w:szCs w:val="21"/>
                    </w:rPr>
                  </w:pPr>
                  <w:r>
                    <w:rPr>
                      <w:color w:val="auto"/>
                      <w:szCs w:val="21"/>
                    </w:rPr>
                    <w:t>/</w:t>
                  </w:r>
                </w:p>
              </w:tc>
            </w:tr>
            <w:tr w14:paraId="749917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vAlign w:val="center"/>
                </w:tcPr>
                <w:p w14:paraId="69129858">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p>
              </w:tc>
              <w:tc>
                <w:tcPr>
                  <w:tcW w:w="706" w:type="pct"/>
                  <w:tcBorders>
                    <w:tl2br w:val="nil"/>
                    <w:tr2bl w:val="nil"/>
                  </w:tcBorders>
                  <w:vAlign w:val="center"/>
                </w:tcPr>
                <w:p w14:paraId="2E886BE4">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噪声</w:t>
                  </w:r>
                </w:p>
              </w:tc>
              <w:tc>
                <w:tcPr>
                  <w:tcW w:w="3768" w:type="pct"/>
                  <w:tcBorders>
                    <w:tl2br w:val="nil"/>
                    <w:tr2bl w:val="nil"/>
                  </w:tcBorders>
                  <w:vAlign w:val="center"/>
                </w:tcPr>
                <w:p w14:paraId="1E9CC0A8">
                  <w:pPr>
                    <w:keepNext w:val="0"/>
                    <w:keepLines w:val="0"/>
                    <w:pageBreakBefore w:val="0"/>
                    <w:kinsoku/>
                    <w:wordWrap/>
                    <w:topLinePunct w:val="0"/>
                    <w:autoSpaceDE/>
                    <w:autoSpaceDN/>
                    <w:bidi w:val="0"/>
                    <w:adjustRightInd w:val="0"/>
                    <w:snapToGrid w:val="0"/>
                    <w:spacing w:line="310" w:lineRule="exact"/>
                    <w:textAlignment w:val="auto"/>
                    <w:rPr>
                      <w:color w:val="auto"/>
                      <w:szCs w:val="21"/>
                    </w:rPr>
                  </w:pPr>
                  <w:r>
                    <w:rPr>
                      <w:color w:val="auto"/>
                      <w:szCs w:val="21"/>
                    </w:rPr>
                    <w:t>选用低噪声设备，通风机进、出气口安装消声器，设置隔声罩。通风机机座进行</w:t>
                  </w:r>
                  <w:r>
                    <w:rPr>
                      <w:rFonts w:hint="eastAsia"/>
                      <w:color w:val="auto"/>
                      <w:szCs w:val="21"/>
                    </w:rPr>
                    <w:t>了</w:t>
                  </w:r>
                  <w:r>
                    <w:rPr>
                      <w:color w:val="auto"/>
                      <w:szCs w:val="21"/>
                    </w:rPr>
                    <w:t>隔振处理。对于泵机选用低噪声设备，设置减振机座、隔声门窗，泵机均在出入口设置软接头，并设置减振基础。</w:t>
                  </w:r>
                </w:p>
              </w:tc>
              <w:tc>
                <w:tcPr>
                  <w:tcW w:w="262" w:type="pct"/>
                  <w:tcBorders>
                    <w:tl2br w:val="nil"/>
                    <w:tr2bl w:val="nil"/>
                  </w:tcBorders>
                  <w:vAlign w:val="center"/>
                </w:tcPr>
                <w:p w14:paraId="11138C3C">
                  <w:pPr>
                    <w:keepNext w:val="0"/>
                    <w:keepLines w:val="0"/>
                    <w:pageBreakBefore w:val="0"/>
                    <w:kinsoku/>
                    <w:wordWrap/>
                    <w:topLinePunct w:val="0"/>
                    <w:autoSpaceDE/>
                    <w:autoSpaceDN/>
                    <w:bidi w:val="0"/>
                    <w:adjustRightInd w:val="0"/>
                    <w:snapToGrid w:val="0"/>
                    <w:spacing w:line="310" w:lineRule="exact"/>
                    <w:jc w:val="center"/>
                    <w:textAlignment w:val="auto"/>
                    <w:rPr>
                      <w:color w:val="auto"/>
                      <w:szCs w:val="21"/>
                    </w:rPr>
                  </w:pPr>
                  <w:r>
                    <w:rPr>
                      <w:color w:val="auto"/>
                      <w:szCs w:val="21"/>
                    </w:rPr>
                    <w:t>/</w:t>
                  </w:r>
                </w:p>
              </w:tc>
            </w:tr>
            <w:tr w14:paraId="313E16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tcPr>
                <w:p w14:paraId="34B3B9C1">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p>
              </w:tc>
              <w:tc>
                <w:tcPr>
                  <w:tcW w:w="706" w:type="pct"/>
                  <w:tcBorders>
                    <w:tl2br w:val="nil"/>
                    <w:tr2bl w:val="nil"/>
                  </w:tcBorders>
                  <w:vAlign w:val="center"/>
                </w:tcPr>
                <w:p w14:paraId="66A94CA8">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ascii="Times New Roman" w:hAnsi="Times New Roman" w:cs="Times New Roman"/>
                      <w:color w:val="auto"/>
                    </w:rPr>
                    <w:t>固废</w:t>
                  </w:r>
                </w:p>
              </w:tc>
              <w:tc>
                <w:tcPr>
                  <w:tcW w:w="3768" w:type="pct"/>
                  <w:tcBorders>
                    <w:tl2br w:val="nil"/>
                    <w:tr2bl w:val="nil"/>
                  </w:tcBorders>
                  <w:vAlign w:val="center"/>
                </w:tcPr>
                <w:p w14:paraId="5CB15B48">
                  <w:pPr>
                    <w:keepNext w:val="0"/>
                    <w:keepLines w:val="0"/>
                    <w:pageBreakBefore w:val="0"/>
                    <w:kinsoku/>
                    <w:wordWrap/>
                    <w:topLinePunct w:val="0"/>
                    <w:autoSpaceDE/>
                    <w:autoSpaceDN/>
                    <w:bidi w:val="0"/>
                    <w:adjustRightInd w:val="0"/>
                    <w:snapToGrid w:val="0"/>
                    <w:spacing w:line="310" w:lineRule="exact"/>
                    <w:textAlignment w:val="auto"/>
                    <w:rPr>
                      <w:rFonts w:hint="default" w:eastAsia="宋体"/>
                      <w:color w:val="auto"/>
                      <w:szCs w:val="21"/>
                      <w:lang w:val="en-US" w:eastAsia="zh-CN"/>
                    </w:rPr>
                  </w:pPr>
                  <w:r>
                    <w:rPr>
                      <w:color w:val="auto"/>
                      <w:szCs w:val="21"/>
                    </w:rPr>
                    <w:t>本项目不新增劳动定员，无生活垃圾产生</w:t>
                  </w:r>
                  <w:r>
                    <w:rPr>
                      <w:rFonts w:hint="eastAsia"/>
                      <w:color w:val="auto"/>
                      <w:szCs w:val="21"/>
                    </w:rPr>
                    <w:t>。</w:t>
                  </w:r>
                  <w:r>
                    <w:rPr>
                      <w:rFonts w:hint="eastAsia"/>
                      <w:color w:val="auto"/>
                      <w:szCs w:val="21"/>
                      <w:lang w:val="en-US" w:eastAsia="zh-CN"/>
                    </w:rPr>
                    <w:t>项目产生固废主要为废机油和废油桶，暂存于李家壕煤矿现有危废暂存库（360m</w:t>
                  </w:r>
                  <w:r>
                    <w:rPr>
                      <w:rFonts w:hint="eastAsia"/>
                      <w:color w:val="auto"/>
                      <w:szCs w:val="21"/>
                      <w:vertAlign w:val="superscript"/>
                      <w:lang w:val="en-US" w:eastAsia="zh-CN"/>
                    </w:rPr>
                    <w:t>2</w:t>
                  </w:r>
                  <w:r>
                    <w:rPr>
                      <w:rFonts w:hint="eastAsia"/>
                      <w:color w:val="auto"/>
                      <w:szCs w:val="21"/>
                      <w:lang w:val="en-US" w:eastAsia="zh-CN"/>
                    </w:rPr>
                    <w:t>），委托有资质单位集中处置。</w:t>
                  </w:r>
                </w:p>
              </w:tc>
              <w:tc>
                <w:tcPr>
                  <w:tcW w:w="262" w:type="pct"/>
                  <w:tcBorders>
                    <w:tl2br w:val="nil"/>
                    <w:tr2bl w:val="nil"/>
                  </w:tcBorders>
                  <w:vAlign w:val="center"/>
                </w:tcPr>
                <w:p w14:paraId="567DCF25">
                  <w:pPr>
                    <w:keepNext w:val="0"/>
                    <w:keepLines w:val="0"/>
                    <w:pageBreakBefore w:val="0"/>
                    <w:kinsoku/>
                    <w:wordWrap/>
                    <w:topLinePunct w:val="0"/>
                    <w:autoSpaceDE/>
                    <w:autoSpaceDN/>
                    <w:bidi w:val="0"/>
                    <w:adjustRightInd w:val="0"/>
                    <w:snapToGrid w:val="0"/>
                    <w:spacing w:line="310" w:lineRule="exact"/>
                    <w:jc w:val="center"/>
                    <w:textAlignment w:val="auto"/>
                    <w:rPr>
                      <w:color w:val="auto"/>
                      <w:szCs w:val="21"/>
                    </w:rPr>
                  </w:pPr>
                  <w:r>
                    <w:rPr>
                      <w:color w:val="auto"/>
                      <w:szCs w:val="21"/>
                    </w:rPr>
                    <w:t>/</w:t>
                  </w:r>
                </w:p>
              </w:tc>
            </w:tr>
            <w:tr w14:paraId="09316E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262" w:type="pct"/>
                  <w:vMerge w:val="continue"/>
                  <w:tcBorders>
                    <w:tl2br w:val="nil"/>
                    <w:tr2bl w:val="nil"/>
                  </w:tcBorders>
                </w:tcPr>
                <w:p w14:paraId="7B5C063E">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p>
              </w:tc>
              <w:tc>
                <w:tcPr>
                  <w:tcW w:w="706" w:type="pct"/>
                  <w:tcBorders>
                    <w:tl2br w:val="nil"/>
                    <w:tr2bl w:val="nil"/>
                  </w:tcBorders>
                  <w:vAlign w:val="center"/>
                </w:tcPr>
                <w:p w14:paraId="24B30B82">
                  <w:pPr>
                    <w:pStyle w:val="18"/>
                    <w:keepNext w:val="0"/>
                    <w:keepLines w:val="0"/>
                    <w:pageBreakBefore w:val="0"/>
                    <w:tabs>
                      <w:tab w:val="left" w:pos="1260"/>
                    </w:tabs>
                    <w:kinsoku/>
                    <w:wordWrap/>
                    <w:topLinePunct w:val="0"/>
                    <w:autoSpaceDE/>
                    <w:autoSpaceDN/>
                    <w:bidi w:val="0"/>
                    <w:adjustRightInd w:val="0"/>
                    <w:snapToGrid w:val="0"/>
                    <w:spacing w:line="310" w:lineRule="exact"/>
                    <w:jc w:val="center"/>
                    <w:textAlignment w:val="auto"/>
                    <w:rPr>
                      <w:rFonts w:ascii="Times New Roman" w:hAnsi="Times New Roman" w:cs="Times New Roman"/>
                      <w:color w:val="auto"/>
                    </w:rPr>
                  </w:pPr>
                  <w:r>
                    <w:rPr>
                      <w:rFonts w:hint="eastAsia" w:ascii="Times New Roman" w:hAnsi="Times New Roman" w:cs="Times New Roman"/>
                      <w:color w:val="auto"/>
                    </w:rPr>
                    <w:t>生态</w:t>
                  </w:r>
                </w:p>
              </w:tc>
              <w:tc>
                <w:tcPr>
                  <w:tcW w:w="3768" w:type="pct"/>
                  <w:tcBorders>
                    <w:tl2br w:val="nil"/>
                    <w:tr2bl w:val="nil"/>
                  </w:tcBorders>
                  <w:vAlign w:val="center"/>
                </w:tcPr>
                <w:p w14:paraId="7AAFADCD">
                  <w:pPr>
                    <w:keepNext w:val="0"/>
                    <w:keepLines w:val="0"/>
                    <w:pageBreakBefore w:val="0"/>
                    <w:kinsoku/>
                    <w:wordWrap/>
                    <w:topLinePunct w:val="0"/>
                    <w:autoSpaceDE/>
                    <w:autoSpaceDN/>
                    <w:bidi w:val="0"/>
                    <w:spacing w:line="310" w:lineRule="exact"/>
                    <w:textAlignment w:val="auto"/>
                    <w:rPr>
                      <w:color w:val="auto"/>
                      <w:szCs w:val="21"/>
                    </w:rPr>
                  </w:pPr>
                  <w:r>
                    <w:rPr>
                      <w:rFonts w:ascii="Times New Roman" w:hAnsi="Times New Roman" w:eastAsia="宋体" w:cs="Times New Roman"/>
                      <w:color w:val="auto"/>
                      <w:sz w:val="21"/>
                      <w:szCs w:val="21"/>
                      <w:lang w:val="en-US" w:eastAsia="zh-CN"/>
                    </w:rPr>
                    <w:t>风井场地四周边坡防护区及围墙外扰动区在施工完成后进行撒播紫花苜蓿和草木樨绿化，绿化面积</w:t>
                  </w:r>
                  <w:r>
                    <w:rPr>
                      <w:rFonts w:hint="eastAsia" w:ascii="Times New Roman" w:hAnsi="Times New Roman" w:eastAsia="宋体" w:cs="Times New Roman"/>
                      <w:color w:val="auto"/>
                      <w:sz w:val="21"/>
                      <w:szCs w:val="21"/>
                      <w:lang w:val="en-US" w:eastAsia="zh-CN" w:bidi="ar-SA"/>
                    </w:rPr>
                    <w:t>0.23h</w:t>
                  </w:r>
                  <w:r>
                    <w:rPr>
                      <w:rFonts w:ascii="Times New Roman" w:hAnsi="Times New Roman" w:eastAsia="宋体" w:cs="Times New Roman"/>
                      <w:color w:val="auto"/>
                      <w:sz w:val="21"/>
                      <w:szCs w:val="21"/>
                      <w:lang w:val="en-US" w:eastAsia="zh-CN" w:bidi="ar-SA"/>
                    </w:rPr>
                    <w:t>m</w:t>
                  </w:r>
                  <w:r>
                    <w:rPr>
                      <w:rFonts w:ascii="Times New Roman" w:hAnsi="Times New Roman" w:eastAsia="宋体" w:cs="Times New Roman"/>
                      <w:color w:val="auto"/>
                      <w:sz w:val="21"/>
                      <w:szCs w:val="21"/>
                      <w:vertAlign w:val="superscript"/>
                      <w:lang w:val="en-US" w:eastAsia="zh-CN" w:bidi="ar-SA"/>
                    </w:rPr>
                    <w:t>2</w:t>
                  </w:r>
                  <w:r>
                    <w:rPr>
                      <w:rFonts w:ascii="Times New Roman" w:hAnsi="Times New Roman" w:eastAsia="宋体" w:cs="Times New Roman"/>
                      <w:color w:val="auto"/>
                      <w:sz w:val="21"/>
                      <w:szCs w:val="21"/>
                      <w:lang w:val="en-US" w:eastAsia="zh-CN"/>
                    </w:rPr>
                    <w:t>，共撒播紫花苜蓿</w:t>
                  </w:r>
                  <w:r>
                    <w:rPr>
                      <w:rFonts w:hint="eastAsia" w:ascii="Times New Roman" w:hAnsi="Times New Roman" w:eastAsia="宋体" w:cs="Times New Roman"/>
                      <w:color w:val="auto"/>
                      <w:sz w:val="21"/>
                      <w:szCs w:val="21"/>
                      <w:lang w:val="en-US" w:eastAsia="zh-CN"/>
                    </w:rPr>
                    <w:t>和</w:t>
                  </w:r>
                  <w:r>
                    <w:rPr>
                      <w:rFonts w:ascii="Times New Roman" w:hAnsi="Times New Roman" w:eastAsia="宋体" w:cs="Times New Roman"/>
                      <w:color w:val="auto"/>
                      <w:sz w:val="21"/>
                      <w:szCs w:val="21"/>
                      <w:lang w:val="en-US" w:eastAsia="zh-CN"/>
                    </w:rPr>
                    <w:t>草木樨</w:t>
                  </w:r>
                  <w:r>
                    <w:rPr>
                      <w:rFonts w:hint="eastAsia" w:ascii="Times New Roman" w:hAnsi="Times New Roman" w:eastAsia="宋体" w:cs="Times New Roman"/>
                      <w:color w:val="auto"/>
                      <w:sz w:val="21"/>
                      <w:szCs w:val="21"/>
                      <w:lang w:val="en-US" w:eastAsia="zh-CN"/>
                    </w:rPr>
                    <w:t>各</w:t>
                  </w:r>
                  <w:r>
                    <w:rPr>
                      <w:rFonts w:ascii="Times New Roman" w:hAnsi="Times New Roman" w:eastAsia="宋体" w:cs="Times New Roman"/>
                      <w:color w:val="auto"/>
                      <w:sz w:val="21"/>
                      <w:szCs w:val="21"/>
                      <w:lang w:val="en-US" w:eastAsia="zh-CN"/>
                    </w:rPr>
                    <w:t>3.45kg；风井场地西侧空地进行撒播紫花苜蓿和草木樨绿化，绿化面积</w:t>
                  </w:r>
                  <w:r>
                    <w:rPr>
                      <w:rFonts w:hint="eastAsia" w:ascii="Times New Roman" w:hAnsi="Times New Roman" w:eastAsia="宋体" w:cs="Times New Roman"/>
                      <w:color w:val="auto"/>
                      <w:sz w:val="21"/>
                      <w:szCs w:val="21"/>
                      <w:lang w:val="en-US" w:eastAsia="zh-CN" w:bidi="ar-SA"/>
                    </w:rPr>
                    <w:t>0.14h</w:t>
                  </w:r>
                  <w:r>
                    <w:rPr>
                      <w:rFonts w:ascii="Times New Roman" w:hAnsi="Times New Roman" w:eastAsia="宋体" w:cs="Times New Roman"/>
                      <w:color w:val="auto"/>
                      <w:sz w:val="21"/>
                      <w:szCs w:val="21"/>
                      <w:lang w:val="en-US" w:eastAsia="zh-CN" w:bidi="ar-SA"/>
                    </w:rPr>
                    <w:t>m</w:t>
                  </w:r>
                  <w:r>
                    <w:rPr>
                      <w:rFonts w:ascii="Times New Roman" w:hAnsi="Times New Roman" w:eastAsia="宋体" w:cs="Times New Roman"/>
                      <w:color w:val="auto"/>
                      <w:sz w:val="21"/>
                      <w:szCs w:val="21"/>
                      <w:vertAlign w:val="superscript"/>
                      <w:lang w:val="en-US" w:eastAsia="zh-CN" w:bidi="ar-SA"/>
                    </w:rPr>
                    <w:t>2</w:t>
                  </w:r>
                  <w:r>
                    <w:rPr>
                      <w:rFonts w:ascii="Times New Roman" w:hAnsi="Times New Roman" w:eastAsia="宋体" w:cs="Times New Roman"/>
                      <w:color w:val="auto"/>
                      <w:sz w:val="21"/>
                      <w:szCs w:val="21"/>
                      <w:lang w:val="en-US" w:eastAsia="zh-CN"/>
                    </w:rPr>
                    <w:t>，共撒播紫花苜蓿</w:t>
                  </w:r>
                  <w:r>
                    <w:rPr>
                      <w:rFonts w:hint="eastAsia" w:ascii="Times New Roman" w:hAnsi="Times New Roman" w:eastAsia="宋体" w:cs="Times New Roman"/>
                      <w:color w:val="auto"/>
                      <w:sz w:val="21"/>
                      <w:szCs w:val="21"/>
                      <w:lang w:val="en-US" w:eastAsia="zh-CN"/>
                    </w:rPr>
                    <w:t>和</w:t>
                  </w:r>
                  <w:r>
                    <w:rPr>
                      <w:rFonts w:ascii="Times New Roman" w:hAnsi="Times New Roman" w:eastAsia="宋体" w:cs="Times New Roman"/>
                      <w:color w:val="auto"/>
                      <w:sz w:val="21"/>
                      <w:szCs w:val="21"/>
                      <w:lang w:val="en-US" w:eastAsia="zh-CN"/>
                    </w:rPr>
                    <w:t>草木樨</w:t>
                  </w:r>
                  <w:r>
                    <w:rPr>
                      <w:rFonts w:hint="eastAsia" w:ascii="Times New Roman" w:hAnsi="Times New Roman" w:eastAsia="宋体" w:cs="Times New Roman"/>
                      <w:color w:val="auto"/>
                      <w:sz w:val="21"/>
                      <w:szCs w:val="21"/>
                      <w:lang w:val="en-US" w:eastAsia="zh-CN"/>
                    </w:rPr>
                    <w:t>各</w:t>
                  </w:r>
                  <w:r>
                    <w:rPr>
                      <w:rFonts w:ascii="Times New Roman" w:hAnsi="Times New Roman" w:eastAsia="宋体" w:cs="Times New Roman"/>
                      <w:color w:val="auto"/>
                      <w:sz w:val="21"/>
                      <w:szCs w:val="21"/>
                      <w:lang w:val="en-US" w:eastAsia="zh-CN"/>
                    </w:rPr>
                    <w:t>2.10kg。</w:t>
                  </w:r>
                </w:p>
              </w:tc>
              <w:tc>
                <w:tcPr>
                  <w:tcW w:w="262" w:type="pct"/>
                  <w:tcBorders>
                    <w:tl2br w:val="nil"/>
                    <w:tr2bl w:val="nil"/>
                  </w:tcBorders>
                  <w:vAlign w:val="center"/>
                </w:tcPr>
                <w:p w14:paraId="666A38C7">
                  <w:pPr>
                    <w:keepNext w:val="0"/>
                    <w:keepLines w:val="0"/>
                    <w:pageBreakBefore w:val="0"/>
                    <w:kinsoku/>
                    <w:wordWrap/>
                    <w:topLinePunct w:val="0"/>
                    <w:autoSpaceDE/>
                    <w:autoSpaceDN/>
                    <w:bidi w:val="0"/>
                    <w:adjustRightInd w:val="0"/>
                    <w:snapToGrid w:val="0"/>
                    <w:spacing w:line="310" w:lineRule="exact"/>
                    <w:jc w:val="center"/>
                    <w:textAlignment w:val="auto"/>
                    <w:rPr>
                      <w:color w:val="auto"/>
                      <w:szCs w:val="21"/>
                    </w:rPr>
                  </w:pPr>
                  <w:r>
                    <w:rPr>
                      <w:color w:val="auto"/>
                      <w:szCs w:val="21"/>
                    </w:rPr>
                    <w:t>/</w:t>
                  </w:r>
                </w:p>
              </w:tc>
            </w:tr>
          </w:tbl>
          <w:p w14:paraId="66BDF461">
            <w:pPr>
              <w:keepNext w:val="0"/>
              <w:keepLines w:val="0"/>
              <w:pageBreakBefore w:val="0"/>
              <w:widowControl/>
              <w:kinsoku/>
              <w:wordWrap/>
              <w:overflowPunct/>
              <w:topLinePunct w:val="0"/>
              <w:autoSpaceDE/>
              <w:autoSpaceDN/>
              <w:bidi w:val="0"/>
              <w:spacing w:line="500" w:lineRule="exact"/>
              <w:ind w:firstLine="482" w:firstLineChars="200"/>
              <w:textAlignment w:val="auto"/>
              <w:rPr>
                <w:b/>
                <w:color w:val="auto"/>
                <w:kern w:val="0"/>
                <w:sz w:val="24"/>
              </w:rPr>
            </w:pPr>
            <w:r>
              <w:rPr>
                <w:rFonts w:hint="eastAsia"/>
                <w:b/>
                <w:color w:val="auto"/>
                <w:kern w:val="0"/>
                <w:sz w:val="24"/>
                <w:lang w:val="en-US" w:eastAsia="zh-CN"/>
              </w:rPr>
              <w:t>3</w:t>
            </w:r>
            <w:r>
              <w:rPr>
                <w:rFonts w:hint="eastAsia"/>
                <w:b/>
                <w:color w:val="auto"/>
                <w:kern w:val="0"/>
                <w:sz w:val="24"/>
              </w:rPr>
              <w:t>、井筒工程</w:t>
            </w:r>
          </w:p>
          <w:p w14:paraId="6A3E8BB1">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sz w:val="24"/>
              </w:rPr>
            </w:pPr>
            <w:r>
              <w:rPr>
                <w:rFonts w:hint="eastAsia"/>
                <w:color w:val="auto"/>
                <w:sz w:val="24"/>
              </w:rPr>
              <w:t>（1）新增进风立井</w:t>
            </w:r>
          </w:p>
          <w:p w14:paraId="6B771D03">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sz w:val="24"/>
              </w:rPr>
            </w:pPr>
            <w:r>
              <w:rPr>
                <w:rFonts w:hint="eastAsia"/>
                <w:color w:val="auto"/>
                <w:sz w:val="24"/>
              </w:rPr>
              <w:t>井筒净直径5.0m，净断面积19.6m</w:t>
            </w:r>
            <w:r>
              <w:rPr>
                <w:rFonts w:hint="eastAsia"/>
                <w:color w:val="auto"/>
                <w:sz w:val="24"/>
                <w:vertAlign w:val="superscript"/>
              </w:rPr>
              <w:t>2</w:t>
            </w:r>
            <w:r>
              <w:rPr>
                <w:rFonts w:hint="eastAsia"/>
                <w:color w:val="auto"/>
                <w:sz w:val="24"/>
              </w:rPr>
              <w:t>，担负矿井各煤组南翼盘区进风任务。井筒断面如图2-1所示。</w:t>
            </w:r>
          </w:p>
          <w:p w14:paraId="01F42C5F">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sz w:val="24"/>
              </w:rPr>
            </w:pPr>
            <w:r>
              <w:rPr>
                <w:rFonts w:hint="eastAsia"/>
                <w:color w:val="auto"/>
                <w:sz w:val="24"/>
              </w:rPr>
              <w:t>（2）新增回风立井</w:t>
            </w:r>
          </w:p>
          <w:p w14:paraId="3DD2F9C5">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sz w:val="24"/>
              </w:rPr>
            </w:pPr>
            <w:r>
              <w:rPr>
                <w:rFonts w:hint="eastAsia"/>
                <w:color w:val="auto"/>
                <w:sz w:val="24"/>
              </w:rPr>
              <w:t>井筒净直径5.0m，净断面积19.6m</w:t>
            </w:r>
            <w:r>
              <w:rPr>
                <w:rFonts w:hint="eastAsia"/>
                <w:color w:val="auto"/>
                <w:sz w:val="24"/>
                <w:vertAlign w:val="superscript"/>
              </w:rPr>
              <w:t>2</w:t>
            </w:r>
            <w:r>
              <w:rPr>
                <w:rFonts w:hint="eastAsia"/>
                <w:color w:val="auto"/>
                <w:sz w:val="24"/>
              </w:rPr>
              <w:t>，担负矿井各煤组南翼盘区回风任务。井筒内装备有玻璃钢梯子间，兼作安全出口。井筒断面如图2-2所示。</w:t>
            </w:r>
          </w:p>
          <w:p w14:paraId="4A37F189">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color w:val="auto"/>
                <w:sz w:val="24"/>
              </w:rPr>
            </w:pPr>
            <w:r>
              <w:rPr>
                <w:rFonts w:hint="eastAsia"/>
                <w:color w:val="auto"/>
                <w:sz w:val="24"/>
              </w:rPr>
              <w:t>矿井井筒特征详见表2-</w:t>
            </w:r>
            <w:r>
              <w:rPr>
                <w:rFonts w:hint="eastAsia"/>
                <w:color w:val="auto"/>
                <w:sz w:val="24"/>
                <w:lang w:val="en-US" w:eastAsia="zh-CN"/>
              </w:rPr>
              <w:t>4</w:t>
            </w:r>
            <w:r>
              <w:rPr>
                <w:rFonts w:hint="eastAsia"/>
                <w:color w:val="auto"/>
                <w:sz w:val="24"/>
              </w:rPr>
              <w:t>。</w:t>
            </w:r>
          </w:p>
          <w:p w14:paraId="046B04C2">
            <w:pPr>
              <w:keepNext w:val="0"/>
              <w:keepLines w:val="0"/>
              <w:pageBreakBefore w:val="0"/>
              <w:widowControl/>
              <w:kinsoku/>
              <w:wordWrap/>
              <w:overflowPunct/>
              <w:topLinePunct w:val="0"/>
              <w:autoSpaceDE/>
              <w:autoSpaceDN/>
              <w:bidi w:val="0"/>
              <w:adjustRightInd/>
              <w:snapToGrid/>
              <w:spacing w:line="500" w:lineRule="exact"/>
              <w:ind w:firstLine="2409" w:firstLineChars="1000"/>
              <w:textAlignment w:val="auto"/>
              <w:rPr>
                <w:b/>
                <w:bCs/>
                <w:color w:val="auto"/>
                <w:kern w:val="0"/>
                <w:sz w:val="24"/>
              </w:rPr>
            </w:pPr>
            <w:r>
              <w:rPr>
                <w:rFonts w:hint="eastAsia"/>
                <w:b/>
                <w:bCs/>
                <w:color w:val="auto"/>
                <w:kern w:val="0"/>
                <w:sz w:val="24"/>
              </w:rPr>
              <w:t>表2-</w:t>
            </w:r>
            <w:r>
              <w:rPr>
                <w:rFonts w:hint="eastAsia"/>
                <w:b/>
                <w:bCs/>
                <w:color w:val="auto"/>
                <w:kern w:val="0"/>
                <w:sz w:val="24"/>
                <w:lang w:val="en-US" w:eastAsia="zh-CN"/>
              </w:rPr>
              <w:t>4</w:t>
            </w:r>
            <w:r>
              <w:rPr>
                <w:rFonts w:hint="eastAsia"/>
                <w:b/>
                <w:bCs/>
                <w:color w:val="auto"/>
                <w:kern w:val="0"/>
                <w:sz w:val="24"/>
              </w:rPr>
              <w:t xml:space="preserve">    井筒特征表</w:t>
            </w:r>
          </w:p>
          <w:tbl>
            <w:tblPr>
              <w:tblStyle w:val="29"/>
              <w:tblW w:w="487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74"/>
              <w:gridCol w:w="1769"/>
              <w:gridCol w:w="657"/>
              <w:gridCol w:w="1004"/>
              <w:gridCol w:w="1964"/>
              <w:gridCol w:w="1967"/>
            </w:tblGrid>
            <w:tr w14:paraId="03D03F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52D2D10B">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序号</w:t>
                  </w:r>
                </w:p>
              </w:tc>
              <w:tc>
                <w:tcPr>
                  <w:tcW w:w="1490" w:type="pct"/>
                  <w:gridSpan w:val="2"/>
                  <w:tcBorders>
                    <w:tl2br w:val="nil"/>
                    <w:tr2bl w:val="nil"/>
                  </w:tcBorders>
                  <w:vAlign w:val="center"/>
                </w:tcPr>
                <w:p w14:paraId="3F75302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名称</w:t>
                  </w:r>
                </w:p>
              </w:tc>
              <w:tc>
                <w:tcPr>
                  <w:tcW w:w="617" w:type="pct"/>
                  <w:tcBorders>
                    <w:tl2br w:val="nil"/>
                    <w:tr2bl w:val="nil"/>
                  </w:tcBorders>
                  <w:vAlign w:val="center"/>
                </w:tcPr>
                <w:p w14:paraId="2EC7215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单位</w:t>
                  </w:r>
                </w:p>
              </w:tc>
              <w:tc>
                <w:tcPr>
                  <w:tcW w:w="1207" w:type="pct"/>
                  <w:tcBorders>
                    <w:tl2br w:val="nil"/>
                    <w:tr2bl w:val="nil"/>
                  </w:tcBorders>
                  <w:vAlign w:val="center"/>
                </w:tcPr>
                <w:p w14:paraId="200234F2">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新建进风立井</w:t>
                  </w:r>
                </w:p>
              </w:tc>
              <w:tc>
                <w:tcPr>
                  <w:tcW w:w="1209" w:type="pct"/>
                  <w:tcBorders>
                    <w:tl2br w:val="nil"/>
                    <w:tr2bl w:val="nil"/>
                  </w:tcBorders>
                  <w:vAlign w:val="center"/>
                </w:tcPr>
                <w:p w14:paraId="62DA661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新建回风立井</w:t>
                  </w:r>
                </w:p>
              </w:tc>
            </w:tr>
            <w:tr w14:paraId="5B607D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476" w:type="pct"/>
                  <w:vMerge w:val="restart"/>
                  <w:tcBorders>
                    <w:tl2br w:val="nil"/>
                    <w:tr2bl w:val="nil"/>
                  </w:tcBorders>
                  <w:vAlign w:val="center"/>
                </w:tcPr>
                <w:p w14:paraId="7EE6223D">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1</w:t>
                  </w:r>
                </w:p>
              </w:tc>
              <w:tc>
                <w:tcPr>
                  <w:tcW w:w="1087" w:type="pct"/>
                  <w:vMerge w:val="restart"/>
                  <w:tcBorders>
                    <w:tl2br w:val="nil"/>
                    <w:tr2bl w:val="nil"/>
                  </w:tcBorders>
                  <w:vAlign w:val="center"/>
                </w:tcPr>
                <w:p w14:paraId="312FF6D2">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井口坐标</w:t>
                  </w:r>
                </w:p>
              </w:tc>
              <w:tc>
                <w:tcPr>
                  <w:tcW w:w="404" w:type="pct"/>
                  <w:tcBorders>
                    <w:tl2br w:val="nil"/>
                    <w:tr2bl w:val="nil"/>
                  </w:tcBorders>
                  <w:vAlign w:val="center"/>
                </w:tcPr>
                <w:p w14:paraId="0E7BC7F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X</w:t>
                  </w:r>
                </w:p>
              </w:tc>
              <w:tc>
                <w:tcPr>
                  <w:tcW w:w="617" w:type="pct"/>
                  <w:tcBorders>
                    <w:tl2br w:val="nil"/>
                    <w:tr2bl w:val="nil"/>
                  </w:tcBorders>
                  <w:vAlign w:val="center"/>
                </w:tcPr>
                <w:p w14:paraId="271F3C68">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1207" w:type="pct"/>
                  <w:tcBorders>
                    <w:tl2br w:val="nil"/>
                    <w:tr2bl w:val="nil"/>
                  </w:tcBorders>
                  <w:vAlign w:val="center"/>
                </w:tcPr>
                <w:p w14:paraId="5FF7A607">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lang w:val="zh-CN"/>
                    </w:rPr>
                    <w:t>4401945.726</w:t>
                  </w:r>
                </w:p>
              </w:tc>
              <w:tc>
                <w:tcPr>
                  <w:tcW w:w="1209" w:type="pct"/>
                  <w:tcBorders>
                    <w:tl2br w:val="nil"/>
                    <w:tr2bl w:val="nil"/>
                  </w:tcBorders>
                  <w:vAlign w:val="center"/>
                </w:tcPr>
                <w:p w14:paraId="40B49910">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lang w:val="zh-CN"/>
                    </w:rPr>
                    <w:t>4401964.744</w:t>
                  </w:r>
                </w:p>
              </w:tc>
            </w:tr>
            <w:tr w14:paraId="519299B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476" w:type="pct"/>
                  <w:vMerge w:val="continue"/>
                  <w:tcBorders>
                    <w:tl2br w:val="nil"/>
                    <w:tr2bl w:val="nil"/>
                  </w:tcBorders>
                  <w:vAlign w:val="center"/>
                </w:tcPr>
                <w:p w14:paraId="6B89670B">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1087" w:type="pct"/>
                  <w:vMerge w:val="continue"/>
                  <w:tcBorders>
                    <w:tl2br w:val="nil"/>
                    <w:tr2bl w:val="nil"/>
                  </w:tcBorders>
                  <w:vAlign w:val="center"/>
                </w:tcPr>
                <w:p w14:paraId="69E32936">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404" w:type="pct"/>
                  <w:tcBorders>
                    <w:tl2br w:val="nil"/>
                    <w:tr2bl w:val="nil"/>
                  </w:tcBorders>
                  <w:vAlign w:val="center"/>
                </w:tcPr>
                <w:p w14:paraId="6C0E1987">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Y</w:t>
                  </w:r>
                </w:p>
              </w:tc>
              <w:tc>
                <w:tcPr>
                  <w:tcW w:w="617" w:type="pct"/>
                  <w:tcBorders>
                    <w:tl2br w:val="nil"/>
                    <w:tr2bl w:val="nil"/>
                  </w:tcBorders>
                  <w:vAlign w:val="center"/>
                </w:tcPr>
                <w:p w14:paraId="3FB9B0B6">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1207" w:type="pct"/>
                  <w:tcBorders>
                    <w:tl2br w:val="nil"/>
                    <w:tr2bl w:val="nil"/>
                  </w:tcBorders>
                  <w:vAlign w:val="center"/>
                </w:tcPr>
                <w:p w14:paraId="6F67933B">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lang w:val="zh-CN"/>
                    </w:rPr>
                    <w:t>37416536.137</w:t>
                  </w:r>
                </w:p>
              </w:tc>
              <w:tc>
                <w:tcPr>
                  <w:tcW w:w="1209" w:type="pct"/>
                  <w:tcBorders>
                    <w:tl2br w:val="nil"/>
                    <w:tr2bl w:val="nil"/>
                  </w:tcBorders>
                  <w:vAlign w:val="center"/>
                </w:tcPr>
                <w:p w14:paraId="262B4078">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lang w:val="zh-CN"/>
                    </w:rPr>
                    <w:t>37416491.616</w:t>
                  </w:r>
                </w:p>
              </w:tc>
            </w:tr>
            <w:tr w14:paraId="30F3D9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jc w:val="center"/>
              </w:trPr>
              <w:tc>
                <w:tcPr>
                  <w:tcW w:w="476" w:type="pct"/>
                  <w:vMerge w:val="continue"/>
                  <w:tcBorders>
                    <w:tl2br w:val="nil"/>
                    <w:tr2bl w:val="nil"/>
                  </w:tcBorders>
                  <w:vAlign w:val="center"/>
                </w:tcPr>
                <w:p w14:paraId="050E71FF">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1087" w:type="pct"/>
                  <w:vMerge w:val="continue"/>
                  <w:tcBorders>
                    <w:tl2br w:val="nil"/>
                    <w:tr2bl w:val="nil"/>
                  </w:tcBorders>
                  <w:vAlign w:val="center"/>
                </w:tcPr>
                <w:p w14:paraId="3CFE3E8F">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404" w:type="pct"/>
                  <w:tcBorders>
                    <w:tl2br w:val="nil"/>
                    <w:tr2bl w:val="nil"/>
                  </w:tcBorders>
                  <w:vAlign w:val="center"/>
                </w:tcPr>
                <w:p w14:paraId="78DF7833">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Z</w:t>
                  </w:r>
                </w:p>
              </w:tc>
              <w:tc>
                <w:tcPr>
                  <w:tcW w:w="617" w:type="pct"/>
                  <w:tcBorders>
                    <w:tl2br w:val="nil"/>
                    <w:tr2bl w:val="nil"/>
                  </w:tcBorders>
                  <w:vAlign w:val="center"/>
                </w:tcPr>
                <w:p w14:paraId="45B6CB2C">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m</w:t>
                  </w:r>
                </w:p>
              </w:tc>
              <w:tc>
                <w:tcPr>
                  <w:tcW w:w="1207" w:type="pct"/>
                  <w:tcBorders>
                    <w:tl2br w:val="nil"/>
                    <w:tr2bl w:val="nil"/>
                  </w:tcBorders>
                  <w:vAlign w:val="center"/>
                </w:tcPr>
                <w:p w14:paraId="06C62636">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+1412.0</w:t>
                  </w:r>
                </w:p>
              </w:tc>
              <w:tc>
                <w:tcPr>
                  <w:tcW w:w="1209" w:type="pct"/>
                  <w:tcBorders>
                    <w:tl2br w:val="nil"/>
                    <w:tr2bl w:val="nil"/>
                  </w:tcBorders>
                  <w:vAlign w:val="center"/>
                </w:tcPr>
                <w:p w14:paraId="430F42DA">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+1412.0</w:t>
                  </w:r>
                </w:p>
              </w:tc>
            </w:tr>
            <w:tr w14:paraId="65F1D9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0C34483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2</w:t>
                  </w:r>
                </w:p>
              </w:tc>
              <w:tc>
                <w:tcPr>
                  <w:tcW w:w="1490" w:type="pct"/>
                  <w:gridSpan w:val="2"/>
                  <w:tcBorders>
                    <w:tl2br w:val="nil"/>
                    <w:tr2bl w:val="nil"/>
                  </w:tcBorders>
                  <w:vAlign w:val="center"/>
                </w:tcPr>
                <w:p w14:paraId="3D647C8E">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井筒方位角</w:t>
                  </w:r>
                </w:p>
              </w:tc>
              <w:tc>
                <w:tcPr>
                  <w:tcW w:w="617" w:type="pct"/>
                  <w:tcBorders>
                    <w:tl2br w:val="nil"/>
                    <w:tr2bl w:val="nil"/>
                  </w:tcBorders>
                  <w:vAlign w:val="center"/>
                </w:tcPr>
                <w:p w14:paraId="74C976ED">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w:t>
                  </w:r>
                </w:p>
              </w:tc>
              <w:tc>
                <w:tcPr>
                  <w:tcW w:w="1207" w:type="pct"/>
                  <w:tcBorders>
                    <w:tl2br w:val="nil"/>
                    <w:tr2bl w:val="nil"/>
                  </w:tcBorders>
                  <w:vAlign w:val="center"/>
                </w:tcPr>
                <w:p w14:paraId="41CB2474">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lang w:val="zh-CN"/>
                    </w:rPr>
                    <w:t>61°25′21″</w:t>
                  </w:r>
                </w:p>
              </w:tc>
              <w:tc>
                <w:tcPr>
                  <w:tcW w:w="1209" w:type="pct"/>
                  <w:tcBorders>
                    <w:tl2br w:val="nil"/>
                    <w:tr2bl w:val="nil"/>
                  </w:tcBorders>
                  <w:vAlign w:val="center"/>
                </w:tcPr>
                <w:p w14:paraId="6DB07E57">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lang w:val="zh-CN"/>
                    </w:rPr>
                    <w:t>61°25′21″</w:t>
                  </w:r>
                </w:p>
              </w:tc>
            </w:tr>
            <w:tr w14:paraId="548767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7CF7A0C9">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3</w:t>
                  </w:r>
                </w:p>
              </w:tc>
              <w:tc>
                <w:tcPr>
                  <w:tcW w:w="1490" w:type="pct"/>
                  <w:gridSpan w:val="2"/>
                  <w:tcBorders>
                    <w:tl2br w:val="nil"/>
                    <w:tr2bl w:val="nil"/>
                  </w:tcBorders>
                  <w:vAlign w:val="center"/>
                </w:tcPr>
                <w:p w14:paraId="6E580A76">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总长度</w:t>
                  </w:r>
                </w:p>
              </w:tc>
              <w:tc>
                <w:tcPr>
                  <w:tcW w:w="617" w:type="pct"/>
                  <w:tcBorders>
                    <w:tl2br w:val="nil"/>
                    <w:tr2bl w:val="nil"/>
                  </w:tcBorders>
                  <w:vAlign w:val="center"/>
                </w:tcPr>
                <w:p w14:paraId="005E8E73">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m</w:t>
                  </w:r>
                </w:p>
              </w:tc>
              <w:tc>
                <w:tcPr>
                  <w:tcW w:w="1207" w:type="pct"/>
                  <w:tcBorders>
                    <w:tl2br w:val="nil"/>
                    <w:tr2bl w:val="nil"/>
                  </w:tcBorders>
                  <w:vAlign w:val="center"/>
                </w:tcPr>
                <w:p w14:paraId="5DF23FE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300</w:t>
                  </w:r>
                </w:p>
              </w:tc>
              <w:tc>
                <w:tcPr>
                  <w:tcW w:w="1209" w:type="pct"/>
                  <w:tcBorders>
                    <w:tl2br w:val="nil"/>
                    <w:tr2bl w:val="nil"/>
                  </w:tcBorders>
                  <w:vAlign w:val="center"/>
                </w:tcPr>
                <w:p w14:paraId="2AC995A0">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300</w:t>
                  </w:r>
                </w:p>
              </w:tc>
            </w:tr>
            <w:tr w14:paraId="17FC25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33F4D04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4</w:t>
                  </w:r>
                </w:p>
              </w:tc>
              <w:tc>
                <w:tcPr>
                  <w:tcW w:w="1490" w:type="pct"/>
                  <w:gridSpan w:val="2"/>
                  <w:tcBorders>
                    <w:tl2br w:val="nil"/>
                    <w:tr2bl w:val="nil"/>
                  </w:tcBorders>
                  <w:vAlign w:val="center"/>
                </w:tcPr>
                <w:p w14:paraId="72FFEDD8">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井筒倾角</w:t>
                  </w:r>
                </w:p>
              </w:tc>
              <w:tc>
                <w:tcPr>
                  <w:tcW w:w="617" w:type="pct"/>
                  <w:tcBorders>
                    <w:tl2br w:val="nil"/>
                    <w:tr2bl w:val="nil"/>
                  </w:tcBorders>
                  <w:vAlign w:val="center"/>
                </w:tcPr>
                <w:p w14:paraId="139A2EE8">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1207" w:type="pct"/>
                  <w:tcBorders>
                    <w:tl2br w:val="nil"/>
                    <w:tr2bl w:val="nil"/>
                  </w:tcBorders>
                  <w:vAlign w:val="center"/>
                </w:tcPr>
                <w:p w14:paraId="1939767B">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90°</w:t>
                  </w:r>
                </w:p>
              </w:tc>
              <w:tc>
                <w:tcPr>
                  <w:tcW w:w="1209" w:type="pct"/>
                  <w:tcBorders>
                    <w:tl2br w:val="nil"/>
                    <w:tr2bl w:val="nil"/>
                  </w:tcBorders>
                  <w:vAlign w:val="center"/>
                </w:tcPr>
                <w:p w14:paraId="55CC16D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90°</w:t>
                  </w:r>
                </w:p>
              </w:tc>
            </w:tr>
            <w:tr w14:paraId="5BD9F6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55E89B50">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5</w:t>
                  </w:r>
                </w:p>
              </w:tc>
              <w:tc>
                <w:tcPr>
                  <w:tcW w:w="1490" w:type="pct"/>
                  <w:gridSpan w:val="2"/>
                  <w:tcBorders>
                    <w:tl2br w:val="nil"/>
                    <w:tr2bl w:val="nil"/>
                  </w:tcBorders>
                  <w:vAlign w:val="center"/>
                </w:tcPr>
                <w:p w14:paraId="4E814494">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井筒净宽（直径）</w:t>
                  </w:r>
                </w:p>
              </w:tc>
              <w:tc>
                <w:tcPr>
                  <w:tcW w:w="617" w:type="pct"/>
                  <w:tcBorders>
                    <w:tl2br w:val="nil"/>
                    <w:tr2bl w:val="nil"/>
                  </w:tcBorders>
                  <w:vAlign w:val="center"/>
                </w:tcPr>
                <w:p w14:paraId="3FE4918C">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mm</w:t>
                  </w:r>
                </w:p>
              </w:tc>
              <w:tc>
                <w:tcPr>
                  <w:tcW w:w="1207" w:type="pct"/>
                  <w:tcBorders>
                    <w:tl2br w:val="nil"/>
                    <w:tr2bl w:val="nil"/>
                  </w:tcBorders>
                  <w:vAlign w:val="center"/>
                </w:tcPr>
                <w:p w14:paraId="7E0647BF">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5000</w:t>
                  </w:r>
                </w:p>
              </w:tc>
              <w:tc>
                <w:tcPr>
                  <w:tcW w:w="1209" w:type="pct"/>
                  <w:tcBorders>
                    <w:tl2br w:val="nil"/>
                    <w:tr2bl w:val="nil"/>
                  </w:tcBorders>
                  <w:vAlign w:val="center"/>
                </w:tcPr>
                <w:p w14:paraId="6C6912AC">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5000</w:t>
                  </w:r>
                </w:p>
              </w:tc>
            </w:tr>
            <w:tr w14:paraId="7C80D6D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61C48770">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6</w:t>
                  </w:r>
                </w:p>
              </w:tc>
              <w:tc>
                <w:tcPr>
                  <w:tcW w:w="1490" w:type="pct"/>
                  <w:gridSpan w:val="2"/>
                  <w:tcBorders>
                    <w:tl2br w:val="nil"/>
                    <w:tr2bl w:val="nil"/>
                  </w:tcBorders>
                  <w:vAlign w:val="center"/>
                </w:tcPr>
                <w:p w14:paraId="056F395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井筒净断面积</w:t>
                  </w:r>
                </w:p>
              </w:tc>
              <w:tc>
                <w:tcPr>
                  <w:tcW w:w="617" w:type="pct"/>
                  <w:tcBorders>
                    <w:tl2br w:val="nil"/>
                    <w:tr2bl w:val="nil"/>
                  </w:tcBorders>
                  <w:vAlign w:val="center"/>
                </w:tcPr>
                <w:p w14:paraId="0BA76637">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vertAlign w:val="superscript"/>
                    </w:rPr>
                  </w:pPr>
                  <w:r>
                    <w:rPr>
                      <w:rFonts w:ascii="Times New Roman"/>
                      <w:b w:val="0"/>
                      <w:bCs/>
                      <w:color w:val="auto"/>
                      <w:szCs w:val="21"/>
                    </w:rPr>
                    <w:t>m</w:t>
                  </w:r>
                  <w:r>
                    <w:rPr>
                      <w:rFonts w:ascii="Times New Roman"/>
                      <w:b w:val="0"/>
                      <w:bCs/>
                      <w:color w:val="auto"/>
                      <w:szCs w:val="21"/>
                      <w:vertAlign w:val="superscript"/>
                    </w:rPr>
                    <w:t>2</w:t>
                  </w:r>
                </w:p>
              </w:tc>
              <w:tc>
                <w:tcPr>
                  <w:tcW w:w="1207" w:type="pct"/>
                  <w:tcBorders>
                    <w:tl2br w:val="nil"/>
                    <w:tr2bl w:val="nil"/>
                  </w:tcBorders>
                  <w:vAlign w:val="center"/>
                </w:tcPr>
                <w:p w14:paraId="3B81AE4D">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19.6</w:t>
                  </w:r>
                </w:p>
              </w:tc>
              <w:tc>
                <w:tcPr>
                  <w:tcW w:w="1209" w:type="pct"/>
                  <w:tcBorders>
                    <w:tl2br w:val="nil"/>
                    <w:tr2bl w:val="nil"/>
                  </w:tcBorders>
                  <w:vAlign w:val="center"/>
                </w:tcPr>
                <w:p w14:paraId="1EA89241">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19.6</w:t>
                  </w:r>
                </w:p>
              </w:tc>
            </w:tr>
            <w:tr w14:paraId="1CD672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7749C3C0">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7</w:t>
                  </w:r>
                </w:p>
              </w:tc>
              <w:tc>
                <w:tcPr>
                  <w:tcW w:w="1490" w:type="pct"/>
                  <w:gridSpan w:val="2"/>
                  <w:tcBorders>
                    <w:tl2br w:val="nil"/>
                    <w:tr2bl w:val="nil"/>
                  </w:tcBorders>
                  <w:vAlign w:val="center"/>
                </w:tcPr>
                <w:p w14:paraId="16718668">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支护厚度（基岩）</w:t>
                  </w:r>
                </w:p>
              </w:tc>
              <w:tc>
                <w:tcPr>
                  <w:tcW w:w="617" w:type="pct"/>
                  <w:tcBorders>
                    <w:tl2br w:val="nil"/>
                    <w:tr2bl w:val="nil"/>
                  </w:tcBorders>
                  <w:vAlign w:val="center"/>
                </w:tcPr>
                <w:p w14:paraId="72F3A642">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mm</w:t>
                  </w:r>
                </w:p>
              </w:tc>
              <w:tc>
                <w:tcPr>
                  <w:tcW w:w="1207" w:type="pct"/>
                  <w:tcBorders>
                    <w:tl2br w:val="nil"/>
                    <w:tr2bl w:val="nil"/>
                  </w:tcBorders>
                  <w:vAlign w:val="center"/>
                </w:tcPr>
                <w:p w14:paraId="3889FE95">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500</w:t>
                  </w:r>
                </w:p>
              </w:tc>
              <w:tc>
                <w:tcPr>
                  <w:tcW w:w="1209" w:type="pct"/>
                  <w:tcBorders>
                    <w:tl2br w:val="nil"/>
                    <w:tr2bl w:val="nil"/>
                  </w:tcBorders>
                  <w:vAlign w:val="center"/>
                </w:tcPr>
                <w:p w14:paraId="08C42BC4">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500</w:t>
                  </w:r>
                </w:p>
              </w:tc>
            </w:tr>
            <w:tr w14:paraId="28EBDE5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069DDB67">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8</w:t>
                  </w:r>
                </w:p>
              </w:tc>
              <w:tc>
                <w:tcPr>
                  <w:tcW w:w="1490" w:type="pct"/>
                  <w:gridSpan w:val="2"/>
                  <w:tcBorders>
                    <w:tl2br w:val="nil"/>
                    <w:tr2bl w:val="nil"/>
                  </w:tcBorders>
                  <w:vAlign w:val="center"/>
                </w:tcPr>
                <w:p w14:paraId="7D60E578">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井筒掘进断面积（基岩）</w:t>
                  </w:r>
                </w:p>
              </w:tc>
              <w:tc>
                <w:tcPr>
                  <w:tcW w:w="617" w:type="pct"/>
                  <w:tcBorders>
                    <w:tl2br w:val="nil"/>
                    <w:tr2bl w:val="nil"/>
                  </w:tcBorders>
                  <w:vAlign w:val="center"/>
                </w:tcPr>
                <w:p w14:paraId="1F0C2026">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m</w:t>
                  </w:r>
                  <w:r>
                    <w:rPr>
                      <w:rFonts w:ascii="Times New Roman"/>
                      <w:b w:val="0"/>
                      <w:bCs/>
                      <w:color w:val="auto"/>
                      <w:szCs w:val="21"/>
                      <w:vertAlign w:val="superscript"/>
                    </w:rPr>
                    <w:t>2</w:t>
                  </w:r>
                </w:p>
              </w:tc>
              <w:tc>
                <w:tcPr>
                  <w:tcW w:w="1207" w:type="pct"/>
                  <w:tcBorders>
                    <w:tl2br w:val="nil"/>
                    <w:tr2bl w:val="nil"/>
                  </w:tcBorders>
                  <w:vAlign w:val="center"/>
                </w:tcPr>
                <w:p w14:paraId="728A488D">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28.3</w:t>
                  </w:r>
                </w:p>
              </w:tc>
              <w:tc>
                <w:tcPr>
                  <w:tcW w:w="1209" w:type="pct"/>
                  <w:tcBorders>
                    <w:tl2br w:val="nil"/>
                    <w:tr2bl w:val="nil"/>
                  </w:tcBorders>
                  <w:vAlign w:val="center"/>
                </w:tcPr>
                <w:p w14:paraId="148B39B6">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28.3</w:t>
                  </w:r>
                </w:p>
              </w:tc>
            </w:tr>
            <w:tr w14:paraId="659D80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76" w:type="pct"/>
                  <w:tcBorders>
                    <w:tl2br w:val="nil"/>
                    <w:tr2bl w:val="nil"/>
                  </w:tcBorders>
                  <w:vAlign w:val="center"/>
                </w:tcPr>
                <w:p w14:paraId="5D1F9593">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9</w:t>
                  </w:r>
                </w:p>
              </w:tc>
              <w:tc>
                <w:tcPr>
                  <w:tcW w:w="1490" w:type="pct"/>
                  <w:gridSpan w:val="2"/>
                  <w:tcBorders>
                    <w:tl2br w:val="nil"/>
                    <w:tr2bl w:val="nil"/>
                  </w:tcBorders>
                  <w:vAlign w:val="center"/>
                </w:tcPr>
                <w:p w14:paraId="516BEB53">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提升设备</w:t>
                  </w:r>
                </w:p>
              </w:tc>
              <w:tc>
                <w:tcPr>
                  <w:tcW w:w="617" w:type="pct"/>
                  <w:tcBorders>
                    <w:tl2br w:val="nil"/>
                    <w:tr2bl w:val="nil"/>
                  </w:tcBorders>
                  <w:vAlign w:val="center"/>
                </w:tcPr>
                <w:p w14:paraId="3535FE7B">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1207" w:type="pct"/>
                  <w:tcBorders>
                    <w:tl2br w:val="nil"/>
                    <w:tr2bl w:val="nil"/>
                  </w:tcBorders>
                  <w:vAlign w:val="center"/>
                </w:tcPr>
                <w:p w14:paraId="2C608F82">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p>
              </w:tc>
              <w:tc>
                <w:tcPr>
                  <w:tcW w:w="1209" w:type="pct"/>
                  <w:tcBorders>
                    <w:tl2br w:val="nil"/>
                    <w:tr2bl w:val="nil"/>
                  </w:tcBorders>
                  <w:vAlign w:val="center"/>
                </w:tcPr>
                <w:p w14:paraId="09EAFA30">
                  <w:pPr>
                    <w:pStyle w:val="65"/>
                    <w:keepNext w:val="0"/>
                    <w:keepLines w:val="0"/>
                    <w:pageBreakBefore w:val="0"/>
                    <w:widowControl w:val="0"/>
                    <w:kinsoku/>
                    <w:wordWrap/>
                    <w:overflowPunct/>
                    <w:topLinePunct w:val="0"/>
                    <w:autoSpaceDE/>
                    <w:autoSpaceDN/>
                    <w:bidi w:val="0"/>
                    <w:adjustRightInd/>
                    <w:snapToGrid w:val="0"/>
                    <w:spacing w:line="320" w:lineRule="exact"/>
                    <w:textAlignment w:val="auto"/>
                    <w:rPr>
                      <w:rFonts w:ascii="Times New Roman"/>
                      <w:b w:val="0"/>
                      <w:bCs/>
                      <w:color w:val="auto"/>
                      <w:szCs w:val="21"/>
                    </w:rPr>
                  </w:pPr>
                  <w:r>
                    <w:rPr>
                      <w:rFonts w:ascii="Times New Roman"/>
                      <w:b w:val="0"/>
                      <w:bCs/>
                      <w:color w:val="auto"/>
                      <w:szCs w:val="21"/>
                    </w:rPr>
                    <w:t>梯子间</w:t>
                  </w:r>
                </w:p>
              </w:tc>
            </w:tr>
          </w:tbl>
          <w:p w14:paraId="5C9D0E6E">
            <w:pPr>
              <w:jc w:val="center"/>
              <w:rPr>
                <w:rFonts w:ascii="宋体" w:hAnsi="宋体"/>
                <w:b/>
                <w:bCs/>
                <w:snapToGrid w:val="0"/>
                <w:color w:val="auto"/>
                <w:kern w:val="0"/>
                <w:sz w:val="24"/>
                <w:szCs w:val="20"/>
              </w:rPr>
            </w:pPr>
            <w:r>
              <w:rPr>
                <w:b/>
                <w:color w:val="auto"/>
              </w:rPr>
              <w:drawing>
                <wp:inline distT="0" distB="0" distL="114300" distR="114300">
                  <wp:extent cx="4309110" cy="4032250"/>
                  <wp:effectExtent l="19050" t="19050" r="34290" b="25400"/>
                  <wp:docPr id="3" name="图片 2" descr="井筒断面图-模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井筒断面图-模型2"/>
                          <pic:cNvPicPr>
                            <a:picLocks noChangeAspect="1"/>
                          </pic:cNvPicPr>
                        </pic:nvPicPr>
                        <pic:blipFill>
                          <a:blip r:embed="rId11" cstate="print"/>
                          <a:srcRect l="4469" t="11253" r="3973" b="28188"/>
                          <a:stretch>
                            <a:fillRect/>
                          </a:stretch>
                        </pic:blipFill>
                        <pic:spPr>
                          <a:xfrm>
                            <a:off x="0" y="0"/>
                            <a:ext cx="4309110" cy="4032250"/>
                          </a:xfrm>
                          <a:prstGeom prst="rect">
                            <a:avLst/>
                          </a:prstGeom>
                          <a:noFill/>
                          <a:ln w="19050" cap="flat" cmpd="sng">
                            <a:solidFill>
                              <a:srgbClr val="000000"/>
                            </a:solidFill>
                            <a:prstDash val="solid"/>
                            <a:round/>
                            <a:headEnd type="none" w="med" len="med"/>
                            <a:tailEnd type="none" w="med" len="med"/>
                          </a:ln>
                        </pic:spPr>
                      </pic:pic>
                    </a:graphicData>
                  </a:graphic>
                </wp:inline>
              </w:drawing>
            </w:r>
          </w:p>
          <w:p w14:paraId="558AFC95">
            <w:pPr>
              <w:widowControl/>
              <w:spacing w:line="480" w:lineRule="exact"/>
              <w:jc w:val="center"/>
              <w:rPr>
                <w:b/>
                <w:bCs/>
                <w:color w:val="auto"/>
                <w:kern w:val="0"/>
                <w:sz w:val="24"/>
              </w:rPr>
            </w:pPr>
            <w:r>
              <w:rPr>
                <w:rFonts w:hint="eastAsia"/>
                <w:b/>
                <w:bCs/>
                <w:color w:val="auto"/>
                <w:kern w:val="0"/>
                <w:sz w:val="24"/>
              </w:rPr>
              <w:t>图2-1   新增进风立井断面图</w:t>
            </w:r>
          </w:p>
          <w:p w14:paraId="09AB638A">
            <w:pPr>
              <w:jc w:val="center"/>
              <w:rPr>
                <w:rFonts w:ascii="宋体" w:hAnsi="宋体"/>
                <w:b/>
                <w:bCs/>
                <w:snapToGrid w:val="0"/>
                <w:color w:val="auto"/>
                <w:kern w:val="0"/>
                <w:sz w:val="24"/>
                <w:szCs w:val="20"/>
              </w:rPr>
            </w:pPr>
            <w:r>
              <w:rPr>
                <w:b/>
                <w:color w:val="auto"/>
              </w:rPr>
              <w:drawing>
                <wp:inline distT="0" distB="0" distL="114300" distR="114300">
                  <wp:extent cx="4391660" cy="4032250"/>
                  <wp:effectExtent l="19050" t="19050" r="27940" b="25400"/>
                  <wp:docPr id="1" name="图片 3" descr="井筒断面图-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井筒断面图-模型"/>
                          <pic:cNvPicPr>
                            <a:picLocks noChangeAspect="1"/>
                          </pic:cNvPicPr>
                        </pic:nvPicPr>
                        <pic:blipFill>
                          <a:blip r:embed="rId12" cstate="print"/>
                          <a:srcRect l="3973" t="11955" r="3642" b="28072"/>
                          <a:stretch>
                            <a:fillRect/>
                          </a:stretch>
                        </pic:blipFill>
                        <pic:spPr>
                          <a:xfrm>
                            <a:off x="0" y="0"/>
                            <a:ext cx="4391660" cy="4032250"/>
                          </a:xfrm>
                          <a:prstGeom prst="rect">
                            <a:avLst/>
                          </a:prstGeom>
                          <a:noFill/>
                          <a:ln w="19050" cap="flat" cmpd="sng">
                            <a:solidFill>
                              <a:srgbClr val="000000"/>
                            </a:solidFill>
                            <a:prstDash val="solid"/>
                            <a:round/>
                            <a:headEnd type="none" w="med" len="med"/>
                            <a:tailEnd type="none" w="med" len="med"/>
                          </a:ln>
                        </pic:spPr>
                      </pic:pic>
                    </a:graphicData>
                  </a:graphic>
                </wp:inline>
              </w:drawing>
            </w:r>
          </w:p>
          <w:p w14:paraId="15953431">
            <w:pPr>
              <w:widowControl/>
              <w:spacing w:line="480" w:lineRule="exact"/>
              <w:jc w:val="center"/>
              <w:rPr>
                <w:b/>
                <w:bCs/>
                <w:color w:val="auto"/>
                <w:kern w:val="0"/>
                <w:sz w:val="24"/>
              </w:rPr>
            </w:pPr>
            <w:r>
              <w:rPr>
                <w:rFonts w:hint="eastAsia"/>
                <w:b/>
                <w:bCs/>
                <w:color w:val="auto"/>
                <w:kern w:val="0"/>
                <w:sz w:val="24"/>
              </w:rPr>
              <w:t>图2-2  新增回风立井断面图</w:t>
            </w:r>
          </w:p>
          <w:p w14:paraId="789C00F5">
            <w:pPr>
              <w:widowControl/>
              <w:spacing w:line="500" w:lineRule="exact"/>
              <w:ind w:firstLine="482" w:firstLineChars="200"/>
              <w:rPr>
                <w:b/>
                <w:color w:val="auto"/>
                <w:kern w:val="0"/>
                <w:sz w:val="24"/>
              </w:rPr>
            </w:pPr>
            <w:r>
              <w:rPr>
                <w:rFonts w:hint="eastAsia"/>
                <w:b/>
                <w:color w:val="auto"/>
                <w:kern w:val="0"/>
                <w:sz w:val="24"/>
                <w:lang w:val="en-US" w:eastAsia="zh-CN"/>
              </w:rPr>
              <w:t>4</w:t>
            </w:r>
            <w:r>
              <w:rPr>
                <w:rFonts w:hint="eastAsia"/>
                <w:b/>
                <w:color w:val="auto"/>
                <w:kern w:val="0"/>
                <w:sz w:val="24"/>
              </w:rPr>
              <w:t>、回风大巷</w:t>
            </w:r>
          </w:p>
          <w:p w14:paraId="20BCD2A1">
            <w:pPr>
              <w:adjustRightInd w:val="0"/>
              <w:snapToGrid w:val="0"/>
              <w:spacing w:line="500" w:lineRule="exact"/>
              <w:ind w:firstLine="480" w:firstLineChars="200"/>
              <w:rPr>
                <w:color w:val="auto"/>
                <w:sz w:val="24"/>
              </w:rPr>
            </w:pPr>
            <w:r>
              <w:rPr>
                <w:rFonts w:hint="eastAsia"/>
                <w:color w:val="auto"/>
                <w:sz w:val="24"/>
              </w:rPr>
              <w:t>本次设计的井巷工程量中总巷道长度为4244.0m，掘进体积为93323.7m</w:t>
            </w:r>
            <w:r>
              <w:rPr>
                <w:rFonts w:hint="eastAsia"/>
                <w:color w:val="auto"/>
                <w:sz w:val="24"/>
                <w:vertAlign w:val="superscript"/>
              </w:rPr>
              <w:t>3</w:t>
            </w:r>
            <w:r>
              <w:rPr>
                <w:rFonts w:hint="eastAsia"/>
                <w:color w:val="auto"/>
                <w:sz w:val="24"/>
              </w:rPr>
              <w:t>，其中煤巷1128m，24026.4m</w:t>
            </w:r>
            <w:r>
              <w:rPr>
                <w:rFonts w:hint="eastAsia"/>
                <w:color w:val="auto"/>
                <w:sz w:val="24"/>
                <w:vertAlign w:val="superscript"/>
              </w:rPr>
              <w:t>3</w:t>
            </w:r>
            <w:r>
              <w:rPr>
                <w:rFonts w:hint="eastAsia"/>
                <w:color w:val="auto"/>
                <w:sz w:val="24"/>
              </w:rPr>
              <w:t>；半煤岩巷2516m，52256.4m</w:t>
            </w:r>
            <w:r>
              <w:rPr>
                <w:rFonts w:hint="eastAsia"/>
                <w:color w:val="auto"/>
                <w:sz w:val="24"/>
                <w:vertAlign w:val="superscript"/>
              </w:rPr>
              <w:t>3</w:t>
            </w:r>
            <w:r>
              <w:rPr>
                <w:rFonts w:hint="eastAsia"/>
                <w:color w:val="auto"/>
                <w:sz w:val="24"/>
              </w:rPr>
              <w:t>；岩巷600m，17040.9m</w:t>
            </w:r>
            <w:r>
              <w:rPr>
                <w:rFonts w:hint="eastAsia"/>
                <w:color w:val="auto"/>
                <w:sz w:val="24"/>
                <w:vertAlign w:val="superscript"/>
              </w:rPr>
              <w:t>3</w:t>
            </w:r>
            <w:r>
              <w:rPr>
                <w:rFonts w:hint="eastAsia"/>
                <w:color w:val="auto"/>
                <w:sz w:val="24"/>
              </w:rPr>
              <w:t>。井巷工程量汇总见下表。</w:t>
            </w:r>
          </w:p>
          <w:p w14:paraId="59CACFCA">
            <w:pPr>
              <w:widowControl/>
              <w:spacing w:line="480" w:lineRule="exact"/>
              <w:jc w:val="center"/>
              <w:rPr>
                <w:b/>
                <w:bCs/>
                <w:color w:val="auto"/>
                <w:kern w:val="0"/>
                <w:sz w:val="24"/>
              </w:rPr>
            </w:pPr>
            <w:r>
              <w:rPr>
                <w:rFonts w:hint="eastAsia"/>
                <w:b/>
                <w:bCs/>
                <w:color w:val="auto"/>
                <w:kern w:val="0"/>
                <w:sz w:val="24"/>
              </w:rPr>
              <w:t>表2-</w:t>
            </w:r>
            <w:r>
              <w:rPr>
                <w:rFonts w:hint="eastAsia"/>
                <w:b/>
                <w:bCs/>
                <w:color w:val="auto"/>
                <w:kern w:val="0"/>
                <w:sz w:val="24"/>
                <w:lang w:val="en-US" w:eastAsia="zh-CN"/>
              </w:rPr>
              <w:t>5</w:t>
            </w:r>
            <w:r>
              <w:rPr>
                <w:rFonts w:hint="eastAsia"/>
                <w:b/>
                <w:bCs/>
                <w:color w:val="auto"/>
                <w:kern w:val="0"/>
                <w:sz w:val="24"/>
              </w:rPr>
              <w:t xml:space="preserve">    井巷工程量汇总表</w:t>
            </w:r>
          </w:p>
          <w:tbl>
            <w:tblPr>
              <w:tblStyle w:val="29"/>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57"/>
              <w:gridCol w:w="918"/>
              <w:gridCol w:w="834"/>
              <w:gridCol w:w="794"/>
              <w:gridCol w:w="689"/>
              <w:gridCol w:w="844"/>
              <w:gridCol w:w="930"/>
              <w:gridCol w:w="930"/>
              <w:gridCol w:w="899"/>
              <w:gridCol w:w="942"/>
            </w:tblGrid>
            <w:tr w14:paraId="10EA19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343" w:type="pct"/>
                  <w:vMerge w:val="restart"/>
                  <w:tcBorders>
                    <w:tl2br w:val="nil"/>
                    <w:tr2bl w:val="nil"/>
                  </w:tcBorders>
                  <w:vAlign w:val="center"/>
                </w:tcPr>
                <w:p w14:paraId="75BD96AE">
                  <w:pPr>
                    <w:pStyle w:val="18"/>
                    <w:snapToGrid w:val="0"/>
                    <w:jc w:val="center"/>
                    <w:rPr>
                      <w:rFonts w:ascii="Times New Roman" w:hAnsi="Times New Roman" w:cs="Times New Roman"/>
                      <w:bCs/>
                      <w:color w:val="auto"/>
                    </w:rPr>
                  </w:pPr>
                  <w:r>
                    <w:rPr>
                      <w:rFonts w:ascii="Times New Roman" w:hAnsi="Times New Roman" w:cs="Times New Roman"/>
                      <w:bCs/>
                      <w:color w:val="auto"/>
                    </w:rPr>
                    <w:t>序号</w:t>
                  </w:r>
                </w:p>
              </w:tc>
              <w:tc>
                <w:tcPr>
                  <w:tcW w:w="559" w:type="pct"/>
                  <w:vMerge w:val="restart"/>
                  <w:tcBorders>
                    <w:tl2br w:val="nil"/>
                    <w:tr2bl w:val="nil"/>
                  </w:tcBorders>
                  <w:vAlign w:val="center"/>
                </w:tcPr>
                <w:p w14:paraId="32A0BC8E">
                  <w:pPr>
                    <w:pStyle w:val="18"/>
                    <w:snapToGrid w:val="0"/>
                    <w:jc w:val="center"/>
                    <w:rPr>
                      <w:rFonts w:ascii="Times New Roman" w:hAnsi="Times New Roman" w:cs="Times New Roman"/>
                      <w:bCs/>
                      <w:color w:val="auto"/>
                    </w:rPr>
                  </w:pPr>
                  <w:r>
                    <w:rPr>
                      <w:rFonts w:ascii="Times New Roman" w:hAnsi="Times New Roman" w:cs="Times New Roman"/>
                      <w:bCs/>
                      <w:color w:val="auto"/>
                    </w:rPr>
                    <w:t>井巷</w:t>
                  </w:r>
                </w:p>
                <w:p w14:paraId="2F4ECE82">
                  <w:pPr>
                    <w:pStyle w:val="18"/>
                    <w:snapToGrid w:val="0"/>
                    <w:jc w:val="center"/>
                    <w:rPr>
                      <w:rFonts w:ascii="Times New Roman" w:hAnsi="Times New Roman" w:cs="Times New Roman"/>
                      <w:bCs/>
                      <w:color w:val="auto"/>
                    </w:rPr>
                  </w:pPr>
                  <w:r>
                    <w:rPr>
                      <w:rFonts w:ascii="Times New Roman" w:hAnsi="Times New Roman" w:cs="Times New Roman"/>
                      <w:bCs/>
                      <w:color w:val="auto"/>
                    </w:rPr>
                    <w:t>分类</w:t>
                  </w:r>
                </w:p>
              </w:tc>
              <w:tc>
                <w:tcPr>
                  <w:tcW w:w="1880" w:type="pct"/>
                  <w:gridSpan w:val="4"/>
                  <w:tcBorders>
                    <w:tl2br w:val="nil"/>
                    <w:tr2bl w:val="nil"/>
                  </w:tcBorders>
                  <w:vAlign w:val="center"/>
                </w:tcPr>
                <w:p w14:paraId="7335DF12">
                  <w:pPr>
                    <w:pStyle w:val="18"/>
                    <w:snapToGrid w:val="0"/>
                    <w:jc w:val="center"/>
                    <w:rPr>
                      <w:rFonts w:ascii="Times New Roman" w:hAnsi="Times New Roman" w:cs="Times New Roman"/>
                      <w:bCs/>
                      <w:color w:val="auto"/>
                    </w:rPr>
                  </w:pPr>
                  <w:r>
                    <w:rPr>
                      <w:rFonts w:ascii="Times New Roman" w:hAnsi="Times New Roman" w:cs="Times New Roman"/>
                      <w:bCs/>
                      <w:color w:val="auto"/>
                    </w:rPr>
                    <w:t>长度（m</w:t>
                  </w:r>
                  <w:r>
                    <w:rPr>
                      <w:rFonts w:hint="eastAsia" w:ascii="Times New Roman" w:hAnsi="Times New Roman" w:cs="Times New Roman"/>
                      <w:bCs/>
                      <w:color w:val="auto"/>
                    </w:rPr>
                    <w:t>）</w:t>
                  </w:r>
                </w:p>
              </w:tc>
              <w:tc>
                <w:tcPr>
                  <w:tcW w:w="2215" w:type="pct"/>
                  <w:gridSpan w:val="4"/>
                  <w:tcBorders>
                    <w:tl2br w:val="nil"/>
                    <w:tr2bl w:val="nil"/>
                  </w:tcBorders>
                  <w:vAlign w:val="center"/>
                </w:tcPr>
                <w:p w14:paraId="753EE071">
                  <w:pPr>
                    <w:pStyle w:val="18"/>
                    <w:snapToGrid w:val="0"/>
                    <w:jc w:val="center"/>
                    <w:rPr>
                      <w:rFonts w:ascii="Times New Roman" w:hAnsi="Times New Roman" w:cs="Times New Roman"/>
                      <w:bCs/>
                      <w:color w:val="auto"/>
                    </w:rPr>
                  </w:pPr>
                  <w:r>
                    <w:rPr>
                      <w:rFonts w:ascii="Times New Roman" w:hAnsi="Times New Roman" w:cs="Times New Roman"/>
                      <w:bCs/>
                      <w:color w:val="auto"/>
                    </w:rPr>
                    <w:t>体积（m</w:t>
                  </w:r>
                  <w:r>
                    <w:rPr>
                      <w:rFonts w:ascii="Times New Roman" w:hAnsi="Times New Roman" w:cs="Times New Roman"/>
                      <w:bCs/>
                      <w:color w:val="auto"/>
                      <w:vertAlign w:val="superscript"/>
                    </w:rPr>
                    <w:t>3</w:t>
                  </w:r>
                  <w:r>
                    <w:rPr>
                      <w:rFonts w:hint="eastAsia" w:ascii="Times New Roman" w:hAnsi="Times New Roman" w:cs="Times New Roman"/>
                      <w:bCs/>
                      <w:color w:val="auto"/>
                    </w:rPr>
                    <w:t>）</w:t>
                  </w:r>
                </w:p>
              </w:tc>
            </w:tr>
            <w:tr w14:paraId="338C0F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343" w:type="pct"/>
                  <w:vMerge w:val="continue"/>
                  <w:tcBorders>
                    <w:tl2br w:val="nil"/>
                    <w:tr2bl w:val="nil"/>
                  </w:tcBorders>
                  <w:vAlign w:val="center"/>
                </w:tcPr>
                <w:p w14:paraId="490BD5D3">
                  <w:pPr>
                    <w:pStyle w:val="18"/>
                    <w:snapToGrid w:val="0"/>
                    <w:jc w:val="center"/>
                    <w:rPr>
                      <w:rFonts w:ascii="Times New Roman" w:hAnsi="Times New Roman" w:cs="Times New Roman"/>
                      <w:bCs/>
                      <w:color w:val="auto"/>
                    </w:rPr>
                  </w:pPr>
                </w:p>
              </w:tc>
              <w:tc>
                <w:tcPr>
                  <w:tcW w:w="559" w:type="pct"/>
                  <w:vMerge w:val="continue"/>
                  <w:tcBorders>
                    <w:tl2br w:val="nil"/>
                    <w:tr2bl w:val="nil"/>
                  </w:tcBorders>
                  <w:vAlign w:val="center"/>
                </w:tcPr>
                <w:p w14:paraId="67C6D804">
                  <w:pPr>
                    <w:pStyle w:val="18"/>
                    <w:snapToGrid w:val="0"/>
                    <w:jc w:val="center"/>
                    <w:rPr>
                      <w:rFonts w:ascii="Times New Roman" w:hAnsi="Times New Roman" w:cs="Times New Roman"/>
                      <w:bCs/>
                      <w:color w:val="auto"/>
                    </w:rPr>
                  </w:pPr>
                </w:p>
              </w:tc>
              <w:tc>
                <w:tcPr>
                  <w:tcW w:w="509" w:type="pct"/>
                  <w:tcBorders>
                    <w:tl2br w:val="nil"/>
                    <w:tr2bl w:val="nil"/>
                  </w:tcBorders>
                  <w:vAlign w:val="center"/>
                </w:tcPr>
                <w:p w14:paraId="1B012C5F">
                  <w:pPr>
                    <w:pStyle w:val="18"/>
                    <w:snapToGrid w:val="0"/>
                    <w:jc w:val="center"/>
                    <w:rPr>
                      <w:rFonts w:ascii="Times New Roman" w:hAnsi="Times New Roman" w:cs="Times New Roman"/>
                      <w:bCs/>
                      <w:color w:val="auto"/>
                    </w:rPr>
                  </w:pPr>
                  <w:r>
                    <w:rPr>
                      <w:rFonts w:ascii="Times New Roman" w:hAnsi="Times New Roman" w:cs="Times New Roman"/>
                      <w:bCs/>
                      <w:color w:val="auto"/>
                    </w:rPr>
                    <w:t>煤巷</w:t>
                  </w:r>
                </w:p>
              </w:tc>
              <w:tc>
                <w:tcPr>
                  <w:tcW w:w="455" w:type="pct"/>
                  <w:tcBorders>
                    <w:tl2br w:val="nil"/>
                    <w:tr2bl w:val="nil"/>
                  </w:tcBorders>
                  <w:vAlign w:val="center"/>
                </w:tcPr>
                <w:p w14:paraId="2DCE686F">
                  <w:pPr>
                    <w:pStyle w:val="18"/>
                    <w:snapToGrid w:val="0"/>
                    <w:ind w:left="-42" w:leftChars="-20" w:right="-42" w:rightChars="-20"/>
                    <w:jc w:val="center"/>
                    <w:rPr>
                      <w:rFonts w:ascii="Times New Roman" w:hAnsi="Times New Roman" w:cs="Times New Roman"/>
                      <w:bCs/>
                      <w:color w:val="auto"/>
                      <w:spacing w:val="-11"/>
                    </w:rPr>
                  </w:pPr>
                  <w:r>
                    <w:rPr>
                      <w:rFonts w:ascii="Times New Roman" w:hAnsi="Times New Roman" w:cs="Times New Roman"/>
                      <w:bCs/>
                      <w:color w:val="auto"/>
                      <w:spacing w:val="-11"/>
                    </w:rPr>
                    <w:t>半煤岩</w:t>
                  </w:r>
                </w:p>
              </w:tc>
              <w:tc>
                <w:tcPr>
                  <w:tcW w:w="402" w:type="pct"/>
                  <w:tcBorders>
                    <w:tl2br w:val="nil"/>
                    <w:tr2bl w:val="nil"/>
                  </w:tcBorders>
                  <w:vAlign w:val="center"/>
                </w:tcPr>
                <w:p w14:paraId="2F25963A">
                  <w:pPr>
                    <w:pStyle w:val="18"/>
                    <w:snapToGrid w:val="0"/>
                    <w:jc w:val="center"/>
                    <w:rPr>
                      <w:rFonts w:ascii="Times New Roman" w:hAnsi="Times New Roman" w:cs="Times New Roman"/>
                      <w:bCs/>
                      <w:color w:val="auto"/>
                    </w:rPr>
                  </w:pPr>
                  <w:r>
                    <w:rPr>
                      <w:rFonts w:ascii="Times New Roman" w:hAnsi="Times New Roman" w:cs="Times New Roman"/>
                      <w:bCs/>
                      <w:color w:val="auto"/>
                    </w:rPr>
                    <w:t>岩巷</w:t>
                  </w:r>
                </w:p>
              </w:tc>
              <w:tc>
                <w:tcPr>
                  <w:tcW w:w="512" w:type="pct"/>
                  <w:tcBorders>
                    <w:tl2br w:val="nil"/>
                    <w:tr2bl w:val="nil"/>
                  </w:tcBorders>
                  <w:vAlign w:val="center"/>
                </w:tcPr>
                <w:p w14:paraId="01884C03">
                  <w:pPr>
                    <w:pStyle w:val="18"/>
                    <w:snapToGrid w:val="0"/>
                    <w:jc w:val="center"/>
                    <w:rPr>
                      <w:rFonts w:ascii="Times New Roman" w:hAnsi="Times New Roman" w:cs="Times New Roman"/>
                      <w:bCs/>
                      <w:color w:val="auto"/>
                    </w:rPr>
                  </w:pPr>
                  <w:r>
                    <w:rPr>
                      <w:rFonts w:ascii="Times New Roman" w:hAnsi="Times New Roman" w:cs="Times New Roman"/>
                      <w:bCs/>
                      <w:color w:val="auto"/>
                    </w:rPr>
                    <w:t>合计</w:t>
                  </w:r>
                </w:p>
              </w:tc>
              <w:tc>
                <w:tcPr>
                  <w:tcW w:w="566" w:type="pct"/>
                  <w:tcBorders>
                    <w:tl2br w:val="nil"/>
                    <w:tr2bl w:val="nil"/>
                  </w:tcBorders>
                  <w:vAlign w:val="center"/>
                </w:tcPr>
                <w:p w14:paraId="0B6E81B7">
                  <w:pPr>
                    <w:pStyle w:val="18"/>
                    <w:snapToGrid w:val="0"/>
                    <w:jc w:val="center"/>
                    <w:rPr>
                      <w:rFonts w:ascii="Times New Roman" w:hAnsi="Times New Roman" w:cs="Times New Roman"/>
                      <w:bCs/>
                      <w:color w:val="auto"/>
                    </w:rPr>
                  </w:pPr>
                  <w:r>
                    <w:rPr>
                      <w:rFonts w:ascii="Times New Roman" w:hAnsi="Times New Roman" w:cs="Times New Roman"/>
                      <w:bCs/>
                      <w:color w:val="auto"/>
                    </w:rPr>
                    <w:t>煤巷</w:t>
                  </w:r>
                </w:p>
              </w:tc>
              <w:tc>
                <w:tcPr>
                  <w:tcW w:w="566" w:type="pct"/>
                  <w:tcBorders>
                    <w:tl2br w:val="nil"/>
                    <w:tr2bl w:val="nil"/>
                  </w:tcBorders>
                  <w:vAlign w:val="center"/>
                </w:tcPr>
                <w:p w14:paraId="3FE87E78">
                  <w:pPr>
                    <w:pStyle w:val="18"/>
                    <w:snapToGrid w:val="0"/>
                    <w:jc w:val="center"/>
                    <w:rPr>
                      <w:rFonts w:ascii="Times New Roman" w:hAnsi="Times New Roman" w:cs="Times New Roman"/>
                      <w:bCs/>
                      <w:color w:val="auto"/>
                    </w:rPr>
                  </w:pPr>
                  <w:r>
                    <w:rPr>
                      <w:rFonts w:ascii="Times New Roman" w:hAnsi="Times New Roman" w:cs="Times New Roman"/>
                      <w:bCs/>
                      <w:color w:val="auto"/>
                    </w:rPr>
                    <w:t>半煤岩</w:t>
                  </w:r>
                </w:p>
              </w:tc>
              <w:tc>
                <w:tcPr>
                  <w:tcW w:w="510" w:type="pct"/>
                  <w:tcBorders>
                    <w:tl2br w:val="nil"/>
                    <w:tr2bl w:val="nil"/>
                  </w:tcBorders>
                  <w:vAlign w:val="center"/>
                </w:tcPr>
                <w:p w14:paraId="0132A2AA">
                  <w:pPr>
                    <w:pStyle w:val="18"/>
                    <w:snapToGrid w:val="0"/>
                    <w:jc w:val="center"/>
                    <w:rPr>
                      <w:rFonts w:ascii="Times New Roman" w:hAnsi="Times New Roman" w:cs="Times New Roman"/>
                      <w:bCs/>
                      <w:color w:val="auto"/>
                    </w:rPr>
                  </w:pPr>
                  <w:r>
                    <w:rPr>
                      <w:rFonts w:ascii="Times New Roman" w:hAnsi="Times New Roman" w:cs="Times New Roman"/>
                      <w:bCs/>
                      <w:color w:val="auto"/>
                    </w:rPr>
                    <w:t>岩巷</w:t>
                  </w:r>
                </w:p>
              </w:tc>
              <w:tc>
                <w:tcPr>
                  <w:tcW w:w="572" w:type="pct"/>
                  <w:tcBorders>
                    <w:tl2br w:val="nil"/>
                    <w:tr2bl w:val="nil"/>
                  </w:tcBorders>
                  <w:vAlign w:val="center"/>
                </w:tcPr>
                <w:p w14:paraId="19BFA893">
                  <w:pPr>
                    <w:pStyle w:val="18"/>
                    <w:snapToGrid w:val="0"/>
                    <w:jc w:val="center"/>
                    <w:rPr>
                      <w:rFonts w:ascii="Times New Roman" w:hAnsi="Times New Roman" w:cs="Times New Roman"/>
                      <w:bCs/>
                      <w:color w:val="auto"/>
                    </w:rPr>
                  </w:pPr>
                  <w:r>
                    <w:rPr>
                      <w:rFonts w:ascii="Times New Roman" w:hAnsi="Times New Roman" w:cs="Times New Roman"/>
                      <w:bCs/>
                      <w:color w:val="auto"/>
                    </w:rPr>
                    <w:t>合计</w:t>
                  </w:r>
                </w:p>
              </w:tc>
            </w:tr>
            <w:tr w14:paraId="4D3FC7D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343" w:type="pct"/>
                  <w:tcBorders>
                    <w:tl2br w:val="nil"/>
                    <w:tr2bl w:val="nil"/>
                  </w:tcBorders>
                  <w:vAlign w:val="center"/>
                </w:tcPr>
                <w:p w14:paraId="375468F5">
                  <w:pPr>
                    <w:pStyle w:val="18"/>
                    <w:snapToGrid w:val="0"/>
                    <w:jc w:val="center"/>
                    <w:rPr>
                      <w:rFonts w:ascii="Times New Roman" w:hAnsi="Times New Roman" w:cs="Times New Roman"/>
                      <w:bCs/>
                      <w:color w:val="auto"/>
                    </w:rPr>
                  </w:pPr>
                  <w:r>
                    <w:rPr>
                      <w:rFonts w:ascii="Times New Roman" w:hAnsi="Times New Roman" w:cs="Times New Roman"/>
                      <w:bCs/>
                      <w:color w:val="auto"/>
                    </w:rPr>
                    <w:t>1</w:t>
                  </w:r>
                </w:p>
              </w:tc>
              <w:tc>
                <w:tcPr>
                  <w:tcW w:w="559" w:type="pct"/>
                  <w:tcBorders>
                    <w:tl2br w:val="nil"/>
                    <w:tr2bl w:val="nil"/>
                  </w:tcBorders>
                  <w:vAlign w:val="center"/>
                </w:tcPr>
                <w:p w14:paraId="1D68BB00">
                  <w:pPr>
                    <w:pStyle w:val="18"/>
                    <w:snapToGrid w:val="0"/>
                    <w:jc w:val="center"/>
                    <w:rPr>
                      <w:rFonts w:ascii="Times New Roman" w:hAnsi="Times New Roman" w:cs="Times New Roman"/>
                      <w:bCs/>
                      <w:color w:val="auto"/>
                    </w:rPr>
                  </w:pPr>
                  <w:r>
                    <w:rPr>
                      <w:rFonts w:ascii="Times New Roman" w:hAnsi="Times New Roman" w:cs="Times New Roman"/>
                      <w:bCs/>
                      <w:color w:val="auto"/>
                    </w:rPr>
                    <w:t>井筒</w:t>
                  </w:r>
                </w:p>
              </w:tc>
              <w:tc>
                <w:tcPr>
                  <w:tcW w:w="509" w:type="pct"/>
                  <w:tcBorders>
                    <w:tl2br w:val="nil"/>
                    <w:tr2bl w:val="nil"/>
                  </w:tcBorders>
                  <w:vAlign w:val="center"/>
                </w:tcPr>
                <w:p w14:paraId="213B8DE9">
                  <w:pPr>
                    <w:widowControl/>
                    <w:snapToGrid w:val="0"/>
                    <w:jc w:val="center"/>
                    <w:textAlignment w:val="center"/>
                    <w:rPr>
                      <w:bCs/>
                      <w:color w:val="auto"/>
                      <w:szCs w:val="21"/>
                    </w:rPr>
                  </w:pPr>
                  <w:r>
                    <w:rPr>
                      <w:bCs/>
                      <w:color w:val="auto"/>
                      <w:kern w:val="0"/>
                      <w:szCs w:val="21"/>
                    </w:rPr>
                    <w:t>0.0</w:t>
                  </w:r>
                </w:p>
              </w:tc>
              <w:tc>
                <w:tcPr>
                  <w:tcW w:w="455" w:type="pct"/>
                  <w:tcBorders>
                    <w:tl2br w:val="nil"/>
                    <w:tr2bl w:val="nil"/>
                  </w:tcBorders>
                  <w:vAlign w:val="center"/>
                </w:tcPr>
                <w:p w14:paraId="7A0A6009">
                  <w:pPr>
                    <w:widowControl/>
                    <w:snapToGrid w:val="0"/>
                    <w:jc w:val="center"/>
                    <w:textAlignment w:val="center"/>
                    <w:rPr>
                      <w:bCs/>
                      <w:color w:val="auto"/>
                      <w:szCs w:val="21"/>
                    </w:rPr>
                  </w:pPr>
                  <w:r>
                    <w:rPr>
                      <w:bCs/>
                      <w:color w:val="auto"/>
                      <w:kern w:val="0"/>
                      <w:szCs w:val="21"/>
                    </w:rPr>
                    <w:t>0.0</w:t>
                  </w:r>
                </w:p>
              </w:tc>
              <w:tc>
                <w:tcPr>
                  <w:tcW w:w="402" w:type="pct"/>
                  <w:tcBorders>
                    <w:tl2br w:val="nil"/>
                    <w:tr2bl w:val="nil"/>
                  </w:tcBorders>
                  <w:vAlign w:val="center"/>
                </w:tcPr>
                <w:p w14:paraId="2F0BA46E">
                  <w:pPr>
                    <w:widowControl/>
                    <w:snapToGrid w:val="0"/>
                    <w:jc w:val="center"/>
                    <w:textAlignment w:val="center"/>
                    <w:rPr>
                      <w:bCs/>
                      <w:color w:val="auto"/>
                      <w:szCs w:val="21"/>
                    </w:rPr>
                  </w:pPr>
                  <w:r>
                    <w:rPr>
                      <w:bCs/>
                      <w:color w:val="auto"/>
                      <w:kern w:val="0"/>
                      <w:szCs w:val="21"/>
                    </w:rPr>
                    <w:t>600.0</w:t>
                  </w:r>
                </w:p>
              </w:tc>
              <w:tc>
                <w:tcPr>
                  <w:tcW w:w="512" w:type="pct"/>
                  <w:tcBorders>
                    <w:tl2br w:val="nil"/>
                    <w:tr2bl w:val="nil"/>
                  </w:tcBorders>
                  <w:vAlign w:val="center"/>
                </w:tcPr>
                <w:p w14:paraId="1F7AC2BB">
                  <w:pPr>
                    <w:widowControl/>
                    <w:snapToGrid w:val="0"/>
                    <w:jc w:val="center"/>
                    <w:textAlignment w:val="center"/>
                    <w:rPr>
                      <w:bCs/>
                      <w:color w:val="auto"/>
                      <w:szCs w:val="21"/>
                    </w:rPr>
                  </w:pPr>
                  <w:r>
                    <w:rPr>
                      <w:bCs/>
                      <w:color w:val="auto"/>
                      <w:kern w:val="0"/>
                      <w:szCs w:val="21"/>
                    </w:rPr>
                    <w:t xml:space="preserve">600.0 </w:t>
                  </w:r>
                </w:p>
              </w:tc>
              <w:tc>
                <w:tcPr>
                  <w:tcW w:w="566" w:type="pct"/>
                  <w:tcBorders>
                    <w:tl2br w:val="nil"/>
                    <w:tr2bl w:val="nil"/>
                  </w:tcBorders>
                  <w:vAlign w:val="center"/>
                </w:tcPr>
                <w:p w14:paraId="71778C4D">
                  <w:pPr>
                    <w:widowControl/>
                    <w:snapToGrid w:val="0"/>
                    <w:jc w:val="center"/>
                    <w:textAlignment w:val="center"/>
                    <w:rPr>
                      <w:bCs/>
                      <w:color w:val="auto"/>
                      <w:szCs w:val="21"/>
                    </w:rPr>
                  </w:pPr>
                  <w:r>
                    <w:rPr>
                      <w:bCs/>
                      <w:color w:val="auto"/>
                      <w:kern w:val="0"/>
                      <w:szCs w:val="21"/>
                    </w:rPr>
                    <w:t xml:space="preserve">0.0 </w:t>
                  </w:r>
                </w:p>
              </w:tc>
              <w:tc>
                <w:tcPr>
                  <w:tcW w:w="566" w:type="pct"/>
                  <w:tcBorders>
                    <w:tl2br w:val="nil"/>
                    <w:tr2bl w:val="nil"/>
                  </w:tcBorders>
                  <w:vAlign w:val="center"/>
                </w:tcPr>
                <w:p w14:paraId="15527473">
                  <w:pPr>
                    <w:widowControl/>
                    <w:snapToGrid w:val="0"/>
                    <w:jc w:val="center"/>
                    <w:textAlignment w:val="center"/>
                    <w:rPr>
                      <w:bCs/>
                      <w:color w:val="auto"/>
                      <w:kern w:val="0"/>
                      <w:szCs w:val="21"/>
                    </w:rPr>
                  </w:pPr>
                  <w:r>
                    <w:rPr>
                      <w:bCs/>
                      <w:color w:val="auto"/>
                      <w:kern w:val="0"/>
                      <w:szCs w:val="21"/>
                    </w:rPr>
                    <w:t>0.0</w:t>
                  </w:r>
                </w:p>
              </w:tc>
              <w:tc>
                <w:tcPr>
                  <w:tcW w:w="510" w:type="pct"/>
                  <w:tcBorders>
                    <w:tl2br w:val="nil"/>
                    <w:tr2bl w:val="nil"/>
                  </w:tcBorders>
                  <w:vAlign w:val="center"/>
                </w:tcPr>
                <w:p w14:paraId="36E95BE5">
                  <w:pPr>
                    <w:widowControl/>
                    <w:snapToGrid w:val="0"/>
                    <w:jc w:val="center"/>
                    <w:textAlignment w:val="center"/>
                    <w:rPr>
                      <w:bCs/>
                      <w:color w:val="auto"/>
                      <w:szCs w:val="21"/>
                    </w:rPr>
                  </w:pPr>
                  <w:r>
                    <w:rPr>
                      <w:bCs/>
                      <w:color w:val="auto"/>
                      <w:kern w:val="0"/>
                      <w:szCs w:val="21"/>
                    </w:rPr>
                    <w:t>17040.9</w:t>
                  </w:r>
                </w:p>
              </w:tc>
              <w:tc>
                <w:tcPr>
                  <w:tcW w:w="572" w:type="pct"/>
                  <w:tcBorders>
                    <w:tl2br w:val="nil"/>
                    <w:tr2bl w:val="nil"/>
                  </w:tcBorders>
                  <w:vAlign w:val="center"/>
                </w:tcPr>
                <w:p w14:paraId="4F387E12">
                  <w:pPr>
                    <w:widowControl/>
                    <w:snapToGrid w:val="0"/>
                    <w:jc w:val="center"/>
                    <w:textAlignment w:val="center"/>
                    <w:rPr>
                      <w:bCs/>
                      <w:color w:val="auto"/>
                      <w:szCs w:val="21"/>
                    </w:rPr>
                  </w:pPr>
                  <w:r>
                    <w:rPr>
                      <w:bCs/>
                      <w:color w:val="auto"/>
                      <w:kern w:val="0"/>
                      <w:szCs w:val="21"/>
                    </w:rPr>
                    <w:t>17040.9</w:t>
                  </w:r>
                </w:p>
              </w:tc>
            </w:tr>
            <w:tr w14:paraId="0F8A8B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343" w:type="pct"/>
                  <w:tcBorders>
                    <w:tl2br w:val="nil"/>
                    <w:tr2bl w:val="nil"/>
                  </w:tcBorders>
                  <w:vAlign w:val="center"/>
                </w:tcPr>
                <w:p w14:paraId="1557E888">
                  <w:pPr>
                    <w:pStyle w:val="18"/>
                    <w:snapToGrid w:val="0"/>
                    <w:jc w:val="center"/>
                    <w:rPr>
                      <w:rFonts w:ascii="Times New Roman" w:hAnsi="Times New Roman" w:cs="Times New Roman"/>
                      <w:bCs/>
                      <w:color w:val="auto"/>
                    </w:rPr>
                  </w:pPr>
                  <w:r>
                    <w:rPr>
                      <w:rFonts w:ascii="Times New Roman" w:hAnsi="Times New Roman" w:cs="Times New Roman"/>
                      <w:bCs/>
                      <w:color w:val="auto"/>
                    </w:rPr>
                    <w:t>2</w:t>
                  </w:r>
                </w:p>
              </w:tc>
              <w:tc>
                <w:tcPr>
                  <w:tcW w:w="559" w:type="pct"/>
                  <w:tcBorders>
                    <w:tl2br w:val="nil"/>
                    <w:tr2bl w:val="nil"/>
                  </w:tcBorders>
                  <w:vAlign w:val="center"/>
                </w:tcPr>
                <w:p w14:paraId="346FBCD7">
                  <w:pPr>
                    <w:pStyle w:val="18"/>
                    <w:snapToGrid w:val="0"/>
                    <w:ind w:left="-42" w:leftChars="-20" w:right="-42" w:rightChars="-20"/>
                    <w:jc w:val="center"/>
                    <w:rPr>
                      <w:rFonts w:ascii="Times New Roman" w:hAnsi="Times New Roman" w:cs="Times New Roman"/>
                      <w:bCs/>
                      <w:color w:val="auto"/>
                      <w:spacing w:val="-11"/>
                    </w:rPr>
                  </w:pPr>
                  <w:r>
                    <w:rPr>
                      <w:rFonts w:ascii="Times New Roman" w:hAnsi="Times New Roman" w:cs="Times New Roman"/>
                      <w:bCs/>
                      <w:color w:val="auto"/>
                      <w:spacing w:val="-11"/>
                    </w:rPr>
                    <w:t>井底车场及硐室</w:t>
                  </w:r>
                </w:p>
              </w:tc>
              <w:tc>
                <w:tcPr>
                  <w:tcW w:w="509" w:type="pct"/>
                  <w:tcBorders>
                    <w:tl2br w:val="nil"/>
                    <w:tr2bl w:val="nil"/>
                  </w:tcBorders>
                  <w:vAlign w:val="center"/>
                </w:tcPr>
                <w:p w14:paraId="0220567A">
                  <w:pPr>
                    <w:widowControl/>
                    <w:snapToGrid w:val="0"/>
                    <w:jc w:val="center"/>
                    <w:textAlignment w:val="center"/>
                    <w:rPr>
                      <w:bCs/>
                      <w:color w:val="auto"/>
                      <w:szCs w:val="21"/>
                    </w:rPr>
                  </w:pPr>
                  <w:r>
                    <w:rPr>
                      <w:bCs/>
                      <w:color w:val="auto"/>
                      <w:kern w:val="0"/>
                      <w:szCs w:val="21"/>
                    </w:rPr>
                    <w:t>1128.0</w:t>
                  </w:r>
                </w:p>
              </w:tc>
              <w:tc>
                <w:tcPr>
                  <w:tcW w:w="455" w:type="pct"/>
                  <w:tcBorders>
                    <w:tl2br w:val="nil"/>
                    <w:tr2bl w:val="nil"/>
                  </w:tcBorders>
                  <w:vAlign w:val="center"/>
                </w:tcPr>
                <w:p w14:paraId="5364F612">
                  <w:pPr>
                    <w:widowControl/>
                    <w:snapToGrid w:val="0"/>
                    <w:jc w:val="center"/>
                    <w:textAlignment w:val="center"/>
                    <w:rPr>
                      <w:bCs/>
                      <w:color w:val="auto"/>
                      <w:szCs w:val="21"/>
                    </w:rPr>
                  </w:pPr>
                  <w:r>
                    <w:rPr>
                      <w:bCs/>
                      <w:color w:val="auto"/>
                      <w:kern w:val="0"/>
                      <w:szCs w:val="21"/>
                    </w:rPr>
                    <w:t>0.0</w:t>
                  </w:r>
                </w:p>
              </w:tc>
              <w:tc>
                <w:tcPr>
                  <w:tcW w:w="402" w:type="pct"/>
                  <w:tcBorders>
                    <w:tl2br w:val="nil"/>
                    <w:tr2bl w:val="nil"/>
                  </w:tcBorders>
                  <w:vAlign w:val="center"/>
                </w:tcPr>
                <w:p w14:paraId="2D635B3B">
                  <w:pPr>
                    <w:widowControl/>
                    <w:snapToGrid w:val="0"/>
                    <w:jc w:val="center"/>
                    <w:textAlignment w:val="center"/>
                    <w:rPr>
                      <w:bCs/>
                      <w:color w:val="auto"/>
                      <w:szCs w:val="21"/>
                    </w:rPr>
                  </w:pPr>
                  <w:r>
                    <w:rPr>
                      <w:bCs/>
                      <w:color w:val="auto"/>
                      <w:kern w:val="0"/>
                      <w:szCs w:val="21"/>
                    </w:rPr>
                    <w:t>0.0</w:t>
                  </w:r>
                </w:p>
              </w:tc>
              <w:tc>
                <w:tcPr>
                  <w:tcW w:w="512" w:type="pct"/>
                  <w:tcBorders>
                    <w:tl2br w:val="nil"/>
                    <w:tr2bl w:val="nil"/>
                  </w:tcBorders>
                  <w:vAlign w:val="center"/>
                </w:tcPr>
                <w:p w14:paraId="01B8D320">
                  <w:pPr>
                    <w:widowControl/>
                    <w:snapToGrid w:val="0"/>
                    <w:jc w:val="center"/>
                    <w:textAlignment w:val="center"/>
                    <w:rPr>
                      <w:bCs/>
                      <w:color w:val="auto"/>
                      <w:szCs w:val="21"/>
                    </w:rPr>
                  </w:pPr>
                  <w:r>
                    <w:rPr>
                      <w:bCs/>
                      <w:color w:val="auto"/>
                      <w:kern w:val="0"/>
                      <w:szCs w:val="21"/>
                    </w:rPr>
                    <w:t>1128.0</w:t>
                  </w:r>
                </w:p>
              </w:tc>
              <w:tc>
                <w:tcPr>
                  <w:tcW w:w="566" w:type="pct"/>
                  <w:tcBorders>
                    <w:tl2br w:val="nil"/>
                    <w:tr2bl w:val="nil"/>
                  </w:tcBorders>
                  <w:vAlign w:val="center"/>
                </w:tcPr>
                <w:p w14:paraId="2F185668">
                  <w:pPr>
                    <w:widowControl/>
                    <w:snapToGrid w:val="0"/>
                    <w:jc w:val="center"/>
                    <w:textAlignment w:val="center"/>
                    <w:rPr>
                      <w:bCs/>
                      <w:color w:val="auto"/>
                      <w:szCs w:val="21"/>
                    </w:rPr>
                  </w:pPr>
                  <w:r>
                    <w:rPr>
                      <w:bCs/>
                      <w:color w:val="auto"/>
                      <w:kern w:val="0"/>
                      <w:szCs w:val="21"/>
                    </w:rPr>
                    <w:t>24026.4</w:t>
                  </w:r>
                </w:p>
              </w:tc>
              <w:tc>
                <w:tcPr>
                  <w:tcW w:w="566" w:type="pct"/>
                  <w:tcBorders>
                    <w:tl2br w:val="nil"/>
                    <w:tr2bl w:val="nil"/>
                  </w:tcBorders>
                  <w:vAlign w:val="center"/>
                </w:tcPr>
                <w:p w14:paraId="10CB9FD5">
                  <w:pPr>
                    <w:widowControl/>
                    <w:snapToGrid w:val="0"/>
                    <w:jc w:val="center"/>
                    <w:textAlignment w:val="center"/>
                    <w:rPr>
                      <w:bCs/>
                      <w:color w:val="auto"/>
                      <w:szCs w:val="21"/>
                    </w:rPr>
                  </w:pPr>
                  <w:r>
                    <w:rPr>
                      <w:bCs/>
                      <w:color w:val="auto"/>
                      <w:kern w:val="0"/>
                      <w:szCs w:val="21"/>
                    </w:rPr>
                    <w:t>0.0</w:t>
                  </w:r>
                </w:p>
              </w:tc>
              <w:tc>
                <w:tcPr>
                  <w:tcW w:w="510" w:type="pct"/>
                  <w:tcBorders>
                    <w:tl2br w:val="nil"/>
                    <w:tr2bl w:val="nil"/>
                  </w:tcBorders>
                  <w:vAlign w:val="center"/>
                </w:tcPr>
                <w:p w14:paraId="76FBCDF0">
                  <w:pPr>
                    <w:widowControl/>
                    <w:snapToGrid w:val="0"/>
                    <w:jc w:val="center"/>
                    <w:textAlignment w:val="center"/>
                    <w:rPr>
                      <w:bCs/>
                      <w:color w:val="auto"/>
                      <w:szCs w:val="21"/>
                    </w:rPr>
                  </w:pPr>
                  <w:r>
                    <w:rPr>
                      <w:bCs/>
                      <w:color w:val="auto"/>
                      <w:kern w:val="0"/>
                      <w:szCs w:val="21"/>
                    </w:rPr>
                    <w:t>0.0</w:t>
                  </w:r>
                </w:p>
              </w:tc>
              <w:tc>
                <w:tcPr>
                  <w:tcW w:w="572" w:type="pct"/>
                  <w:tcBorders>
                    <w:tl2br w:val="nil"/>
                    <w:tr2bl w:val="nil"/>
                  </w:tcBorders>
                  <w:vAlign w:val="center"/>
                </w:tcPr>
                <w:p w14:paraId="62FD3BE2">
                  <w:pPr>
                    <w:widowControl/>
                    <w:snapToGrid w:val="0"/>
                    <w:jc w:val="center"/>
                    <w:textAlignment w:val="center"/>
                    <w:rPr>
                      <w:bCs/>
                      <w:color w:val="auto"/>
                      <w:szCs w:val="21"/>
                    </w:rPr>
                  </w:pPr>
                  <w:r>
                    <w:rPr>
                      <w:bCs/>
                      <w:color w:val="auto"/>
                      <w:kern w:val="0"/>
                      <w:szCs w:val="21"/>
                    </w:rPr>
                    <w:t>24026.4</w:t>
                  </w:r>
                </w:p>
              </w:tc>
            </w:tr>
            <w:tr w14:paraId="4BA185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343" w:type="pct"/>
                  <w:tcBorders>
                    <w:tl2br w:val="nil"/>
                    <w:tr2bl w:val="nil"/>
                  </w:tcBorders>
                  <w:vAlign w:val="center"/>
                </w:tcPr>
                <w:p w14:paraId="1117180D">
                  <w:pPr>
                    <w:pStyle w:val="18"/>
                    <w:snapToGrid w:val="0"/>
                    <w:jc w:val="center"/>
                    <w:rPr>
                      <w:rFonts w:ascii="Times New Roman" w:hAnsi="Times New Roman" w:cs="Times New Roman"/>
                      <w:bCs/>
                      <w:color w:val="auto"/>
                    </w:rPr>
                  </w:pPr>
                  <w:r>
                    <w:rPr>
                      <w:rFonts w:ascii="Times New Roman" w:hAnsi="Times New Roman" w:cs="Times New Roman"/>
                      <w:bCs/>
                      <w:color w:val="auto"/>
                    </w:rPr>
                    <w:t>3</w:t>
                  </w:r>
                </w:p>
              </w:tc>
              <w:tc>
                <w:tcPr>
                  <w:tcW w:w="559" w:type="pct"/>
                  <w:tcBorders>
                    <w:tl2br w:val="nil"/>
                    <w:tr2bl w:val="nil"/>
                  </w:tcBorders>
                  <w:vAlign w:val="center"/>
                </w:tcPr>
                <w:p w14:paraId="6622FFE3">
                  <w:pPr>
                    <w:pStyle w:val="18"/>
                    <w:snapToGrid w:val="0"/>
                    <w:ind w:left="-42" w:leftChars="-20" w:right="-42" w:rightChars="-20"/>
                    <w:jc w:val="center"/>
                    <w:rPr>
                      <w:rFonts w:ascii="Times New Roman" w:hAnsi="Times New Roman" w:cs="Times New Roman"/>
                      <w:bCs/>
                      <w:color w:val="auto"/>
                      <w:spacing w:val="-11"/>
                    </w:rPr>
                  </w:pPr>
                  <w:r>
                    <w:rPr>
                      <w:rFonts w:ascii="Times New Roman" w:hAnsi="Times New Roman" w:cs="Times New Roman"/>
                      <w:bCs/>
                      <w:color w:val="auto"/>
                      <w:spacing w:val="-11"/>
                    </w:rPr>
                    <w:t>主要巷道</w:t>
                  </w:r>
                </w:p>
              </w:tc>
              <w:tc>
                <w:tcPr>
                  <w:tcW w:w="509" w:type="pct"/>
                  <w:tcBorders>
                    <w:tl2br w:val="nil"/>
                    <w:tr2bl w:val="nil"/>
                  </w:tcBorders>
                  <w:vAlign w:val="center"/>
                </w:tcPr>
                <w:p w14:paraId="67A65F2B">
                  <w:pPr>
                    <w:widowControl/>
                    <w:snapToGrid w:val="0"/>
                    <w:jc w:val="center"/>
                    <w:textAlignment w:val="center"/>
                    <w:rPr>
                      <w:bCs/>
                      <w:color w:val="auto"/>
                      <w:kern w:val="0"/>
                      <w:szCs w:val="21"/>
                    </w:rPr>
                  </w:pPr>
                  <w:r>
                    <w:rPr>
                      <w:bCs/>
                      <w:color w:val="auto"/>
                      <w:kern w:val="0"/>
                      <w:szCs w:val="21"/>
                    </w:rPr>
                    <w:t>0.0</w:t>
                  </w:r>
                </w:p>
              </w:tc>
              <w:tc>
                <w:tcPr>
                  <w:tcW w:w="455" w:type="pct"/>
                  <w:tcBorders>
                    <w:tl2br w:val="nil"/>
                    <w:tr2bl w:val="nil"/>
                  </w:tcBorders>
                  <w:vAlign w:val="center"/>
                </w:tcPr>
                <w:p w14:paraId="35A918B2">
                  <w:pPr>
                    <w:widowControl/>
                    <w:snapToGrid w:val="0"/>
                    <w:jc w:val="center"/>
                    <w:textAlignment w:val="center"/>
                    <w:rPr>
                      <w:bCs/>
                      <w:color w:val="auto"/>
                      <w:kern w:val="0"/>
                      <w:szCs w:val="21"/>
                    </w:rPr>
                  </w:pPr>
                  <w:r>
                    <w:rPr>
                      <w:bCs/>
                      <w:color w:val="auto"/>
                      <w:kern w:val="0"/>
                      <w:szCs w:val="21"/>
                    </w:rPr>
                    <w:t>2116.0</w:t>
                  </w:r>
                </w:p>
              </w:tc>
              <w:tc>
                <w:tcPr>
                  <w:tcW w:w="402" w:type="pct"/>
                  <w:tcBorders>
                    <w:tl2br w:val="nil"/>
                    <w:tr2bl w:val="nil"/>
                  </w:tcBorders>
                  <w:vAlign w:val="center"/>
                </w:tcPr>
                <w:p w14:paraId="7E798759">
                  <w:pPr>
                    <w:widowControl/>
                    <w:snapToGrid w:val="0"/>
                    <w:jc w:val="center"/>
                    <w:textAlignment w:val="center"/>
                    <w:rPr>
                      <w:bCs/>
                      <w:color w:val="auto"/>
                      <w:kern w:val="0"/>
                      <w:szCs w:val="21"/>
                    </w:rPr>
                  </w:pPr>
                  <w:r>
                    <w:rPr>
                      <w:bCs/>
                      <w:color w:val="auto"/>
                      <w:kern w:val="0"/>
                      <w:szCs w:val="21"/>
                    </w:rPr>
                    <w:t>0.0</w:t>
                  </w:r>
                </w:p>
              </w:tc>
              <w:tc>
                <w:tcPr>
                  <w:tcW w:w="512" w:type="pct"/>
                  <w:tcBorders>
                    <w:tl2br w:val="nil"/>
                    <w:tr2bl w:val="nil"/>
                  </w:tcBorders>
                  <w:vAlign w:val="center"/>
                </w:tcPr>
                <w:p w14:paraId="7F660AAF">
                  <w:pPr>
                    <w:widowControl/>
                    <w:snapToGrid w:val="0"/>
                    <w:jc w:val="center"/>
                    <w:textAlignment w:val="center"/>
                    <w:rPr>
                      <w:bCs/>
                      <w:color w:val="auto"/>
                      <w:kern w:val="0"/>
                      <w:szCs w:val="21"/>
                    </w:rPr>
                  </w:pPr>
                  <w:r>
                    <w:rPr>
                      <w:bCs/>
                      <w:color w:val="auto"/>
                      <w:kern w:val="0"/>
                      <w:szCs w:val="21"/>
                    </w:rPr>
                    <w:t>2116.0</w:t>
                  </w:r>
                </w:p>
              </w:tc>
              <w:tc>
                <w:tcPr>
                  <w:tcW w:w="566" w:type="pct"/>
                  <w:tcBorders>
                    <w:tl2br w:val="nil"/>
                    <w:tr2bl w:val="nil"/>
                  </w:tcBorders>
                  <w:vAlign w:val="center"/>
                </w:tcPr>
                <w:p w14:paraId="36B34FE5">
                  <w:pPr>
                    <w:widowControl/>
                    <w:snapToGrid w:val="0"/>
                    <w:jc w:val="center"/>
                    <w:textAlignment w:val="center"/>
                    <w:rPr>
                      <w:bCs/>
                      <w:color w:val="auto"/>
                      <w:kern w:val="0"/>
                      <w:szCs w:val="21"/>
                    </w:rPr>
                  </w:pPr>
                  <w:r>
                    <w:rPr>
                      <w:bCs/>
                      <w:color w:val="auto"/>
                      <w:kern w:val="0"/>
                      <w:szCs w:val="21"/>
                    </w:rPr>
                    <w:t>0.0</w:t>
                  </w:r>
                </w:p>
              </w:tc>
              <w:tc>
                <w:tcPr>
                  <w:tcW w:w="566" w:type="pct"/>
                  <w:tcBorders>
                    <w:tl2br w:val="nil"/>
                    <w:tr2bl w:val="nil"/>
                  </w:tcBorders>
                  <w:vAlign w:val="center"/>
                </w:tcPr>
                <w:p w14:paraId="6597E626">
                  <w:pPr>
                    <w:widowControl/>
                    <w:snapToGrid w:val="0"/>
                    <w:jc w:val="center"/>
                    <w:textAlignment w:val="center"/>
                    <w:rPr>
                      <w:bCs/>
                      <w:color w:val="auto"/>
                      <w:kern w:val="0"/>
                      <w:szCs w:val="21"/>
                    </w:rPr>
                  </w:pPr>
                  <w:r>
                    <w:rPr>
                      <w:bCs/>
                      <w:color w:val="auto"/>
                      <w:kern w:val="0"/>
                      <w:szCs w:val="21"/>
                    </w:rPr>
                    <w:t>43520.4</w:t>
                  </w:r>
                </w:p>
              </w:tc>
              <w:tc>
                <w:tcPr>
                  <w:tcW w:w="510" w:type="pct"/>
                  <w:tcBorders>
                    <w:tl2br w:val="nil"/>
                    <w:tr2bl w:val="nil"/>
                  </w:tcBorders>
                  <w:vAlign w:val="center"/>
                </w:tcPr>
                <w:p w14:paraId="0AD0FB79">
                  <w:pPr>
                    <w:widowControl/>
                    <w:snapToGrid w:val="0"/>
                    <w:jc w:val="center"/>
                    <w:textAlignment w:val="center"/>
                    <w:rPr>
                      <w:bCs/>
                      <w:color w:val="auto"/>
                      <w:kern w:val="0"/>
                      <w:szCs w:val="21"/>
                    </w:rPr>
                  </w:pPr>
                  <w:r>
                    <w:rPr>
                      <w:bCs/>
                      <w:color w:val="auto"/>
                      <w:kern w:val="0"/>
                      <w:szCs w:val="21"/>
                    </w:rPr>
                    <w:t>0.0</w:t>
                  </w:r>
                </w:p>
              </w:tc>
              <w:tc>
                <w:tcPr>
                  <w:tcW w:w="572" w:type="pct"/>
                  <w:tcBorders>
                    <w:tl2br w:val="nil"/>
                    <w:tr2bl w:val="nil"/>
                  </w:tcBorders>
                  <w:vAlign w:val="center"/>
                </w:tcPr>
                <w:p w14:paraId="122AA0DF">
                  <w:pPr>
                    <w:widowControl/>
                    <w:snapToGrid w:val="0"/>
                    <w:jc w:val="center"/>
                    <w:textAlignment w:val="center"/>
                    <w:rPr>
                      <w:bCs/>
                      <w:color w:val="auto"/>
                      <w:kern w:val="0"/>
                      <w:szCs w:val="21"/>
                    </w:rPr>
                  </w:pPr>
                  <w:r>
                    <w:rPr>
                      <w:bCs/>
                      <w:color w:val="auto"/>
                      <w:kern w:val="0"/>
                      <w:szCs w:val="21"/>
                    </w:rPr>
                    <w:t>43520.4</w:t>
                  </w:r>
                </w:p>
              </w:tc>
            </w:tr>
            <w:tr w14:paraId="2FE8BDA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0" w:hRule="atLeast"/>
                <w:jc w:val="center"/>
              </w:trPr>
              <w:tc>
                <w:tcPr>
                  <w:tcW w:w="343" w:type="pct"/>
                  <w:tcBorders>
                    <w:tl2br w:val="nil"/>
                    <w:tr2bl w:val="nil"/>
                  </w:tcBorders>
                  <w:vAlign w:val="center"/>
                </w:tcPr>
                <w:p w14:paraId="735F4090">
                  <w:pPr>
                    <w:pStyle w:val="18"/>
                    <w:snapToGrid w:val="0"/>
                    <w:jc w:val="center"/>
                    <w:rPr>
                      <w:rFonts w:ascii="Times New Roman" w:hAnsi="Times New Roman" w:cs="Times New Roman"/>
                      <w:bCs/>
                      <w:color w:val="auto"/>
                    </w:rPr>
                  </w:pPr>
                  <w:r>
                    <w:rPr>
                      <w:rFonts w:ascii="Times New Roman" w:hAnsi="Times New Roman" w:cs="Times New Roman"/>
                      <w:bCs/>
                      <w:color w:val="auto"/>
                    </w:rPr>
                    <w:t>4</w:t>
                  </w:r>
                </w:p>
              </w:tc>
              <w:tc>
                <w:tcPr>
                  <w:tcW w:w="559" w:type="pct"/>
                  <w:tcBorders>
                    <w:tl2br w:val="nil"/>
                    <w:tr2bl w:val="nil"/>
                  </w:tcBorders>
                  <w:vAlign w:val="center"/>
                </w:tcPr>
                <w:p w14:paraId="17F480DE">
                  <w:pPr>
                    <w:pStyle w:val="18"/>
                    <w:snapToGrid w:val="0"/>
                    <w:ind w:left="-42" w:leftChars="-20" w:right="-42" w:rightChars="-20"/>
                    <w:jc w:val="center"/>
                    <w:rPr>
                      <w:rFonts w:ascii="Times New Roman" w:hAnsi="Times New Roman" w:cs="Times New Roman"/>
                      <w:bCs/>
                      <w:color w:val="auto"/>
                      <w:spacing w:val="-11"/>
                    </w:rPr>
                  </w:pPr>
                  <w:r>
                    <w:rPr>
                      <w:rFonts w:ascii="Times New Roman" w:hAnsi="Times New Roman" w:cs="Times New Roman"/>
                      <w:bCs/>
                      <w:color w:val="auto"/>
                      <w:spacing w:val="-11"/>
                    </w:rPr>
                    <w:t>临时工程</w:t>
                  </w:r>
                </w:p>
              </w:tc>
              <w:tc>
                <w:tcPr>
                  <w:tcW w:w="509" w:type="pct"/>
                  <w:tcBorders>
                    <w:tl2br w:val="nil"/>
                    <w:tr2bl w:val="nil"/>
                  </w:tcBorders>
                  <w:vAlign w:val="center"/>
                </w:tcPr>
                <w:p w14:paraId="48479EFB">
                  <w:pPr>
                    <w:widowControl/>
                    <w:snapToGrid w:val="0"/>
                    <w:jc w:val="center"/>
                    <w:textAlignment w:val="center"/>
                    <w:rPr>
                      <w:bCs/>
                      <w:color w:val="auto"/>
                      <w:szCs w:val="21"/>
                    </w:rPr>
                  </w:pPr>
                  <w:r>
                    <w:rPr>
                      <w:bCs/>
                      <w:color w:val="auto"/>
                      <w:szCs w:val="21"/>
                    </w:rPr>
                    <w:t>0.0</w:t>
                  </w:r>
                </w:p>
              </w:tc>
              <w:tc>
                <w:tcPr>
                  <w:tcW w:w="455" w:type="pct"/>
                  <w:tcBorders>
                    <w:tl2br w:val="nil"/>
                    <w:tr2bl w:val="nil"/>
                  </w:tcBorders>
                  <w:vAlign w:val="center"/>
                </w:tcPr>
                <w:p w14:paraId="06964569">
                  <w:pPr>
                    <w:widowControl/>
                    <w:snapToGrid w:val="0"/>
                    <w:jc w:val="center"/>
                    <w:textAlignment w:val="center"/>
                    <w:rPr>
                      <w:bCs/>
                      <w:color w:val="auto"/>
                      <w:szCs w:val="21"/>
                    </w:rPr>
                  </w:pPr>
                  <w:r>
                    <w:rPr>
                      <w:bCs/>
                      <w:color w:val="auto"/>
                      <w:kern w:val="0"/>
                      <w:szCs w:val="21"/>
                    </w:rPr>
                    <w:t>400.0</w:t>
                  </w:r>
                </w:p>
              </w:tc>
              <w:tc>
                <w:tcPr>
                  <w:tcW w:w="402" w:type="pct"/>
                  <w:tcBorders>
                    <w:tl2br w:val="nil"/>
                    <w:tr2bl w:val="nil"/>
                  </w:tcBorders>
                  <w:vAlign w:val="center"/>
                </w:tcPr>
                <w:p w14:paraId="07C8B7EB">
                  <w:pPr>
                    <w:snapToGrid w:val="0"/>
                    <w:jc w:val="center"/>
                    <w:rPr>
                      <w:bCs/>
                      <w:color w:val="auto"/>
                      <w:szCs w:val="21"/>
                    </w:rPr>
                  </w:pPr>
                </w:p>
              </w:tc>
              <w:tc>
                <w:tcPr>
                  <w:tcW w:w="512" w:type="pct"/>
                  <w:tcBorders>
                    <w:tl2br w:val="nil"/>
                    <w:tr2bl w:val="nil"/>
                  </w:tcBorders>
                  <w:vAlign w:val="center"/>
                </w:tcPr>
                <w:p w14:paraId="17F32306">
                  <w:pPr>
                    <w:widowControl/>
                    <w:snapToGrid w:val="0"/>
                    <w:jc w:val="center"/>
                    <w:textAlignment w:val="center"/>
                    <w:rPr>
                      <w:bCs/>
                      <w:color w:val="auto"/>
                      <w:szCs w:val="21"/>
                    </w:rPr>
                  </w:pPr>
                  <w:r>
                    <w:rPr>
                      <w:bCs/>
                      <w:color w:val="auto"/>
                      <w:kern w:val="0"/>
                      <w:szCs w:val="21"/>
                    </w:rPr>
                    <w:t xml:space="preserve">1200.0 </w:t>
                  </w:r>
                </w:p>
              </w:tc>
              <w:tc>
                <w:tcPr>
                  <w:tcW w:w="566" w:type="pct"/>
                  <w:tcBorders>
                    <w:tl2br w:val="nil"/>
                    <w:tr2bl w:val="nil"/>
                  </w:tcBorders>
                  <w:vAlign w:val="center"/>
                </w:tcPr>
                <w:p w14:paraId="3C677DDD">
                  <w:pPr>
                    <w:widowControl/>
                    <w:snapToGrid w:val="0"/>
                    <w:jc w:val="center"/>
                    <w:textAlignment w:val="center"/>
                    <w:rPr>
                      <w:bCs/>
                      <w:color w:val="auto"/>
                      <w:szCs w:val="21"/>
                    </w:rPr>
                  </w:pPr>
                  <w:r>
                    <w:rPr>
                      <w:bCs/>
                      <w:color w:val="auto"/>
                      <w:kern w:val="0"/>
                      <w:szCs w:val="21"/>
                    </w:rPr>
                    <w:t xml:space="preserve">0.0 </w:t>
                  </w:r>
                </w:p>
              </w:tc>
              <w:tc>
                <w:tcPr>
                  <w:tcW w:w="566" w:type="pct"/>
                  <w:tcBorders>
                    <w:tl2br w:val="nil"/>
                    <w:tr2bl w:val="nil"/>
                  </w:tcBorders>
                  <w:vAlign w:val="center"/>
                </w:tcPr>
                <w:p w14:paraId="639E95B0">
                  <w:pPr>
                    <w:snapToGrid w:val="0"/>
                    <w:jc w:val="center"/>
                    <w:rPr>
                      <w:bCs/>
                      <w:color w:val="auto"/>
                      <w:szCs w:val="21"/>
                    </w:rPr>
                  </w:pPr>
                  <w:r>
                    <w:rPr>
                      <w:bCs/>
                      <w:color w:val="auto"/>
                      <w:szCs w:val="21"/>
                    </w:rPr>
                    <w:t>8736.0</w:t>
                  </w:r>
                </w:p>
              </w:tc>
              <w:tc>
                <w:tcPr>
                  <w:tcW w:w="510" w:type="pct"/>
                  <w:tcBorders>
                    <w:tl2br w:val="nil"/>
                    <w:tr2bl w:val="nil"/>
                  </w:tcBorders>
                  <w:vAlign w:val="center"/>
                </w:tcPr>
                <w:p w14:paraId="45877FD3">
                  <w:pPr>
                    <w:widowControl/>
                    <w:snapToGrid w:val="0"/>
                    <w:jc w:val="center"/>
                    <w:textAlignment w:val="center"/>
                    <w:rPr>
                      <w:bCs/>
                      <w:color w:val="auto"/>
                      <w:szCs w:val="21"/>
                    </w:rPr>
                  </w:pPr>
                  <w:r>
                    <w:rPr>
                      <w:bCs/>
                      <w:color w:val="auto"/>
                      <w:kern w:val="0"/>
                      <w:szCs w:val="21"/>
                    </w:rPr>
                    <w:t xml:space="preserve">0.0 </w:t>
                  </w:r>
                </w:p>
              </w:tc>
              <w:tc>
                <w:tcPr>
                  <w:tcW w:w="572" w:type="pct"/>
                  <w:tcBorders>
                    <w:tl2br w:val="nil"/>
                    <w:tr2bl w:val="nil"/>
                  </w:tcBorders>
                  <w:vAlign w:val="center"/>
                </w:tcPr>
                <w:p w14:paraId="7A96E8B1">
                  <w:pPr>
                    <w:widowControl/>
                    <w:snapToGrid w:val="0"/>
                    <w:jc w:val="center"/>
                    <w:textAlignment w:val="center"/>
                    <w:rPr>
                      <w:bCs/>
                      <w:color w:val="auto"/>
                      <w:szCs w:val="21"/>
                    </w:rPr>
                  </w:pPr>
                  <w:r>
                    <w:rPr>
                      <w:bCs/>
                      <w:color w:val="auto"/>
                      <w:kern w:val="0"/>
                      <w:szCs w:val="21"/>
                    </w:rPr>
                    <w:t>17472.0</w:t>
                  </w:r>
                </w:p>
              </w:tc>
            </w:tr>
            <w:tr w14:paraId="663207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343" w:type="pct"/>
                  <w:tcBorders>
                    <w:tl2br w:val="nil"/>
                    <w:tr2bl w:val="nil"/>
                  </w:tcBorders>
                  <w:vAlign w:val="center"/>
                </w:tcPr>
                <w:p w14:paraId="78192F4C">
                  <w:pPr>
                    <w:pStyle w:val="18"/>
                    <w:snapToGrid w:val="0"/>
                    <w:jc w:val="center"/>
                    <w:rPr>
                      <w:rFonts w:ascii="Times New Roman" w:hAnsi="Times New Roman" w:cs="Times New Roman"/>
                      <w:bCs/>
                      <w:color w:val="auto"/>
                    </w:rPr>
                  </w:pPr>
                  <w:r>
                    <w:rPr>
                      <w:rFonts w:ascii="Times New Roman" w:hAnsi="Times New Roman" w:cs="Times New Roman"/>
                      <w:bCs/>
                      <w:color w:val="auto"/>
                    </w:rPr>
                    <w:t>5</w:t>
                  </w:r>
                </w:p>
              </w:tc>
              <w:tc>
                <w:tcPr>
                  <w:tcW w:w="559" w:type="pct"/>
                  <w:tcBorders>
                    <w:tl2br w:val="nil"/>
                    <w:tr2bl w:val="nil"/>
                  </w:tcBorders>
                  <w:vAlign w:val="center"/>
                </w:tcPr>
                <w:p w14:paraId="11F890A8">
                  <w:pPr>
                    <w:pStyle w:val="18"/>
                    <w:snapToGrid w:val="0"/>
                    <w:jc w:val="center"/>
                    <w:rPr>
                      <w:rFonts w:ascii="Times New Roman" w:hAnsi="Times New Roman" w:cs="Times New Roman"/>
                      <w:bCs/>
                      <w:color w:val="auto"/>
                    </w:rPr>
                  </w:pPr>
                  <w:r>
                    <w:rPr>
                      <w:rFonts w:ascii="Times New Roman" w:hAnsi="Times New Roman" w:cs="Times New Roman"/>
                      <w:bCs/>
                      <w:color w:val="auto"/>
                    </w:rPr>
                    <w:t>总计</w:t>
                  </w:r>
                </w:p>
              </w:tc>
              <w:tc>
                <w:tcPr>
                  <w:tcW w:w="509" w:type="pct"/>
                  <w:tcBorders>
                    <w:tl2br w:val="nil"/>
                    <w:tr2bl w:val="nil"/>
                  </w:tcBorders>
                  <w:vAlign w:val="center"/>
                </w:tcPr>
                <w:p w14:paraId="5964EA4F">
                  <w:pPr>
                    <w:widowControl/>
                    <w:snapToGrid w:val="0"/>
                    <w:jc w:val="center"/>
                    <w:textAlignment w:val="center"/>
                    <w:rPr>
                      <w:bCs/>
                      <w:color w:val="auto"/>
                      <w:kern w:val="0"/>
                      <w:szCs w:val="21"/>
                    </w:rPr>
                  </w:pPr>
                  <w:r>
                    <w:rPr>
                      <w:bCs/>
                      <w:color w:val="auto"/>
                      <w:kern w:val="0"/>
                      <w:szCs w:val="21"/>
                    </w:rPr>
                    <w:t>1128.0</w:t>
                  </w:r>
                </w:p>
              </w:tc>
              <w:tc>
                <w:tcPr>
                  <w:tcW w:w="455" w:type="pct"/>
                  <w:tcBorders>
                    <w:tl2br w:val="nil"/>
                    <w:tr2bl w:val="nil"/>
                  </w:tcBorders>
                  <w:vAlign w:val="center"/>
                </w:tcPr>
                <w:p w14:paraId="613B761F">
                  <w:pPr>
                    <w:widowControl/>
                    <w:snapToGrid w:val="0"/>
                    <w:jc w:val="center"/>
                    <w:textAlignment w:val="center"/>
                    <w:rPr>
                      <w:bCs/>
                      <w:color w:val="auto"/>
                      <w:kern w:val="0"/>
                      <w:szCs w:val="21"/>
                    </w:rPr>
                  </w:pPr>
                  <w:r>
                    <w:rPr>
                      <w:bCs/>
                      <w:color w:val="auto"/>
                      <w:kern w:val="0"/>
                      <w:szCs w:val="21"/>
                    </w:rPr>
                    <w:t>2516.0</w:t>
                  </w:r>
                </w:p>
              </w:tc>
              <w:tc>
                <w:tcPr>
                  <w:tcW w:w="402" w:type="pct"/>
                  <w:tcBorders>
                    <w:tl2br w:val="nil"/>
                    <w:tr2bl w:val="nil"/>
                  </w:tcBorders>
                  <w:vAlign w:val="center"/>
                </w:tcPr>
                <w:p w14:paraId="524E13B5">
                  <w:pPr>
                    <w:widowControl/>
                    <w:snapToGrid w:val="0"/>
                    <w:jc w:val="center"/>
                    <w:textAlignment w:val="center"/>
                    <w:rPr>
                      <w:bCs/>
                      <w:color w:val="auto"/>
                      <w:kern w:val="0"/>
                      <w:szCs w:val="21"/>
                    </w:rPr>
                  </w:pPr>
                  <w:r>
                    <w:rPr>
                      <w:bCs/>
                      <w:color w:val="auto"/>
                      <w:kern w:val="0"/>
                      <w:szCs w:val="21"/>
                    </w:rPr>
                    <w:t>600.0</w:t>
                  </w:r>
                </w:p>
              </w:tc>
              <w:tc>
                <w:tcPr>
                  <w:tcW w:w="512" w:type="pct"/>
                  <w:tcBorders>
                    <w:tl2br w:val="nil"/>
                    <w:tr2bl w:val="nil"/>
                  </w:tcBorders>
                  <w:vAlign w:val="center"/>
                </w:tcPr>
                <w:p w14:paraId="4C52D6AC">
                  <w:pPr>
                    <w:widowControl/>
                    <w:snapToGrid w:val="0"/>
                    <w:jc w:val="center"/>
                    <w:textAlignment w:val="center"/>
                    <w:rPr>
                      <w:bCs/>
                      <w:color w:val="auto"/>
                      <w:kern w:val="0"/>
                      <w:szCs w:val="21"/>
                    </w:rPr>
                  </w:pPr>
                  <w:r>
                    <w:rPr>
                      <w:bCs/>
                      <w:color w:val="auto"/>
                      <w:kern w:val="0"/>
                      <w:szCs w:val="21"/>
                    </w:rPr>
                    <w:t>4244.0</w:t>
                  </w:r>
                </w:p>
              </w:tc>
              <w:tc>
                <w:tcPr>
                  <w:tcW w:w="566" w:type="pct"/>
                  <w:tcBorders>
                    <w:tl2br w:val="nil"/>
                    <w:tr2bl w:val="nil"/>
                  </w:tcBorders>
                  <w:vAlign w:val="center"/>
                </w:tcPr>
                <w:p w14:paraId="01BF8ED0">
                  <w:pPr>
                    <w:widowControl/>
                    <w:snapToGrid w:val="0"/>
                    <w:jc w:val="center"/>
                    <w:textAlignment w:val="center"/>
                    <w:rPr>
                      <w:bCs/>
                      <w:color w:val="auto"/>
                      <w:kern w:val="0"/>
                      <w:szCs w:val="21"/>
                    </w:rPr>
                  </w:pPr>
                  <w:r>
                    <w:rPr>
                      <w:bCs/>
                      <w:color w:val="auto"/>
                      <w:kern w:val="0"/>
                      <w:szCs w:val="21"/>
                    </w:rPr>
                    <w:t>24026.4</w:t>
                  </w:r>
                </w:p>
              </w:tc>
              <w:tc>
                <w:tcPr>
                  <w:tcW w:w="566" w:type="pct"/>
                  <w:tcBorders>
                    <w:tl2br w:val="nil"/>
                    <w:tr2bl w:val="nil"/>
                  </w:tcBorders>
                  <w:vAlign w:val="center"/>
                </w:tcPr>
                <w:p w14:paraId="1555AAC3">
                  <w:pPr>
                    <w:widowControl/>
                    <w:snapToGrid w:val="0"/>
                    <w:jc w:val="center"/>
                    <w:textAlignment w:val="center"/>
                    <w:rPr>
                      <w:bCs/>
                      <w:color w:val="auto"/>
                      <w:kern w:val="0"/>
                      <w:szCs w:val="21"/>
                    </w:rPr>
                  </w:pPr>
                  <w:r>
                    <w:rPr>
                      <w:bCs/>
                      <w:color w:val="auto"/>
                      <w:kern w:val="0"/>
                      <w:szCs w:val="21"/>
                    </w:rPr>
                    <w:t>52256.4</w:t>
                  </w:r>
                </w:p>
              </w:tc>
              <w:tc>
                <w:tcPr>
                  <w:tcW w:w="510" w:type="pct"/>
                  <w:tcBorders>
                    <w:tl2br w:val="nil"/>
                    <w:tr2bl w:val="nil"/>
                  </w:tcBorders>
                  <w:vAlign w:val="center"/>
                </w:tcPr>
                <w:p w14:paraId="3C67C707">
                  <w:pPr>
                    <w:widowControl/>
                    <w:snapToGrid w:val="0"/>
                    <w:jc w:val="center"/>
                    <w:textAlignment w:val="center"/>
                    <w:rPr>
                      <w:bCs/>
                      <w:color w:val="auto"/>
                      <w:kern w:val="0"/>
                      <w:szCs w:val="21"/>
                    </w:rPr>
                  </w:pPr>
                  <w:r>
                    <w:rPr>
                      <w:bCs/>
                      <w:color w:val="auto"/>
                      <w:kern w:val="0"/>
                      <w:szCs w:val="21"/>
                    </w:rPr>
                    <w:t>17040.9</w:t>
                  </w:r>
                </w:p>
              </w:tc>
              <w:tc>
                <w:tcPr>
                  <w:tcW w:w="572" w:type="pct"/>
                  <w:tcBorders>
                    <w:tl2br w:val="nil"/>
                    <w:tr2bl w:val="nil"/>
                  </w:tcBorders>
                  <w:vAlign w:val="center"/>
                </w:tcPr>
                <w:p w14:paraId="1E4C77FF">
                  <w:pPr>
                    <w:widowControl/>
                    <w:snapToGrid w:val="0"/>
                    <w:jc w:val="center"/>
                    <w:textAlignment w:val="center"/>
                    <w:rPr>
                      <w:bCs/>
                      <w:color w:val="auto"/>
                      <w:kern w:val="0"/>
                      <w:szCs w:val="21"/>
                    </w:rPr>
                  </w:pPr>
                  <w:r>
                    <w:rPr>
                      <w:bCs/>
                      <w:color w:val="auto"/>
                      <w:kern w:val="0"/>
                      <w:szCs w:val="21"/>
                    </w:rPr>
                    <w:t>93323.7</w:t>
                  </w:r>
                </w:p>
              </w:tc>
            </w:tr>
          </w:tbl>
          <w:p w14:paraId="1B3F434E">
            <w:pPr>
              <w:widowControl/>
              <w:spacing w:line="500" w:lineRule="exact"/>
              <w:ind w:firstLine="482" w:firstLineChars="200"/>
              <w:rPr>
                <w:rFonts w:hint="default" w:eastAsia="宋体"/>
                <w:b/>
                <w:color w:val="auto"/>
                <w:kern w:val="0"/>
                <w:sz w:val="24"/>
                <w:lang w:val="en-US" w:eastAsia="zh-CN"/>
              </w:rPr>
            </w:pPr>
            <w:r>
              <w:rPr>
                <w:rFonts w:hint="eastAsia"/>
                <w:b/>
                <w:color w:val="auto"/>
                <w:kern w:val="0"/>
                <w:sz w:val="24"/>
                <w:lang w:val="en-US" w:eastAsia="zh-CN"/>
              </w:rPr>
              <w:t>5、主要设备</w:t>
            </w:r>
          </w:p>
          <w:p w14:paraId="06E60C86">
            <w:pPr>
              <w:widowControl/>
              <w:spacing w:line="480" w:lineRule="exact"/>
              <w:jc w:val="center"/>
              <w:rPr>
                <w:rFonts w:hint="default" w:ascii="Times New Roman" w:hAnsi="Times New Roman" w:eastAsia="宋体" w:cs="Times New Roman"/>
                <w:b/>
                <w:bCs/>
                <w:color w:val="auto"/>
                <w:kern w:val="0"/>
                <w:sz w:val="24"/>
                <w:lang w:val="en-US" w:eastAsia="zh-CN"/>
              </w:rPr>
            </w:pPr>
            <w:r>
              <w:rPr>
                <w:rFonts w:hint="eastAsia" w:ascii="Times New Roman" w:hAnsi="Times New Roman" w:eastAsia="宋体" w:cs="Times New Roman"/>
                <w:b/>
                <w:bCs/>
                <w:color w:val="auto"/>
                <w:kern w:val="0"/>
                <w:sz w:val="24"/>
                <w:lang w:val="en-US" w:eastAsia="zh-CN"/>
              </w:rPr>
              <w:t>表2-</w:t>
            </w:r>
            <w:r>
              <w:rPr>
                <w:rFonts w:hint="eastAsia" w:cs="Times New Roman"/>
                <w:b/>
                <w:bCs/>
                <w:color w:val="auto"/>
                <w:kern w:val="0"/>
                <w:sz w:val="24"/>
                <w:lang w:val="en-US" w:eastAsia="zh-CN"/>
              </w:rPr>
              <w:t>6</w:t>
            </w:r>
            <w:r>
              <w:rPr>
                <w:rFonts w:hint="eastAsia" w:ascii="Times New Roman" w:hAnsi="Times New Roman" w:eastAsia="宋体" w:cs="Times New Roman"/>
                <w:b/>
                <w:bCs/>
                <w:color w:val="auto"/>
                <w:kern w:val="0"/>
                <w:sz w:val="24"/>
                <w:lang w:val="en-US" w:eastAsia="zh-CN"/>
              </w:rPr>
              <w:t xml:space="preserve">       项目主要设备一览表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848"/>
              <w:gridCol w:w="2604"/>
              <w:gridCol w:w="1445"/>
              <w:gridCol w:w="1751"/>
            </w:tblGrid>
            <w:tr w14:paraId="46711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41EC5EE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序号</w:t>
                  </w:r>
                </w:p>
              </w:tc>
              <w:tc>
                <w:tcPr>
                  <w:tcW w:w="1107" w:type="pct"/>
                  <w:vAlign w:val="center"/>
                </w:tcPr>
                <w:p w14:paraId="60A77A2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设备名称</w:t>
                  </w:r>
                </w:p>
              </w:tc>
              <w:tc>
                <w:tcPr>
                  <w:tcW w:w="1560" w:type="pct"/>
                  <w:vAlign w:val="center"/>
                </w:tcPr>
                <w:p w14:paraId="59645A2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lang w:val="en-US" w:eastAsia="zh-CN"/>
                    </w:rPr>
                  </w:pPr>
                  <w:r>
                    <w:rPr>
                      <w:rFonts w:hint="eastAsia"/>
                      <w:color w:val="auto"/>
                      <w:sz w:val="21"/>
                      <w:szCs w:val="21"/>
                      <w:lang w:val="en-US" w:eastAsia="zh-CN"/>
                    </w:rPr>
                    <w:t>规格、型号</w:t>
                  </w:r>
                </w:p>
              </w:tc>
              <w:tc>
                <w:tcPr>
                  <w:tcW w:w="866" w:type="pct"/>
                  <w:vAlign w:val="center"/>
                </w:tcPr>
                <w:p w14:paraId="60E5BB7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eastAsia="zh-CN"/>
                    </w:rPr>
                  </w:pPr>
                  <w:r>
                    <w:rPr>
                      <w:rFonts w:hint="eastAsia"/>
                      <w:color w:val="auto"/>
                      <w:sz w:val="21"/>
                      <w:szCs w:val="21"/>
                    </w:rPr>
                    <w:t>数量</w:t>
                  </w:r>
                  <w:r>
                    <w:rPr>
                      <w:rFonts w:hint="eastAsia"/>
                      <w:color w:val="auto"/>
                      <w:sz w:val="21"/>
                      <w:szCs w:val="21"/>
                      <w:lang w:eastAsia="zh-CN"/>
                    </w:rPr>
                    <w:t>（</w:t>
                  </w:r>
                  <w:r>
                    <w:rPr>
                      <w:rFonts w:hint="eastAsia"/>
                      <w:color w:val="auto"/>
                      <w:sz w:val="21"/>
                      <w:szCs w:val="21"/>
                      <w:lang w:val="en-US" w:eastAsia="zh-CN"/>
                    </w:rPr>
                    <w:t>台</w:t>
                  </w:r>
                  <w:r>
                    <w:rPr>
                      <w:rFonts w:hint="eastAsia"/>
                      <w:color w:val="auto"/>
                      <w:sz w:val="21"/>
                      <w:szCs w:val="21"/>
                      <w:lang w:eastAsia="zh-CN"/>
                    </w:rPr>
                    <w:t>）</w:t>
                  </w:r>
                </w:p>
              </w:tc>
              <w:tc>
                <w:tcPr>
                  <w:tcW w:w="1049" w:type="pct"/>
                  <w:vAlign w:val="center"/>
                </w:tcPr>
                <w:p w14:paraId="07F2247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备注</w:t>
                  </w:r>
                </w:p>
              </w:tc>
            </w:tr>
            <w:tr w14:paraId="2CB68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3034072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1</w:t>
                  </w:r>
                </w:p>
              </w:tc>
              <w:tc>
                <w:tcPr>
                  <w:tcW w:w="1107" w:type="pct"/>
                  <w:vAlign w:val="center"/>
                </w:tcPr>
                <w:p w14:paraId="2F186DD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通风机</w:t>
                  </w:r>
                </w:p>
              </w:tc>
              <w:tc>
                <w:tcPr>
                  <w:tcW w:w="1560" w:type="pct"/>
                  <w:vAlign w:val="center"/>
                </w:tcPr>
                <w:p w14:paraId="61EAB771">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FCZ-2450/1400C</w:t>
                  </w:r>
                </w:p>
              </w:tc>
              <w:tc>
                <w:tcPr>
                  <w:tcW w:w="866" w:type="pct"/>
                  <w:vAlign w:val="center"/>
                </w:tcPr>
                <w:p w14:paraId="18D7D98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2</w:t>
                  </w:r>
                </w:p>
              </w:tc>
              <w:tc>
                <w:tcPr>
                  <w:tcW w:w="1049" w:type="pct"/>
                  <w:vAlign w:val="center"/>
                </w:tcPr>
                <w:p w14:paraId="3BFC052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1用1备</w:t>
                  </w:r>
                </w:p>
              </w:tc>
            </w:tr>
            <w:tr w14:paraId="5AF53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0AF64C3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2</w:t>
                  </w:r>
                </w:p>
              </w:tc>
              <w:tc>
                <w:tcPr>
                  <w:tcW w:w="1107" w:type="pct"/>
                  <w:vAlign w:val="center"/>
                </w:tcPr>
                <w:p w14:paraId="60EA833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Cs w:val="21"/>
                    </w:rPr>
                    <w:t>乏风热泵机组</w:t>
                  </w:r>
                </w:p>
              </w:tc>
              <w:tc>
                <w:tcPr>
                  <w:tcW w:w="1560" w:type="pct"/>
                  <w:vAlign w:val="center"/>
                </w:tcPr>
                <w:p w14:paraId="6D746FB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color w:val="auto"/>
                      <w:szCs w:val="21"/>
                    </w:rPr>
                    <w:t>SMEET-FS-R-1700</w:t>
                  </w:r>
                </w:p>
              </w:tc>
              <w:tc>
                <w:tcPr>
                  <w:tcW w:w="866" w:type="pct"/>
                  <w:vAlign w:val="center"/>
                </w:tcPr>
                <w:p w14:paraId="6B848D2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3</w:t>
                  </w:r>
                </w:p>
              </w:tc>
              <w:tc>
                <w:tcPr>
                  <w:tcW w:w="1049" w:type="pct"/>
                  <w:vAlign w:val="center"/>
                </w:tcPr>
                <w:p w14:paraId="5BF1555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p>
              </w:tc>
            </w:tr>
            <w:tr w14:paraId="6EC4B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75CA0A2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3</w:t>
                  </w:r>
                </w:p>
              </w:tc>
              <w:tc>
                <w:tcPr>
                  <w:tcW w:w="1107" w:type="pct"/>
                  <w:vAlign w:val="center"/>
                </w:tcPr>
                <w:p w14:paraId="2655B58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乏风取热箱</w:t>
                  </w:r>
                </w:p>
              </w:tc>
              <w:tc>
                <w:tcPr>
                  <w:tcW w:w="1560" w:type="pct"/>
                  <w:vAlign w:val="center"/>
                </w:tcPr>
                <w:p w14:paraId="7952DFE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SMEET-FSQ-180</w:t>
                  </w:r>
                </w:p>
              </w:tc>
              <w:tc>
                <w:tcPr>
                  <w:tcW w:w="866" w:type="pct"/>
                  <w:vAlign w:val="center"/>
                </w:tcPr>
                <w:p w14:paraId="31BE1C3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olor w:val="auto"/>
                      <w:sz w:val="21"/>
                      <w:szCs w:val="21"/>
                      <w:lang w:val="en-US" w:eastAsia="zh-CN"/>
                    </w:rPr>
                  </w:pPr>
                  <w:r>
                    <w:rPr>
                      <w:rFonts w:hint="eastAsia"/>
                      <w:color w:val="auto"/>
                      <w:sz w:val="21"/>
                      <w:szCs w:val="21"/>
                      <w:lang w:val="en-US" w:eastAsia="zh-CN"/>
                    </w:rPr>
                    <w:t>24</w:t>
                  </w:r>
                </w:p>
              </w:tc>
              <w:tc>
                <w:tcPr>
                  <w:tcW w:w="1049" w:type="pct"/>
                  <w:vAlign w:val="center"/>
                </w:tcPr>
                <w:p w14:paraId="4CAC192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p>
              </w:tc>
            </w:tr>
            <w:tr w14:paraId="16C63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64D600D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4</w:t>
                  </w:r>
                </w:p>
              </w:tc>
              <w:tc>
                <w:tcPr>
                  <w:tcW w:w="1107" w:type="pct"/>
                  <w:vAlign w:val="center"/>
                </w:tcPr>
                <w:p w14:paraId="0750556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空气加热机组</w:t>
                  </w:r>
                </w:p>
              </w:tc>
              <w:tc>
                <w:tcPr>
                  <w:tcW w:w="1560" w:type="pct"/>
                  <w:vAlign w:val="center"/>
                </w:tcPr>
                <w:p w14:paraId="6EFBA03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SMEET-FJ-580</w:t>
                  </w:r>
                </w:p>
              </w:tc>
              <w:tc>
                <w:tcPr>
                  <w:tcW w:w="866" w:type="pct"/>
                  <w:vAlign w:val="center"/>
                </w:tcPr>
                <w:p w14:paraId="719E792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olor w:val="auto"/>
                      <w:sz w:val="21"/>
                      <w:szCs w:val="21"/>
                      <w:lang w:val="en-US" w:eastAsia="zh-CN"/>
                    </w:rPr>
                  </w:pPr>
                  <w:r>
                    <w:rPr>
                      <w:rFonts w:hint="eastAsia"/>
                      <w:color w:val="auto"/>
                      <w:sz w:val="21"/>
                      <w:szCs w:val="21"/>
                      <w:lang w:val="en-US" w:eastAsia="zh-CN"/>
                    </w:rPr>
                    <w:t>8</w:t>
                  </w:r>
                </w:p>
              </w:tc>
              <w:tc>
                <w:tcPr>
                  <w:tcW w:w="1049" w:type="pct"/>
                  <w:vAlign w:val="center"/>
                </w:tcPr>
                <w:p w14:paraId="0C924B3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p>
              </w:tc>
            </w:tr>
            <w:tr w14:paraId="198D4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6" w:type="pct"/>
                  <w:vAlign w:val="center"/>
                </w:tcPr>
                <w:p w14:paraId="61E104B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olor w:val="auto"/>
                      <w:sz w:val="21"/>
                      <w:szCs w:val="21"/>
                      <w:lang w:val="en-US" w:eastAsia="zh-CN"/>
                    </w:rPr>
                  </w:pPr>
                  <w:r>
                    <w:rPr>
                      <w:rFonts w:hint="eastAsia"/>
                      <w:color w:val="auto"/>
                      <w:sz w:val="21"/>
                      <w:szCs w:val="21"/>
                      <w:lang w:val="en-US" w:eastAsia="zh-CN"/>
                    </w:rPr>
                    <w:t>5</w:t>
                  </w:r>
                </w:p>
              </w:tc>
              <w:tc>
                <w:tcPr>
                  <w:tcW w:w="1107" w:type="pct"/>
                  <w:vAlign w:val="center"/>
                </w:tcPr>
                <w:p w14:paraId="1A1135E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Cs w:val="21"/>
                      <w:lang w:val="en-US" w:eastAsia="zh-CN"/>
                    </w:rPr>
                  </w:pPr>
                  <w:r>
                    <w:rPr>
                      <w:rFonts w:hint="eastAsia"/>
                      <w:color w:val="auto"/>
                      <w:szCs w:val="21"/>
                      <w:lang w:val="en-US" w:eastAsia="zh-CN"/>
                    </w:rPr>
                    <w:t>水泵</w:t>
                  </w:r>
                </w:p>
              </w:tc>
              <w:tc>
                <w:tcPr>
                  <w:tcW w:w="1560" w:type="pct"/>
                  <w:vAlign w:val="center"/>
                </w:tcPr>
                <w:p w14:paraId="0090813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Cs w:val="21"/>
                      <w:lang w:val="en-US" w:eastAsia="zh-CN"/>
                    </w:rPr>
                  </w:pPr>
                  <w:r>
                    <w:rPr>
                      <w:rFonts w:hint="eastAsia"/>
                      <w:color w:val="auto"/>
                      <w:szCs w:val="21"/>
                      <w:lang w:val="en-US" w:eastAsia="zh-CN"/>
                    </w:rPr>
                    <w:t>/</w:t>
                  </w:r>
                </w:p>
              </w:tc>
              <w:tc>
                <w:tcPr>
                  <w:tcW w:w="866" w:type="pct"/>
                  <w:vAlign w:val="center"/>
                </w:tcPr>
                <w:p w14:paraId="5089D8AF">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olor w:val="auto"/>
                      <w:sz w:val="21"/>
                      <w:szCs w:val="21"/>
                      <w:lang w:val="en-US" w:eastAsia="zh-CN"/>
                    </w:rPr>
                  </w:pPr>
                  <w:r>
                    <w:rPr>
                      <w:rFonts w:hint="eastAsia"/>
                      <w:color w:val="auto"/>
                      <w:sz w:val="21"/>
                      <w:szCs w:val="21"/>
                      <w:lang w:val="en-US" w:eastAsia="zh-CN"/>
                    </w:rPr>
                    <w:t>3</w:t>
                  </w:r>
                </w:p>
              </w:tc>
              <w:tc>
                <w:tcPr>
                  <w:tcW w:w="1049" w:type="pct"/>
                  <w:vAlign w:val="center"/>
                </w:tcPr>
                <w:p w14:paraId="6C648014">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2用1备</w:t>
                  </w:r>
                </w:p>
              </w:tc>
            </w:tr>
          </w:tbl>
          <w:p w14:paraId="4A32EB66">
            <w:pPr>
              <w:widowControl/>
              <w:spacing w:line="500" w:lineRule="exact"/>
              <w:ind w:firstLine="482" w:firstLineChars="200"/>
              <w:rPr>
                <w:b/>
                <w:color w:val="auto"/>
                <w:kern w:val="0"/>
                <w:sz w:val="24"/>
              </w:rPr>
            </w:pPr>
            <w:r>
              <w:rPr>
                <w:rFonts w:hint="eastAsia"/>
                <w:b/>
                <w:color w:val="auto"/>
                <w:kern w:val="0"/>
                <w:sz w:val="24"/>
                <w:lang w:val="en-US" w:eastAsia="zh-CN"/>
              </w:rPr>
              <w:t>6</w:t>
            </w:r>
            <w:r>
              <w:rPr>
                <w:rFonts w:hint="eastAsia"/>
                <w:b/>
                <w:color w:val="auto"/>
                <w:kern w:val="0"/>
                <w:sz w:val="24"/>
              </w:rPr>
              <w:t>、工程占地</w:t>
            </w:r>
          </w:p>
          <w:p w14:paraId="5031B338">
            <w:pPr>
              <w:widowControl/>
              <w:spacing w:line="500" w:lineRule="exact"/>
              <w:ind w:firstLine="480" w:firstLineChars="200"/>
              <w:rPr>
                <w:color w:val="auto"/>
                <w:sz w:val="24"/>
              </w:rPr>
            </w:pPr>
            <w:r>
              <w:rPr>
                <w:rFonts w:hint="eastAsia"/>
                <w:color w:val="auto"/>
                <w:sz w:val="24"/>
              </w:rPr>
              <w:t>根据项目地勘报告，</w:t>
            </w:r>
            <w:r>
              <w:rPr>
                <w:rFonts w:hint="eastAsia" w:eastAsiaTheme="minorEastAsia"/>
                <w:color w:val="auto"/>
                <w:kern w:val="0"/>
                <w:sz w:val="24"/>
              </w:rPr>
              <w:t>风井场地总占地面积为1.0771hm</w:t>
            </w:r>
            <w:r>
              <w:rPr>
                <w:rFonts w:hint="eastAsia" w:eastAsiaTheme="minorEastAsia"/>
                <w:color w:val="auto"/>
                <w:kern w:val="0"/>
                <w:sz w:val="24"/>
                <w:vertAlign w:val="superscript"/>
              </w:rPr>
              <w:t>2</w:t>
            </w:r>
            <w:r>
              <w:rPr>
                <w:rFonts w:hint="eastAsia" w:eastAsiaTheme="minorEastAsia"/>
                <w:color w:val="auto"/>
                <w:kern w:val="0"/>
                <w:sz w:val="24"/>
              </w:rPr>
              <w:t>，</w:t>
            </w:r>
            <w:r>
              <w:rPr>
                <w:rFonts w:hint="eastAsia"/>
                <w:color w:val="auto"/>
                <w:sz w:val="24"/>
              </w:rPr>
              <w:t>土地利用现状为：其他林地0.7084</w:t>
            </w:r>
            <w:r>
              <w:rPr>
                <w:rFonts w:hint="eastAsia" w:eastAsiaTheme="minorEastAsia"/>
                <w:color w:val="auto"/>
                <w:kern w:val="0"/>
                <w:sz w:val="24"/>
              </w:rPr>
              <w:t>hm</w:t>
            </w:r>
            <w:r>
              <w:rPr>
                <w:rFonts w:hint="eastAsia" w:eastAsiaTheme="minorEastAsia"/>
                <w:color w:val="auto"/>
                <w:kern w:val="0"/>
                <w:sz w:val="24"/>
                <w:vertAlign w:val="superscript"/>
              </w:rPr>
              <w:t>2</w:t>
            </w:r>
            <w:r>
              <w:rPr>
                <w:rFonts w:hint="eastAsia" w:eastAsiaTheme="minorEastAsia"/>
                <w:color w:val="auto"/>
                <w:kern w:val="0"/>
                <w:sz w:val="24"/>
              </w:rPr>
              <w:t>、</w:t>
            </w:r>
            <w:r>
              <w:rPr>
                <w:rFonts w:hint="eastAsia"/>
                <w:color w:val="auto"/>
                <w:sz w:val="24"/>
              </w:rPr>
              <w:t>其他草地0.2847</w:t>
            </w:r>
            <w:r>
              <w:rPr>
                <w:rFonts w:hint="eastAsia" w:eastAsiaTheme="minorEastAsia"/>
                <w:color w:val="auto"/>
                <w:kern w:val="0"/>
                <w:sz w:val="24"/>
              </w:rPr>
              <w:t>hm</w:t>
            </w:r>
            <w:r>
              <w:rPr>
                <w:rFonts w:hint="eastAsia" w:eastAsiaTheme="minorEastAsia"/>
                <w:color w:val="auto"/>
                <w:kern w:val="0"/>
                <w:sz w:val="24"/>
                <w:vertAlign w:val="superscript"/>
              </w:rPr>
              <w:t>2</w:t>
            </w:r>
            <w:r>
              <w:rPr>
                <w:rFonts w:hint="eastAsia" w:eastAsiaTheme="minorEastAsia"/>
                <w:color w:val="auto"/>
                <w:kern w:val="0"/>
                <w:sz w:val="24"/>
              </w:rPr>
              <w:t>、</w:t>
            </w:r>
            <w:r>
              <w:rPr>
                <w:rFonts w:hint="eastAsia"/>
                <w:color w:val="auto"/>
                <w:sz w:val="24"/>
              </w:rPr>
              <w:t>天然牧草地0.0794</w:t>
            </w:r>
            <w:r>
              <w:rPr>
                <w:rFonts w:hint="eastAsia" w:eastAsiaTheme="minorEastAsia"/>
                <w:color w:val="auto"/>
                <w:kern w:val="0"/>
                <w:sz w:val="24"/>
              </w:rPr>
              <w:t>hm</w:t>
            </w:r>
            <w:r>
              <w:rPr>
                <w:rFonts w:hint="eastAsia" w:eastAsiaTheme="minorEastAsia"/>
                <w:color w:val="auto"/>
                <w:kern w:val="0"/>
                <w:sz w:val="24"/>
                <w:vertAlign w:val="superscript"/>
              </w:rPr>
              <w:t>2</w:t>
            </w:r>
            <w:r>
              <w:rPr>
                <w:rFonts w:hint="eastAsia" w:eastAsiaTheme="minorEastAsia"/>
                <w:color w:val="auto"/>
                <w:kern w:val="0"/>
                <w:sz w:val="24"/>
              </w:rPr>
              <w:t>、</w:t>
            </w:r>
            <w:r>
              <w:rPr>
                <w:rFonts w:hint="eastAsia"/>
                <w:color w:val="auto"/>
                <w:sz w:val="24"/>
              </w:rPr>
              <w:t>农村道路0.0046</w:t>
            </w:r>
            <w:r>
              <w:rPr>
                <w:rFonts w:hint="eastAsia" w:eastAsiaTheme="minorEastAsia"/>
                <w:color w:val="auto"/>
                <w:kern w:val="0"/>
                <w:sz w:val="24"/>
              </w:rPr>
              <w:t>hm</w:t>
            </w:r>
            <w:r>
              <w:rPr>
                <w:rFonts w:hint="eastAsia" w:eastAsiaTheme="minorEastAsia"/>
                <w:color w:val="auto"/>
                <w:kern w:val="0"/>
                <w:sz w:val="24"/>
                <w:vertAlign w:val="superscript"/>
              </w:rPr>
              <w:t>2</w:t>
            </w:r>
            <w:r>
              <w:rPr>
                <w:rFonts w:hint="eastAsia"/>
                <w:color w:val="auto"/>
                <w:sz w:val="24"/>
              </w:rPr>
              <w:t>。</w:t>
            </w:r>
          </w:p>
          <w:p w14:paraId="55494334">
            <w:pPr>
              <w:widowControl/>
              <w:spacing w:line="480" w:lineRule="exact"/>
              <w:jc w:val="center"/>
              <w:rPr>
                <w:b/>
                <w:bCs/>
                <w:color w:val="auto"/>
                <w:kern w:val="0"/>
                <w:sz w:val="24"/>
              </w:rPr>
            </w:pPr>
            <w:r>
              <w:rPr>
                <w:rFonts w:hint="eastAsia"/>
                <w:b/>
                <w:bCs/>
                <w:color w:val="auto"/>
                <w:kern w:val="0"/>
                <w:sz w:val="24"/>
              </w:rPr>
              <w:t>表2-</w:t>
            </w:r>
            <w:r>
              <w:rPr>
                <w:rFonts w:hint="eastAsia"/>
                <w:b/>
                <w:bCs/>
                <w:color w:val="auto"/>
                <w:kern w:val="0"/>
                <w:sz w:val="24"/>
                <w:lang w:val="en-US" w:eastAsia="zh-CN"/>
              </w:rPr>
              <w:t>7</w:t>
            </w:r>
            <w:r>
              <w:rPr>
                <w:rFonts w:hint="eastAsia"/>
                <w:b/>
                <w:bCs/>
                <w:color w:val="auto"/>
                <w:kern w:val="0"/>
                <w:sz w:val="24"/>
              </w:rPr>
              <w:t xml:space="preserve">    风井场地占地</w:t>
            </w:r>
            <w:r>
              <w:rPr>
                <w:rStyle w:val="34"/>
                <w:rFonts w:hint="eastAsia"/>
                <w:b/>
                <w:bCs/>
                <w:color w:val="auto"/>
                <w:kern w:val="0"/>
                <w:sz w:val="24"/>
                <w:szCs w:val="24"/>
                <w:lang w:val="en-US" w:eastAsia="zh-CN"/>
              </w:rPr>
              <w:t>类型</w:t>
            </w:r>
            <w:r>
              <w:rPr>
                <w:rFonts w:hint="eastAsia"/>
                <w:b/>
                <w:bCs/>
                <w:color w:val="auto"/>
                <w:kern w:val="0"/>
                <w:sz w:val="24"/>
              </w:rPr>
              <w:t>一览表</w:t>
            </w:r>
          </w:p>
          <w:tbl>
            <w:tblPr>
              <w:tblStyle w:val="3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1"/>
              <w:gridCol w:w="2208"/>
              <w:gridCol w:w="2203"/>
              <w:gridCol w:w="3110"/>
            </w:tblGrid>
            <w:tr w14:paraId="4C437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Align w:val="center"/>
                </w:tcPr>
                <w:p w14:paraId="00790E7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序号</w:t>
                  </w:r>
                </w:p>
              </w:tc>
              <w:tc>
                <w:tcPr>
                  <w:tcW w:w="1323" w:type="pct"/>
                  <w:vAlign w:val="center"/>
                </w:tcPr>
                <w:p w14:paraId="412D014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color w:val="auto"/>
                      <w:sz w:val="21"/>
                      <w:szCs w:val="21"/>
                      <w:lang w:val="en-US" w:eastAsia="zh-CN"/>
                    </w:rPr>
                  </w:pPr>
                  <w:r>
                    <w:rPr>
                      <w:rFonts w:hint="eastAsia"/>
                      <w:color w:val="auto"/>
                      <w:sz w:val="21"/>
                      <w:szCs w:val="21"/>
                      <w:lang w:val="en-US" w:eastAsia="zh-CN"/>
                    </w:rPr>
                    <w:t>项目</w:t>
                  </w:r>
                </w:p>
              </w:tc>
              <w:tc>
                <w:tcPr>
                  <w:tcW w:w="1320" w:type="pct"/>
                  <w:vAlign w:val="center"/>
                </w:tcPr>
                <w:p w14:paraId="301C2A1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lang w:val="en-US" w:eastAsia="zh-CN"/>
                    </w:rPr>
                  </w:pPr>
                  <w:r>
                    <w:rPr>
                      <w:rFonts w:hint="eastAsia"/>
                      <w:color w:val="auto"/>
                      <w:sz w:val="21"/>
                      <w:szCs w:val="21"/>
                      <w:lang w:val="en-US" w:eastAsia="zh-CN"/>
                    </w:rPr>
                    <w:t>占地类型</w:t>
                  </w:r>
                </w:p>
              </w:tc>
              <w:tc>
                <w:tcPr>
                  <w:tcW w:w="1863" w:type="pct"/>
                  <w:vAlign w:val="center"/>
                </w:tcPr>
                <w:p w14:paraId="76AAB44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lang w:val="en-US" w:eastAsia="zh-CN"/>
                    </w:rPr>
                  </w:pPr>
                  <w:r>
                    <w:rPr>
                      <w:rFonts w:hint="eastAsia"/>
                      <w:color w:val="auto"/>
                      <w:sz w:val="21"/>
                      <w:szCs w:val="21"/>
                      <w:lang w:val="en-US" w:eastAsia="zh-CN"/>
                    </w:rPr>
                    <w:t>占地面积（</w:t>
                  </w:r>
                  <w:r>
                    <w:rPr>
                      <w:rFonts w:hint="eastAsia" w:eastAsiaTheme="minorEastAsia"/>
                      <w:color w:val="auto"/>
                      <w:kern w:val="0"/>
                      <w:sz w:val="24"/>
                    </w:rPr>
                    <w:t>hm</w:t>
                  </w:r>
                  <w:r>
                    <w:rPr>
                      <w:rFonts w:hint="eastAsia" w:eastAsiaTheme="minorEastAsia"/>
                      <w:color w:val="auto"/>
                      <w:kern w:val="0"/>
                      <w:sz w:val="24"/>
                      <w:vertAlign w:val="superscript"/>
                    </w:rPr>
                    <w:t>2</w:t>
                  </w:r>
                  <w:r>
                    <w:rPr>
                      <w:rFonts w:hint="eastAsia"/>
                      <w:color w:val="auto"/>
                      <w:sz w:val="21"/>
                      <w:szCs w:val="21"/>
                      <w:lang w:val="en-US" w:eastAsia="zh-CN"/>
                    </w:rPr>
                    <w:t>）</w:t>
                  </w:r>
                </w:p>
              </w:tc>
            </w:tr>
            <w:tr w14:paraId="4D9BA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Align w:val="center"/>
                </w:tcPr>
                <w:p w14:paraId="27FC2CF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1</w:t>
                  </w:r>
                </w:p>
              </w:tc>
              <w:tc>
                <w:tcPr>
                  <w:tcW w:w="1323" w:type="pct"/>
                  <w:vMerge w:val="restart"/>
                  <w:vAlign w:val="center"/>
                </w:tcPr>
                <w:p w14:paraId="3D2828EC">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lang w:val="en-US" w:eastAsia="zh-CN"/>
                    </w:rPr>
                  </w:pPr>
                  <w:r>
                    <w:rPr>
                      <w:rFonts w:hint="eastAsia" w:eastAsia="宋体"/>
                      <w:color w:val="auto"/>
                      <w:sz w:val="21"/>
                      <w:szCs w:val="21"/>
                      <w:lang w:val="en-US" w:eastAsia="zh-CN"/>
                    </w:rPr>
                    <w:t>项目场区</w:t>
                  </w:r>
                </w:p>
              </w:tc>
              <w:tc>
                <w:tcPr>
                  <w:tcW w:w="1320" w:type="pct"/>
                  <w:vAlign w:val="center"/>
                </w:tcPr>
                <w:p w14:paraId="0822413B">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eastAsia="宋体"/>
                      <w:color w:val="auto"/>
                      <w:sz w:val="21"/>
                      <w:szCs w:val="21"/>
                      <w:lang w:val="en-US" w:eastAsia="zh-CN"/>
                    </w:rPr>
                    <w:t>其他林地</w:t>
                  </w:r>
                </w:p>
              </w:tc>
              <w:tc>
                <w:tcPr>
                  <w:tcW w:w="1863" w:type="pct"/>
                  <w:vAlign w:val="center"/>
                </w:tcPr>
                <w:p w14:paraId="34C19E4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lang w:val="en-US" w:eastAsia="zh-CN"/>
                    </w:rPr>
                  </w:pPr>
                  <w:r>
                    <w:rPr>
                      <w:rFonts w:hint="eastAsia"/>
                      <w:color w:val="auto"/>
                      <w:sz w:val="21"/>
                      <w:szCs w:val="21"/>
                      <w:lang w:val="en-US" w:eastAsia="zh-CN"/>
                    </w:rPr>
                    <w:t>0.7084</w:t>
                  </w:r>
                </w:p>
              </w:tc>
            </w:tr>
            <w:tr w14:paraId="5A6A16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Align w:val="center"/>
                </w:tcPr>
                <w:p w14:paraId="1118AAEA">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2</w:t>
                  </w:r>
                </w:p>
              </w:tc>
              <w:tc>
                <w:tcPr>
                  <w:tcW w:w="1323" w:type="pct"/>
                  <w:vMerge w:val="continue"/>
                  <w:vAlign w:val="center"/>
                </w:tcPr>
                <w:p w14:paraId="3FC33E7E">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p>
              </w:tc>
              <w:tc>
                <w:tcPr>
                  <w:tcW w:w="1320" w:type="pct"/>
                  <w:vAlign w:val="center"/>
                </w:tcPr>
                <w:p w14:paraId="772FB240">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 w:val="21"/>
                      <w:szCs w:val="21"/>
                    </w:rPr>
                  </w:pPr>
                  <w:r>
                    <w:rPr>
                      <w:rFonts w:hint="eastAsia"/>
                      <w:color w:val="auto"/>
                      <w:sz w:val="21"/>
                      <w:szCs w:val="21"/>
                    </w:rPr>
                    <w:t>其他草地</w:t>
                  </w:r>
                </w:p>
              </w:tc>
              <w:tc>
                <w:tcPr>
                  <w:tcW w:w="1863" w:type="pct"/>
                  <w:vAlign w:val="center"/>
                </w:tcPr>
                <w:p w14:paraId="2F47270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 w:val="21"/>
                      <w:szCs w:val="21"/>
                      <w:lang w:val="en-US" w:eastAsia="zh-CN"/>
                    </w:rPr>
                  </w:pPr>
                  <w:r>
                    <w:rPr>
                      <w:rFonts w:hint="eastAsia"/>
                      <w:color w:val="auto"/>
                      <w:sz w:val="21"/>
                      <w:szCs w:val="21"/>
                      <w:lang w:val="en-US" w:eastAsia="zh-CN"/>
                    </w:rPr>
                    <w:t>0.2847</w:t>
                  </w:r>
                </w:p>
              </w:tc>
            </w:tr>
            <w:tr w14:paraId="44A10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Align w:val="center"/>
                </w:tcPr>
                <w:p w14:paraId="2A0B4048">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3</w:t>
                  </w:r>
                </w:p>
              </w:tc>
              <w:tc>
                <w:tcPr>
                  <w:tcW w:w="1323" w:type="pct"/>
                  <w:vMerge w:val="continue"/>
                  <w:vAlign w:val="center"/>
                </w:tcPr>
                <w:p w14:paraId="19BA773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Cs w:val="21"/>
                    </w:rPr>
                  </w:pPr>
                </w:p>
              </w:tc>
              <w:tc>
                <w:tcPr>
                  <w:tcW w:w="1320" w:type="pct"/>
                  <w:vAlign w:val="center"/>
                </w:tcPr>
                <w:p w14:paraId="50C46193">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Cs w:val="21"/>
                      <w:lang w:val="en-US" w:eastAsia="zh-CN"/>
                    </w:rPr>
                  </w:pPr>
                  <w:r>
                    <w:rPr>
                      <w:rFonts w:hint="eastAsia"/>
                      <w:color w:val="auto"/>
                      <w:szCs w:val="21"/>
                      <w:lang w:val="en-US" w:eastAsia="zh-CN"/>
                    </w:rPr>
                    <w:t>天然牧草地</w:t>
                  </w:r>
                </w:p>
              </w:tc>
              <w:tc>
                <w:tcPr>
                  <w:tcW w:w="1863" w:type="pct"/>
                  <w:vAlign w:val="center"/>
                </w:tcPr>
                <w:p w14:paraId="0FA32F5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Cs w:val="21"/>
                      <w:lang w:val="en-US" w:eastAsia="zh-CN"/>
                    </w:rPr>
                  </w:pPr>
                  <w:r>
                    <w:rPr>
                      <w:rFonts w:hint="eastAsia"/>
                      <w:color w:val="auto"/>
                      <w:szCs w:val="21"/>
                      <w:lang w:val="en-US" w:eastAsia="zh-CN"/>
                    </w:rPr>
                    <w:t>0.0794</w:t>
                  </w:r>
                </w:p>
              </w:tc>
            </w:tr>
            <w:tr w14:paraId="187DB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vAlign w:val="center"/>
                </w:tcPr>
                <w:p w14:paraId="6986F002">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 w:val="21"/>
                      <w:szCs w:val="21"/>
                      <w:lang w:val="en-US" w:eastAsia="zh-CN"/>
                    </w:rPr>
                  </w:pPr>
                  <w:r>
                    <w:rPr>
                      <w:rFonts w:hint="eastAsia"/>
                      <w:color w:val="auto"/>
                      <w:sz w:val="21"/>
                      <w:szCs w:val="21"/>
                      <w:lang w:val="en-US" w:eastAsia="zh-CN"/>
                    </w:rPr>
                    <w:t>4</w:t>
                  </w:r>
                </w:p>
              </w:tc>
              <w:tc>
                <w:tcPr>
                  <w:tcW w:w="1323" w:type="pct"/>
                  <w:vMerge w:val="continue"/>
                  <w:vAlign w:val="center"/>
                </w:tcPr>
                <w:p w14:paraId="188B25A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color w:val="auto"/>
                      <w:szCs w:val="21"/>
                    </w:rPr>
                  </w:pPr>
                </w:p>
              </w:tc>
              <w:tc>
                <w:tcPr>
                  <w:tcW w:w="1320" w:type="pct"/>
                  <w:vAlign w:val="center"/>
                </w:tcPr>
                <w:p w14:paraId="269A97F9">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Cs w:val="21"/>
                      <w:lang w:val="en-US" w:eastAsia="zh-CN"/>
                    </w:rPr>
                  </w:pPr>
                  <w:r>
                    <w:rPr>
                      <w:rFonts w:hint="eastAsia"/>
                      <w:color w:val="auto"/>
                      <w:szCs w:val="21"/>
                      <w:lang w:val="en-US" w:eastAsia="zh-CN"/>
                    </w:rPr>
                    <w:t>农村道路</w:t>
                  </w:r>
                </w:p>
              </w:tc>
              <w:tc>
                <w:tcPr>
                  <w:tcW w:w="1863" w:type="pct"/>
                  <w:vAlign w:val="center"/>
                </w:tcPr>
                <w:p w14:paraId="37D6766D">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Cs w:val="21"/>
                      <w:lang w:val="en-US" w:eastAsia="zh-CN"/>
                    </w:rPr>
                  </w:pPr>
                  <w:r>
                    <w:rPr>
                      <w:rFonts w:hint="eastAsia"/>
                      <w:color w:val="auto"/>
                      <w:szCs w:val="21"/>
                      <w:lang w:val="en-US" w:eastAsia="zh-CN"/>
                    </w:rPr>
                    <w:t>0.0046</w:t>
                  </w:r>
                </w:p>
              </w:tc>
            </w:tr>
            <w:tr w14:paraId="1ABCE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15" w:type="pct"/>
                  <w:gridSpan w:val="2"/>
                  <w:vAlign w:val="center"/>
                </w:tcPr>
                <w:p w14:paraId="6AB459F5">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eastAsia" w:eastAsia="宋体"/>
                      <w:color w:val="auto"/>
                      <w:szCs w:val="21"/>
                      <w:lang w:val="en-US" w:eastAsia="zh-CN"/>
                    </w:rPr>
                  </w:pPr>
                  <w:r>
                    <w:rPr>
                      <w:rFonts w:hint="eastAsia"/>
                      <w:color w:val="auto"/>
                      <w:sz w:val="21"/>
                      <w:szCs w:val="21"/>
                      <w:lang w:val="en-US" w:eastAsia="zh-CN"/>
                    </w:rPr>
                    <w:t>合计</w:t>
                  </w:r>
                </w:p>
              </w:tc>
              <w:tc>
                <w:tcPr>
                  <w:tcW w:w="1320" w:type="pct"/>
                  <w:vAlign w:val="center"/>
                </w:tcPr>
                <w:p w14:paraId="053A2027">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Cs w:val="21"/>
                      <w:lang w:val="en-US" w:eastAsia="zh-CN"/>
                    </w:rPr>
                  </w:pPr>
                  <w:r>
                    <w:rPr>
                      <w:rFonts w:hint="eastAsia" w:eastAsia="宋体"/>
                      <w:color w:val="auto"/>
                      <w:szCs w:val="21"/>
                      <w:lang w:val="en-US" w:eastAsia="zh-CN"/>
                    </w:rPr>
                    <w:t>/</w:t>
                  </w:r>
                </w:p>
              </w:tc>
              <w:tc>
                <w:tcPr>
                  <w:tcW w:w="1863" w:type="pct"/>
                  <w:vAlign w:val="center"/>
                </w:tcPr>
                <w:p w14:paraId="0C01A816">
                  <w:pPr>
                    <w:keepNext w:val="0"/>
                    <w:keepLines w:val="0"/>
                    <w:pageBreakBefore w:val="0"/>
                    <w:widowControl w:val="0"/>
                    <w:kinsoku/>
                    <w:wordWrap/>
                    <w:overflowPunct/>
                    <w:topLinePunct w:val="0"/>
                    <w:autoSpaceDE/>
                    <w:autoSpaceDN/>
                    <w:bidi w:val="0"/>
                    <w:adjustRightInd/>
                    <w:snapToGrid/>
                    <w:spacing w:line="320" w:lineRule="exact"/>
                    <w:jc w:val="center"/>
                    <w:textAlignment w:val="auto"/>
                    <w:rPr>
                      <w:rFonts w:hint="default" w:eastAsia="宋体"/>
                      <w:color w:val="auto"/>
                      <w:szCs w:val="21"/>
                      <w:lang w:val="en-US" w:eastAsia="zh-CN"/>
                    </w:rPr>
                  </w:pPr>
                  <w:r>
                    <w:rPr>
                      <w:rFonts w:hint="eastAsia" w:eastAsia="宋体"/>
                      <w:color w:val="auto"/>
                      <w:szCs w:val="21"/>
                      <w:lang w:val="en-US" w:eastAsia="zh-CN"/>
                    </w:rPr>
                    <w:t>1.0771</w:t>
                  </w:r>
                </w:p>
              </w:tc>
            </w:tr>
          </w:tbl>
          <w:p w14:paraId="2AC075E4">
            <w:pPr>
              <w:widowControl/>
              <w:spacing w:line="500" w:lineRule="exact"/>
              <w:ind w:firstLine="482" w:firstLineChars="200"/>
              <w:rPr>
                <w:b/>
                <w:color w:val="auto"/>
                <w:kern w:val="0"/>
                <w:sz w:val="24"/>
              </w:rPr>
            </w:pPr>
            <w:r>
              <w:rPr>
                <w:rFonts w:hint="eastAsia"/>
                <w:b/>
                <w:color w:val="auto"/>
                <w:kern w:val="0"/>
                <w:sz w:val="24"/>
                <w:lang w:val="en-US" w:eastAsia="zh-CN"/>
              </w:rPr>
              <w:t>7</w:t>
            </w:r>
            <w:r>
              <w:rPr>
                <w:rFonts w:hint="eastAsia"/>
                <w:b/>
                <w:color w:val="auto"/>
                <w:kern w:val="0"/>
                <w:sz w:val="24"/>
              </w:rPr>
              <w:t>、土石方平衡</w:t>
            </w:r>
          </w:p>
          <w:p w14:paraId="4B890F8B">
            <w:pPr>
              <w:widowControl/>
              <w:spacing w:line="500" w:lineRule="exact"/>
              <w:ind w:firstLine="480" w:firstLineChars="200"/>
              <w:rPr>
                <w:bCs/>
                <w:color w:val="auto"/>
                <w:kern w:val="0"/>
                <w:sz w:val="24"/>
              </w:rPr>
            </w:pPr>
            <w:r>
              <w:rPr>
                <w:bCs/>
                <w:color w:val="auto"/>
                <w:kern w:val="0"/>
                <w:sz w:val="24"/>
              </w:rPr>
              <w:t>根据项目实地调查，项目需在施工前进行表土剥离，可剥离面积0.56hm²，厚度0.20m，表土剥离总量1110m³。工程建设期共动用土方3.64万m³，其中挖方1.82万m³，填方1.82万m³，无借方，无弃方。</w:t>
            </w:r>
          </w:p>
          <w:p w14:paraId="64EEA993">
            <w:pPr>
              <w:widowControl/>
              <w:spacing w:line="500" w:lineRule="exact"/>
              <w:ind w:firstLine="1446" w:firstLineChars="600"/>
              <w:rPr>
                <w:b/>
                <w:color w:val="auto"/>
                <w:kern w:val="0"/>
                <w:sz w:val="24"/>
              </w:rPr>
            </w:pPr>
            <w:r>
              <w:rPr>
                <w:rFonts w:hint="eastAsia"/>
                <w:b/>
                <w:color w:val="auto"/>
                <w:kern w:val="0"/>
                <w:sz w:val="24"/>
              </w:rPr>
              <w:t>表2-</w:t>
            </w:r>
            <w:r>
              <w:rPr>
                <w:rFonts w:hint="eastAsia"/>
                <w:b/>
                <w:color w:val="auto"/>
                <w:kern w:val="0"/>
                <w:sz w:val="24"/>
                <w:lang w:val="en-US" w:eastAsia="zh-CN"/>
              </w:rPr>
              <w:t>8</w:t>
            </w:r>
            <w:r>
              <w:rPr>
                <w:rFonts w:hint="eastAsia"/>
                <w:b/>
                <w:color w:val="auto"/>
                <w:kern w:val="0"/>
                <w:sz w:val="24"/>
              </w:rPr>
              <w:t xml:space="preserve">    项目土石方平衡表      单位：万m</w:t>
            </w:r>
            <w:r>
              <w:rPr>
                <w:rFonts w:hint="eastAsia"/>
                <w:b/>
                <w:color w:val="auto"/>
                <w:kern w:val="0"/>
                <w:sz w:val="24"/>
                <w:vertAlign w:val="superscript"/>
              </w:rPr>
              <w:t>3</w:t>
            </w:r>
          </w:p>
          <w:tbl>
            <w:tblPr>
              <w:tblStyle w:val="29"/>
              <w:tblW w:w="4997"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25"/>
              <w:gridCol w:w="1076"/>
              <w:gridCol w:w="621"/>
              <w:gridCol w:w="622"/>
              <w:gridCol w:w="622"/>
              <w:gridCol w:w="622"/>
              <w:gridCol w:w="624"/>
              <w:gridCol w:w="622"/>
              <w:gridCol w:w="624"/>
              <w:gridCol w:w="622"/>
              <w:gridCol w:w="624"/>
              <w:gridCol w:w="622"/>
              <w:gridCol w:w="624"/>
            </w:tblGrid>
            <w:tr w14:paraId="41480AC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99" w:type="pct"/>
                  <w:gridSpan w:val="2"/>
                  <w:vMerge w:val="restart"/>
                  <w:tcBorders>
                    <w:left w:val="single" w:color="000000" w:sz="4" w:space="0"/>
                  </w:tcBorders>
                  <w:shd w:val="clear" w:color="auto" w:fill="auto"/>
                  <w:tcMar>
                    <w:top w:w="15" w:type="dxa"/>
                    <w:left w:w="15" w:type="dxa"/>
                    <w:right w:w="15" w:type="dxa"/>
                  </w:tcMar>
                  <w:vAlign w:val="center"/>
                </w:tcPr>
                <w:p w14:paraId="7BD92A9A">
                  <w:pPr>
                    <w:spacing w:line="240" w:lineRule="atLeast"/>
                    <w:jc w:val="center"/>
                    <w:rPr>
                      <w:color w:val="auto"/>
                      <w:kern w:val="0"/>
                      <w:szCs w:val="21"/>
                    </w:rPr>
                  </w:pPr>
                  <w:r>
                    <w:rPr>
                      <w:color w:val="auto"/>
                      <w:kern w:val="0"/>
                      <w:szCs w:val="21"/>
                    </w:rPr>
                    <w:t>项目组成</w:t>
                  </w:r>
                </w:p>
              </w:tc>
              <w:tc>
                <w:tcPr>
                  <w:tcW w:w="372" w:type="pct"/>
                  <w:vMerge w:val="restart"/>
                  <w:shd w:val="clear" w:color="auto" w:fill="auto"/>
                  <w:tcMar>
                    <w:top w:w="15" w:type="dxa"/>
                    <w:left w:w="15" w:type="dxa"/>
                    <w:right w:w="15" w:type="dxa"/>
                  </w:tcMar>
                  <w:vAlign w:val="center"/>
                </w:tcPr>
                <w:p w14:paraId="6D3C2371">
                  <w:pPr>
                    <w:spacing w:line="240" w:lineRule="atLeast"/>
                    <w:jc w:val="center"/>
                    <w:rPr>
                      <w:color w:val="auto"/>
                      <w:kern w:val="0"/>
                      <w:szCs w:val="21"/>
                    </w:rPr>
                  </w:pPr>
                  <w:r>
                    <w:rPr>
                      <w:color w:val="auto"/>
                      <w:kern w:val="0"/>
                      <w:szCs w:val="21"/>
                    </w:rPr>
                    <w:t>挖填方</w:t>
                  </w:r>
                </w:p>
                <w:p w14:paraId="2F5CCE89">
                  <w:pPr>
                    <w:spacing w:line="240" w:lineRule="atLeast"/>
                    <w:jc w:val="center"/>
                    <w:rPr>
                      <w:color w:val="auto"/>
                      <w:kern w:val="0"/>
                      <w:szCs w:val="21"/>
                    </w:rPr>
                  </w:pPr>
                  <w:r>
                    <w:rPr>
                      <w:color w:val="auto"/>
                      <w:kern w:val="0"/>
                      <w:szCs w:val="21"/>
                    </w:rPr>
                    <w:t>总量</w:t>
                  </w:r>
                </w:p>
              </w:tc>
              <w:tc>
                <w:tcPr>
                  <w:tcW w:w="372" w:type="pct"/>
                  <w:vMerge w:val="restart"/>
                  <w:shd w:val="clear" w:color="auto" w:fill="auto"/>
                  <w:tcMar>
                    <w:top w:w="15" w:type="dxa"/>
                    <w:left w:w="15" w:type="dxa"/>
                    <w:right w:w="15" w:type="dxa"/>
                  </w:tcMar>
                  <w:vAlign w:val="center"/>
                </w:tcPr>
                <w:p w14:paraId="1A607967">
                  <w:pPr>
                    <w:spacing w:line="240" w:lineRule="atLeast"/>
                    <w:jc w:val="center"/>
                    <w:rPr>
                      <w:color w:val="auto"/>
                      <w:kern w:val="0"/>
                      <w:szCs w:val="21"/>
                    </w:rPr>
                  </w:pPr>
                  <w:r>
                    <w:rPr>
                      <w:color w:val="auto"/>
                      <w:kern w:val="0"/>
                      <w:szCs w:val="21"/>
                    </w:rPr>
                    <w:t>挖方</w:t>
                  </w:r>
                </w:p>
              </w:tc>
              <w:tc>
                <w:tcPr>
                  <w:tcW w:w="372" w:type="pct"/>
                  <w:vMerge w:val="restart"/>
                  <w:shd w:val="clear" w:color="auto" w:fill="auto"/>
                  <w:tcMar>
                    <w:top w:w="15" w:type="dxa"/>
                    <w:left w:w="15" w:type="dxa"/>
                    <w:right w:w="15" w:type="dxa"/>
                  </w:tcMar>
                  <w:vAlign w:val="center"/>
                </w:tcPr>
                <w:p w14:paraId="57015F05">
                  <w:pPr>
                    <w:spacing w:line="240" w:lineRule="atLeast"/>
                    <w:jc w:val="center"/>
                    <w:rPr>
                      <w:color w:val="auto"/>
                      <w:kern w:val="0"/>
                      <w:szCs w:val="21"/>
                    </w:rPr>
                  </w:pPr>
                  <w:r>
                    <w:rPr>
                      <w:color w:val="auto"/>
                      <w:kern w:val="0"/>
                      <w:szCs w:val="21"/>
                    </w:rPr>
                    <w:t>填方</w:t>
                  </w:r>
                </w:p>
              </w:tc>
              <w:tc>
                <w:tcPr>
                  <w:tcW w:w="745" w:type="pct"/>
                  <w:gridSpan w:val="2"/>
                  <w:shd w:val="clear" w:color="auto" w:fill="auto"/>
                  <w:tcMar>
                    <w:top w:w="15" w:type="dxa"/>
                    <w:left w:w="15" w:type="dxa"/>
                    <w:right w:w="15" w:type="dxa"/>
                  </w:tcMar>
                  <w:vAlign w:val="center"/>
                </w:tcPr>
                <w:p w14:paraId="1421DFFB">
                  <w:pPr>
                    <w:spacing w:line="240" w:lineRule="atLeast"/>
                    <w:jc w:val="center"/>
                    <w:rPr>
                      <w:color w:val="auto"/>
                      <w:kern w:val="0"/>
                      <w:szCs w:val="21"/>
                    </w:rPr>
                  </w:pPr>
                  <w:r>
                    <w:rPr>
                      <w:color w:val="auto"/>
                      <w:kern w:val="0"/>
                      <w:szCs w:val="21"/>
                    </w:rPr>
                    <w:t>调入</w:t>
                  </w:r>
                </w:p>
              </w:tc>
              <w:tc>
                <w:tcPr>
                  <w:tcW w:w="745" w:type="pct"/>
                  <w:gridSpan w:val="2"/>
                  <w:shd w:val="clear" w:color="auto" w:fill="auto"/>
                  <w:tcMar>
                    <w:top w:w="15" w:type="dxa"/>
                    <w:left w:w="15" w:type="dxa"/>
                    <w:right w:w="15" w:type="dxa"/>
                  </w:tcMar>
                  <w:vAlign w:val="center"/>
                </w:tcPr>
                <w:p w14:paraId="442F27B7">
                  <w:pPr>
                    <w:spacing w:line="240" w:lineRule="atLeast"/>
                    <w:jc w:val="center"/>
                    <w:rPr>
                      <w:color w:val="auto"/>
                      <w:kern w:val="0"/>
                      <w:szCs w:val="21"/>
                    </w:rPr>
                  </w:pPr>
                  <w:r>
                    <w:rPr>
                      <w:color w:val="auto"/>
                      <w:kern w:val="0"/>
                      <w:szCs w:val="21"/>
                    </w:rPr>
                    <w:t>调出</w:t>
                  </w:r>
                </w:p>
              </w:tc>
              <w:tc>
                <w:tcPr>
                  <w:tcW w:w="745" w:type="pct"/>
                  <w:gridSpan w:val="2"/>
                  <w:shd w:val="clear" w:color="auto" w:fill="auto"/>
                  <w:tcMar>
                    <w:top w:w="15" w:type="dxa"/>
                    <w:left w:w="15" w:type="dxa"/>
                    <w:right w:w="15" w:type="dxa"/>
                  </w:tcMar>
                  <w:vAlign w:val="center"/>
                </w:tcPr>
                <w:p w14:paraId="0322F4F1">
                  <w:pPr>
                    <w:spacing w:line="240" w:lineRule="atLeast"/>
                    <w:jc w:val="center"/>
                    <w:rPr>
                      <w:color w:val="auto"/>
                      <w:kern w:val="0"/>
                      <w:szCs w:val="21"/>
                    </w:rPr>
                  </w:pPr>
                  <w:r>
                    <w:rPr>
                      <w:color w:val="auto"/>
                      <w:kern w:val="0"/>
                      <w:szCs w:val="21"/>
                    </w:rPr>
                    <w:t>弃方量</w:t>
                  </w:r>
                </w:p>
              </w:tc>
              <w:tc>
                <w:tcPr>
                  <w:tcW w:w="745" w:type="pct"/>
                  <w:gridSpan w:val="2"/>
                  <w:tcBorders>
                    <w:right w:val="single" w:color="000000" w:sz="4" w:space="0"/>
                  </w:tcBorders>
                  <w:shd w:val="clear" w:color="auto" w:fill="auto"/>
                  <w:tcMar>
                    <w:top w:w="15" w:type="dxa"/>
                    <w:left w:w="15" w:type="dxa"/>
                    <w:right w:w="15" w:type="dxa"/>
                  </w:tcMar>
                  <w:vAlign w:val="center"/>
                </w:tcPr>
                <w:p w14:paraId="5D934FB5">
                  <w:pPr>
                    <w:spacing w:line="240" w:lineRule="atLeast"/>
                    <w:jc w:val="center"/>
                    <w:rPr>
                      <w:color w:val="auto"/>
                      <w:kern w:val="0"/>
                      <w:szCs w:val="21"/>
                    </w:rPr>
                  </w:pPr>
                  <w:r>
                    <w:rPr>
                      <w:color w:val="auto"/>
                      <w:kern w:val="0"/>
                      <w:szCs w:val="21"/>
                    </w:rPr>
                    <w:t>借方量</w:t>
                  </w:r>
                </w:p>
              </w:tc>
            </w:tr>
            <w:tr w14:paraId="77150CB3">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99" w:type="pct"/>
                  <w:gridSpan w:val="2"/>
                  <w:vMerge w:val="continue"/>
                  <w:tcBorders>
                    <w:left w:val="single" w:color="000000" w:sz="4" w:space="0"/>
                  </w:tcBorders>
                  <w:shd w:val="clear" w:color="auto" w:fill="auto"/>
                  <w:tcMar>
                    <w:top w:w="15" w:type="dxa"/>
                    <w:left w:w="15" w:type="dxa"/>
                    <w:right w:w="15" w:type="dxa"/>
                  </w:tcMar>
                  <w:vAlign w:val="center"/>
                </w:tcPr>
                <w:p w14:paraId="72F1CFCA">
                  <w:pPr>
                    <w:spacing w:line="240" w:lineRule="atLeast"/>
                    <w:jc w:val="center"/>
                    <w:rPr>
                      <w:color w:val="auto"/>
                      <w:kern w:val="0"/>
                      <w:szCs w:val="21"/>
                    </w:rPr>
                  </w:pPr>
                </w:p>
              </w:tc>
              <w:tc>
                <w:tcPr>
                  <w:tcW w:w="372" w:type="pct"/>
                  <w:vMerge w:val="continue"/>
                  <w:shd w:val="clear" w:color="auto" w:fill="auto"/>
                  <w:tcMar>
                    <w:top w:w="15" w:type="dxa"/>
                    <w:left w:w="15" w:type="dxa"/>
                    <w:right w:w="15" w:type="dxa"/>
                  </w:tcMar>
                  <w:vAlign w:val="center"/>
                </w:tcPr>
                <w:p w14:paraId="2C3B0819">
                  <w:pPr>
                    <w:spacing w:line="240" w:lineRule="atLeast"/>
                    <w:jc w:val="center"/>
                    <w:rPr>
                      <w:color w:val="auto"/>
                      <w:kern w:val="0"/>
                      <w:szCs w:val="21"/>
                    </w:rPr>
                  </w:pPr>
                </w:p>
              </w:tc>
              <w:tc>
                <w:tcPr>
                  <w:tcW w:w="372" w:type="pct"/>
                  <w:vMerge w:val="continue"/>
                  <w:shd w:val="clear" w:color="auto" w:fill="auto"/>
                  <w:tcMar>
                    <w:top w:w="15" w:type="dxa"/>
                    <w:left w:w="15" w:type="dxa"/>
                    <w:right w:w="15" w:type="dxa"/>
                  </w:tcMar>
                  <w:vAlign w:val="center"/>
                </w:tcPr>
                <w:p w14:paraId="54381049">
                  <w:pPr>
                    <w:spacing w:line="240" w:lineRule="atLeast"/>
                    <w:jc w:val="center"/>
                    <w:rPr>
                      <w:color w:val="auto"/>
                      <w:kern w:val="0"/>
                      <w:szCs w:val="21"/>
                    </w:rPr>
                  </w:pPr>
                </w:p>
              </w:tc>
              <w:tc>
                <w:tcPr>
                  <w:tcW w:w="372" w:type="pct"/>
                  <w:vMerge w:val="continue"/>
                  <w:shd w:val="clear" w:color="auto" w:fill="auto"/>
                  <w:tcMar>
                    <w:top w:w="15" w:type="dxa"/>
                    <w:left w:w="15" w:type="dxa"/>
                    <w:right w:w="15" w:type="dxa"/>
                  </w:tcMar>
                  <w:vAlign w:val="center"/>
                </w:tcPr>
                <w:p w14:paraId="029546EA">
                  <w:pPr>
                    <w:spacing w:line="240" w:lineRule="atLeast"/>
                    <w:jc w:val="center"/>
                    <w:rPr>
                      <w:color w:val="auto"/>
                      <w:kern w:val="0"/>
                      <w:szCs w:val="21"/>
                    </w:rPr>
                  </w:pPr>
                </w:p>
              </w:tc>
              <w:tc>
                <w:tcPr>
                  <w:tcW w:w="372" w:type="pct"/>
                  <w:shd w:val="clear" w:color="auto" w:fill="auto"/>
                  <w:tcMar>
                    <w:top w:w="15" w:type="dxa"/>
                    <w:left w:w="15" w:type="dxa"/>
                    <w:right w:w="15" w:type="dxa"/>
                  </w:tcMar>
                  <w:vAlign w:val="center"/>
                </w:tcPr>
                <w:p w14:paraId="00428BFD">
                  <w:pPr>
                    <w:spacing w:line="240" w:lineRule="atLeast"/>
                    <w:jc w:val="center"/>
                    <w:rPr>
                      <w:color w:val="auto"/>
                      <w:kern w:val="0"/>
                      <w:szCs w:val="21"/>
                    </w:rPr>
                  </w:pPr>
                  <w:r>
                    <w:rPr>
                      <w:color w:val="auto"/>
                      <w:kern w:val="0"/>
                      <w:szCs w:val="21"/>
                    </w:rPr>
                    <w:t>数量</w:t>
                  </w:r>
                </w:p>
              </w:tc>
              <w:tc>
                <w:tcPr>
                  <w:tcW w:w="372" w:type="pct"/>
                  <w:shd w:val="clear" w:color="auto" w:fill="auto"/>
                  <w:tcMar>
                    <w:top w:w="15" w:type="dxa"/>
                    <w:left w:w="15" w:type="dxa"/>
                    <w:right w:w="15" w:type="dxa"/>
                  </w:tcMar>
                  <w:vAlign w:val="center"/>
                </w:tcPr>
                <w:p w14:paraId="6DA7576D">
                  <w:pPr>
                    <w:spacing w:line="240" w:lineRule="atLeast"/>
                    <w:jc w:val="center"/>
                    <w:rPr>
                      <w:color w:val="auto"/>
                      <w:kern w:val="0"/>
                      <w:szCs w:val="21"/>
                    </w:rPr>
                  </w:pPr>
                  <w:r>
                    <w:rPr>
                      <w:color w:val="auto"/>
                      <w:kern w:val="0"/>
                      <w:szCs w:val="21"/>
                    </w:rPr>
                    <w:t>来源</w:t>
                  </w:r>
                </w:p>
              </w:tc>
              <w:tc>
                <w:tcPr>
                  <w:tcW w:w="372" w:type="pct"/>
                  <w:shd w:val="clear" w:color="auto" w:fill="auto"/>
                  <w:tcMar>
                    <w:top w:w="15" w:type="dxa"/>
                    <w:left w:w="15" w:type="dxa"/>
                    <w:right w:w="15" w:type="dxa"/>
                  </w:tcMar>
                  <w:vAlign w:val="center"/>
                </w:tcPr>
                <w:p w14:paraId="470B0310">
                  <w:pPr>
                    <w:spacing w:line="240" w:lineRule="atLeast"/>
                    <w:jc w:val="center"/>
                    <w:rPr>
                      <w:color w:val="auto"/>
                      <w:kern w:val="0"/>
                      <w:szCs w:val="21"/>
                    </w:rPr>
                  </w:pPr>
                  <w:r>
                    <w:rPr>
                      <w:color w:val="auto"/>
                      <w:kern w:val="0"/>
                      <w:szCs w:val="21"/>
                    </w:rPr>
                    <w:t>数量</w:t>
                  </w:r>
                </w:p>
              </w:tc>
              <w:tc>
                <w:tcPr>
                  <w:tcW w:w="372" w:type="pct"/>
                  <w:shd w:val="clear" w:color="auto" w:fill="auto"/>
                  <w:tcMar>
                    <w:top w:w="15" w:type="dxa"/>
                    <w:left w:w="15" w:type="dxa"/>
                    <w:right w:w="15" w:type="dxa"/>
                  </w:tcMar>
                  <w:vAlign w:val="center"/>
                </w:tcPr>
                <w:p w14:paraId="027FD34A">
                  <w:pPr>
                    <w:spacing w:line="240" w:lineRule="atLeast"/>
                    <w:jc w:val="center"/>
                    <w:rPr>
                      <w:color w:val="auto"/>
                      <w:kern w:val="0"/>
                      <w:szCs w:val="21"/>
                    </w:rPr>
                  </w:pPr>
                  <w:r>
                    <w:rPr>
                      <w:color w:val="auto"/>
                      <w:kern w:val="0"/>
                      <w:szCs w:val="21"/>
                    </w:rPr>
                    <w:t>去向</w:t>
                  </w:r>
                </w:p>
              </w:tc>
              <w:tc>
                <w:tcPr>
                  <w:tcW w:w="372" w:type="pct"/>
                  <w:shd w:val="clear" w:color="auto" w:fill="auto"/>
                  <w:tcMar>
                    <w:top w:w="15" w:type="dxa"/>
                    <w:left w:w="15" w:type="dxa"/>
                    <w:right w:w="15" w:type="dxa"/>
                  </w:tcMar>
                  <w:vAlign w:val="center"/>
                </w:tcPr>
                <w:p w14:paraId="29D64F65">
                  <w:pPr>
                    <w:spacing w:line="240" w:lineRule="atLeast"/>
                    <w:jc w:val="center"/>
                    <w:rPr>
                      <w:color w:val="auto"/>
                      <w:kern w:val="0"/>
                      <w:szCs w:val="21"/>
                    </w:rPr>
                  </w:pPr>
                  <w:r>
                    <w:rPr>
                      <w:color w:val="auto"/>
                      <w:kern w:val="0"/>
                      <w:szCs w:val="21"/>
                    </w:rPr>
                    <w:t>数量</w:t>
                  </w:r>
                </w:p>
              </w:tc>
              <w:tc>
                <w:tcPr>
                  <w:tcW w:w="372" w:type="pct"/>
                  <w:shd w:val="clear" w:color="auto" w:fill="auto"/>
                  <w:tcMar>
                    <w:top w:w="15" w:type="dxa"/>
                    <w:left w:w="15" w:type="dxa"/>
                    <w:right w:w="15" w:type="dxa"/>
                  </w:tcMar>
                  <w:vAlign w:val="center"/>
                </w:tcPr>
                <w:p w14:paraId="21AFD06A">
                  <w:pPr>
                    <w:spacing w:line="240" w:lineRule="atLeast"/>
                    <w:jc w:val="center"/>
                    <w:rPr>
                      <w:color w:val="auto"/>
                      <w:kern w:val="0"/>
                      <w:szCs w:val="21"/>
                    </w:rPr>
                  </w:pPr>
                  <w:r>
                    <w:rPr>
                      <w:color w:val="auto"/>
                      <w:kern w:val="0"/>
                      <w:szCs w:val="21"/>
                    </w:rPr>
                    <w:t>去向</w:t>
                  </w:r>
                </w:p>
              </w:tc>
              <w:tc>
                <w:tcPr>
                  <w:tcW w:w="372" w:type="pct"/>
                  <w:shd w:val="clear" w:color="auto" w:fill="auto"/>
                  <w:tcMar>
                    <w:top w:w="15" w:type="dxa"/>
                    <w:left w:w="15" w:type="dxa"/>
                    <w:right w:w="15" w:type="dxa"/>
                  </w:tcMar>
                  <w:vAlign w:val="center"/>
                </w:tcPr>
                <w:p w14:paraId="77BE4137">
                  <w:pPr>
                    <w:spacing w:line="240" w:lineRule="atLeast"/>
                    <w:jc w:val="center"/>
                    <w:rPr>
                      <w:color w:val="auto"/>
                      <w:kern w:val="0"/>
                      <w:szCs w:val="21"/>
                    </w:rPr>
                  </w:pPr>
                  <w:r>
                    <w:rPr>
                      <w:color w:val="auto"/>
                      <w:kern w:val="0"/>
                      <w:szCs w:val="21"/>
                    </w:rPr>
                    <w:t>数量</w:t>
                  </w:r>
                </w:p>
              </w:tc>
              <w:tc>
                <w:tcPr>
                  <w:tcW w:w="372" w:type="pct"/>
                  <w:tcBorders>
                    <w:right w:val="single" w:color="000000" w:sz="4" w:space="0"/>
                  </w:tcBorders>
                  <w:shd w:val="clear" w:color="auto" w:fill="auto"/>
                  <w:tcMar>
                    <w:top w:w="15" w:type="dxa"/>
                    <w:left w:w="15" w:type="dxa"/>
                    <w:right w:w="15" w:type="dxa"/>
                  </w:tcMar>
                  <w:vAlign w:val="center"/>
                </w:tcPr>
                <w:p w14:paraId="55E6D27C">
                  <w:pPr>
                    <w:spacing w:line="240" w:lineRule="atLeast"/>
                    <w:jc w:val="center"/>
                    <w:rPr>
                      <w:color w:val="auto"/>
                      <w:kern w:val="0"/>
                      <w:szCs w:val="21"/>
                    </w:rPr>
                  </w:pPr>
                  <w:r>
                    <w:rPr>
                      <w:color w:val="auto"/>
                      <w:kern w:val="0"/>
                      <w:szCs w:val="21"/>
                    </w:rPr>
                    <w:t>来源</w:t>
                  </w:r>
                </w:p>
              </w:tc>
            </w:tr>
            <w:tr w14:paraId="7FBD0550">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55" w:type="pct"/>
                  <w:vMerge w:val="restart"/>
                  <w:tcBorders>
                    <w:left w:val="single" w:color="000000" w:sz="4" w:space="0"/>
                  </w:tcBorders>
                  <w:shd w:val="clear" w:color="auto" w:fill="auto"/>
                  <w:tcMar>
                    <w:top w:w="15" w:type="dxa"/>
                    <w:left w:w="15" w:type="dxa"/>
                    <w:right w:w="15" w:type="dxa"/>
                  </w:tcMar>
                  <w:vAlign w:val="center"/>
                </w:tcPr>
                <w:p w14:paraId="4BC87E0C">
                  <w:pPr>
                    <w:spacing w:line="240" w:lineRule="atLeast"/>
                    <w:jc w:val="center"/>
                    <w:rPr>
                      <w:color w:val="auto"/>
                      <w:kern w:val="0"/>
                      <w:szCs w:val="21"/>
                    </w:rPr>
                  </w:pPr>
                  <w:r>
                    <w:rPr>
                      <w:color w:val="auto"/>
                      <w:kern w:val="0"/>
                      <w:szCs w:val="21"/>
                    </w:rPr>
                    <w:t>工业场地</w:t>
                  </w:r>
                </w:p>
              </w:tc>
              <w:tc>
                <w:tcPr>
                  <w:tcW w:w="644" w:type="pct"/>
                  <w:shd w:val="clear" w:color="auto" w:fill="auto"/>
                  <w:tcMar>
                    <w:top w:w="15" w:type="dxa"/>
                    <w:left w:w="15" w:type="dxa"/>
                    <w:right w:w="15" w:type="dxa"/>
                  </w:tcMar>
                  <w:vAlign w:val="center"/>
                </w:tcPr>
                <w:p w14:paraId="7B8C8FDA">
                  <w:pPr>
                    <w:spacing w:line="240" w:lineRule="atLeast"/>
                    <w:jc w:val="center"/>
                    <w:rPr>
                      <w:color w:val="auto"/>
                      <w:kern w:val="0"/>
                      <w:szCs w:val="21"/>
                    </w:rPr>
                  </w:pPr>
                  <w:r>
                    <w:rPr>
                      <w:color w:val="auto"/>
                      <w:kern w:val="0"/>
                      <w:szCs w:val="21"/>
                    </w:rPr>
                    <w:t>建构筑物</w:t>
                  </w:r>
                </w:p>
                <w:p w14:paraId="5D4D5AA3">
                  <w:pPr>
                    <w:spacing w:line="240" w:lineRule="atLeast"/>
                    <w:jc w:val="center"/>
                    <w:rPr>
                      <w:color w:val="auto"/>
                      <w:kern w:val="0"/>
                      <w:szCs w:val="21"/>
                    </w:rPr>
                  </w:pPr>
                  <w:r>
                    <w:rPr>
                      <w:color w:val="auto"/>
                      <w:kern w:val="0"/>
                      <w:szCs w:val="21"/>
                    </w:rPr>
                    <w:t>基础开挖</w:t>
                  </w:r>
                </w:p>
              </w:tc>
              <w:tc>
                <w:tcPr>
                  <w:tcW w:w="372" w:type="pct"/>
                  <w:shd w:val="clear" w:color="auto" w:fill="auto"/>
                  <w:tcMar>
                    <w:top w:w="15" w:type="dxa"/>
                    <w:left w:w="15" w:type="dxa"/>
                    <w:right w:w="15" w:type="dxa"/>
                  </w:tcMar>
                  <w:vAlign w:val="center"/>
                </w:tcPr>
                <w:p w14:paraId="0AE63CFC">
                  <w:pPr>
                    <w:spacing w:line="240" w:lineRule="atLeast"/>
                    <w:jc w:val="center"/>
                    <w:rPr>
                      <w:color w:val="auto"/>
                      <w:kern w:val="0"/>
                      <w:szCs w:val="21"/>
                    </w:rPr>
                  </w:pPr>
                  <w:r>
                    <w:rPr>
                      <w:color w:val="auto"/>
                      <w:kern w:val="0"/>
                      <w:szCs w:val="21"/>
                    </w:rPr>
                    <w:t>0.75</w:t>
                  </w:r>
                </w:p>
              </w:tc>
              <w:tc>
                <w:tcPr>
                  <w:tcW w:w="372" w:type="pct"/>
                  <w:shd w:val="clear" w:color="auto" w:fill="auto"/>
                  <w:tcMar>
                    <w:top w:w="15" w:type="dxa"/>
                    <w:left w:w="15" w:type="dxa"/>
                    <w:right w:w="15" w:type="dxa"/>
                  </w:tcMar>
                  <w:vAlign w:val="center"/>
                </w:tcPr>
                <w:p w14:paraId="1ACF005F">
                  <w:pPr>
                    <w:spacing w:line="240" w:lineRule="atLeast"/>
                    <w:jc w:val="center"/>
                    <w:rPr>
                      <w:color w:val="auto"/>
                      <w:kern w:val="0"/>
                      <w:szCs w:val="21"/>
                    </w:rPr>
                  </w:pPr>
                  <w:r>
                    <w:rPr>
                      <w:color w:val="auto"/>
                      <w:kern w:val="0"/>
                      <w:szCs w:val="21"/>
                    </w:rPr>
                    <w:t>0.55</w:t>
                  </w:r>
                </w:p>
              </w:tc>
              <w:tc>
                <w:tcPr>
                  <w:tcW w:w="372" w:type="pct"/>
                  <w:shd w:val="clear" w:color="auto" w:fill="auto"/>
                  <w:tcMar>
                    <w:top w:w="15" w:type="dxa"/>
                    <w:left w:w="15" w:type="dxa"/>
                    <w:right w:w="15" w:type="dxa"/>
                  </w:tcMar>
                  <w:vAlign w:val="center"/>
                </w:tcPr>
                <w:p w14:paraId="28BBC232">
                  <w:pPr>
                    <w:spacing w:line="240" w:lineRule="atLeast"/>
                    <w:jc w:val="center"/>
                    <w:rPr>
                      <w:color w:val="auto"/>
                      <w:kern w:val="0"/>
                      <w:szCs w:val="21"/>
                    </w:rPr>
                  </w:pPr>
                  <w:r>
                    <w:rPr>
                      <w:color w:val="auto"/>
                      <w:kern w:val="0"/>
                      <w:szCs w:val="21"/>
                    </w:rPr>
                    <w:t>0.25</w:t>
                  </w:r>
                </w:p>
              </w:tc>
              <w:tc>
                <w:tcPr>
                  <w:tcW w:w="372" w:type="pct"/>
                  <w:shd w:val="clear" w:color="auto" w:fill="auto"/>
                  <w:tcMar>
                    <w:top w:w="15" w:type="dxa"/>
                    <w:left w:w="15" w:type="dxa"/>
                    <w:right w:w="15" w:type="dxa"/>
                  </w:tcMar>
                  <w:vAlign w:val="center"/>
                </w:tcPr>
                <w:p w14:paraId="6523E3DF">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4DF6BAA1">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6E04ED17">
                  <w:pPr>
                    <w:spacing w:line="240" w:lineRule="atLeast"/>
                    <w:jc w:val="center"/>
                    <w:rPr>
                      <w:color w:val="auto"/>
                      <w:kern w:val="0"/>
                      <w:szCs w:val="21"/>
                    </w:rPr>
                  </w:pPr>
                  <w:r>
                    <w:rPr>
                      <w:color w:val="auto"/>
                      <w:kern w:val="0"/>
                      <w:szCs w:val="21"/>
                    </w:rPr>
                    <w:t>0.30</w:t>
                  </w:r>
                </w:p>
              </w:tc>
              <w:tc>
                <w:tcPr>
                  <w:tcW w:w="372" w:type="pct"/>
                  <w:shd w:val="clear" w:color="auto" w:fill="auto"/>
                  <w:tcMar>
                    <w:top w:w="15" w:type="dxa"/>
                    <w:left w:w="15" w:type="dxa"/>
                    <w:right w:w="15" w:type="dxa"/>
                  </w:tcMar>
                  <w:vAlign w:val="center"/>
                </w:tcPr>
                <w:p w14:paraId="0FB549CC">
                  <w:pPr>
                    <w:spacing w:line="240" w:lineRule="atLeast"/>
                    <w:jc w:val="center"/>
                    <w:rPr>
                      <w:color w:val="auto"/>
                      <w:kern w:val="0"/>
                      <w:szCs w:val="21"/>
                    </w:rPr>
                  </w:pPr>
                  <w:r>
                    <w:rPr>
                      <w:color w:val="auto"/>
                      <w:kern w:val="0"/>
                      <w:szCs w:val="21"/>
                    </w:rPr>
                    <w:t>场地</w:t>
                  </w:r>
                </w:p>
                <w:p w14:paraId="369EB4FD">
                  <w:pPr>
                    <w:spacing w:line="240" w:lineRule="atLeast"/>
                    <w:jc w:val="center"/>
                    <w:rPr>
                      <w:color w:val="auto"/>
                      <w:kern w:val="0"/>
                      <w:szCs w:val="21"/>
                    </w:rPr>
                  </w:pPr>
                  <w:r>
                    <w:rPr>
                      <w:color w:val="auto"/>
                      <w:kern w:val="0"/>
                      <w:szCs w:val="21"/>
                    </w:rPr>
                    <w:t>平整</w:t>
                  </w:r>
                </w:p>
              </w:tc>
              <w:tc>
                <w:tcPr>
                  <w:tcW w:w="372" w:type="pct"/>
                  <w:shd w:val="clear" w:color="auto" w:fill="auto"/>
                  <w:tcMar>
                    <w:top w:w="15" w:type="dxa"/>
                    <w:left w:w="15" w:type="dxa"/>
                    <w:right w:w="15" w:type="dxa"/>
                  </w:tcMar>
                  <w:vAlign w:val="center"/>
                </w:tcPr>
                <w:p w14:paraId="4A360A04">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23DD9785">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53EC9BF7">
                  <w:pPr>
                    <w:spacing w:line="240" w:lineRule="atLeast"/>
                    <w:jc w:val="center"/>
                    <w:rPr>
                      <w:color w:val="auto"/>
                      <w:kern w:val="0"/>
                      <w:szCs w:val="21"/>
                    </w:rPr>
                  </w:pPr>
                  <w:r>
                    <w:rPr>
                      <w:color w:val="auto"/>
                      <w:kern w:val="0"/>
                      <w:szCs w:val="21"/>
                    </w:rPr>
                    <w:t>—</w:t>
                  </w:r>
                </w:p>
              </w:tc>
              <w:tc>
                <w:tcPr>
                  <w:tcW w:w="372" w:type="pct"/>
                  <w:tcBorders>
                    <w:right w:val="single" w:color="000000" w:sz="4" w:space="0"/>
                  </w:tcBorders>
                  <w:shd w:val="clear" w:color="auto" w:fill="auto"/>
                  <w:tcMar>
                    <w:top w:w="15" w:type="dxa"/>
                    <w:left w:w="15" w:type="dxa"/>
                    <w:right w:w="15" w:type="dxa"/>
                  </w:tcMar>
                  <w:vAlign w:val="center"/>
                </w:tcPr>
                <w:p w14:paraId="2749E79A">
                  <w:pPr>
                    <w:spacing w:line="240" w:lineRule="atLeast"/>
                    <w:jc w:val="center"/>
                    <w:rPr>
                      <w:color w:val="auto"/>
                      <w:kern w:val="0"/>
                      <w:szCs w:val="21"/>
                    </w:rPr>
                  </w:pPr>
                  <w:r>
                    <w:rPr>
                      <w:color w:val="auto"/>
                      <w:kern w:val="0"/>
                      <w:szCs w:val="21"/>
                    </w:rPr>
                    <w:t>—</w:t>
                  </w:r>
                </w:p>
              </w:tc>
            </w:tr>
            <w:tr w14:paraId="368A468B">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55" w:type="pct"/>
                  <w:vMerge w:val="continue"/>
                  <w:tcBorders>
                    <w:left w:val="single" w:color="000000" w:sz="4" w:space="0"/>
                  </w:tcBorders>
                  <w:shd w:val="clear" w:color="auto" w:fill="auto"/>
                  <w:tcMar>
                    <w:top w:w="15" w:type="dxa"/>
                    <w:left w:w="15" w:type="dxa"/>
                    <w:right w:w="15" w:type="dxa"/>
                  </w:tcMar>
                  <w:vAlign w:val="center"/>
                </w:tcPr>
                <w:p w14:paraId="6C6D6459">
                  <w:pPr>
                    <w:spacing w:line="240" w:lineRule="atLeast"/>
                    <w:jc w:val="center"/>
                    <w:rPr>
                      <w:color w:val="auto"/>
                      <w:kern w:val="0"/>
                      <w:szCs w:val="21"/>
                    </w:rPr>
                  </w:pPr>
                </w:p>
              </w:tc>
              <w:tc>
                <w:tcPr>
                  <w:tcW w:w="644" w:type="pct"/>
                  <w:shd w:val="clear" w:color="auto" w:fill="auto"/>
                  <w:tcMar>
                    <w:top w:w="15" w:type="dxa"/>
                    <w:left w:w="15" w:type="dxa"/>
                    <w:right w:w="15" w:type="dxa"/>
                  </w:tcMar>
                  <w:vAlign w:val="center"/>
                </w:tcPr>
                <w:p w14:paraId="50A83A52">
                  <w:pPr>
                    <w:spacing w:line="240" w:lineRule="atLeast"/>
                    <w:jc w:val="center"/>
                    <w:rPr>
                      <w:color w:val="auto"/>
                      <w:kern w:val="0"/>
                      <w:szCs w:val="21"/>
                    </w:rPr>
                  </w:pPr>
                  <w:r>
                    <w:rPr>
                      <w:color w:val="auto"/>
                      <w:kern w:val="0"/>
                      <w:szCs w:val="21"/>
                    </w:rPr>
                    <w:t>风井开挖</w:t>
                  </w:r>
                </w:p>
              </w:tc>
              <w:tc>
                <w:tcPr>
                  <w:tcW w:w="372" w:type="pct"/>
                  <w:shd w:val="clear" w:color="auto" w:fill="auto"/>
                  <w:tcMar>
                    <w:top w:w="15" w:type="dxa"/>
                    <w:left w:w="15" w:type="dxa"/>
                    <w:right w:w="15" w:type="dxa"/>
                  </w:tcMar>
                  <w:vAlign w:val="center"/>
                </w:tcPr>
                <w:p w14:paraId="6922015A">
                  <w:pPr>
                    <w:spacing w:line="240" w:lineRule="atLeast"/>
                    <w:jc w:val="center"/>
                    <w:rPr>
                      <w:color w:val="auto"/>
                      <w:kern w:val="0"/>
                      <w:szCs w:val="21"/>
                    </w:rPr>
                  </w:pPr>
                  <w:r>
                    <w:rPr>
                      <w:color w:val="auto"/>
                      <w:kern w:val="0"/>
                      <w:szCs w:val="21"/>
                    </w:rPr>
                    <w:t>0.96</w:t>
                  </w:r>
                </w:p>
              </w:tc>
              <w:tc>
                <w:tcPr>
                  <w:tcW w:w="372" w:type="pct"/>
                  <w:shd w:val="clear" w:color="auto" w:fill="auto"/>
                  <w:tcMar>
                    <w:top w:w="15" w:type="dxa"/>
                    <w:left w:w="15" w:type="dxa"/>
                    <w:right w:w="15" w:type="dxa"/>
                  </w:tcMar>
                  <w:vAlign w:val="center"/>
                </w:tcPr>
                <w:p w14:paraId="2245C9E2">
                  <w:pPr>
                    <w:spacing w:line="240" w:lineRule="atLeast"/>
                    <w:jc w:val="center"/>
                    <w:rPr>
                      <w:color w:val="auto"/>
                      <w:kern w:val="0"/>
                      <w:szCs w:val="21"/>
                    </w:rPr>
                  </w:pPr>
                  <w:r>
                    <w:rPr>
                      <w:color w:val="auto"/>
                      <w:kern w:val="0"/>
                      <w:szCs w:val="21"/>
                    </w:rPr>
                    <w:t>0.96</w:t>
                  </w:r>
                </w:p>
              </w:tc>
              <w:tc>
                <w:tcPr>
                  <w:tcW w:w="372" w:type="pct"/>
                  <w:shd w:val="clear" w:color="auto" w:fill="auto"/>
                  <w:tcMar>
                    <w:top w:w="15" w:type="dxa"/>
                    <w:left w:w="15" w:type="dxa"/>
                    <w:right w:w="15" w:type="dxa"/>
                  </w:tcMar>
                  <w:vAlign w:val="center"/>
                </w:tcPr>
                <w:p w14:paraId="08FD5E7F">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0C024812">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2DB10DA3">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0A7371AF">
                  <w:pPr>
                    <w:spacing w:line="240" w:lineRule="atLeast"/>
                    <w:jc w:val="center"/>
                    <w:rPr>
                      <w:color w:val="auto"/>
                      <w:kern w:val="0"/>
                      <w:szCs w:val="21"/>
                    </w:rPr>
                  </w:pPr>
                  <w:r>
                    <w:rPr>
                      <w:color w:val="auto"/>
                      <w:kern w:val="0"/>
                      <w:szCs w:val="21"/>
                    </w:rPr>
                    <w:t>0.96</w:t>
                  </w:r>
                </w:p>
              </w:tc>
              <w:tc>
                <w:tcPr>
                  <w:tcW w:w="372" w:type="pct"/>
                  <w:shd w:val="clear" w:color="auto" w:fill="auto"/>
                  <w:tcMar>
                    <w:top w:w="15" w:type="dxa"/>
                    <w:left w:w="15" w:type="dxa"/>
                    <w:right w:w="15" w:type="dxa"/>
                  </w:tcMar>
                  <w:vAlign w:val="center"/>
                </w:tcPr>
                <w:p w14:paraId="549E6F3C">
                  <w:pPr>
                    <w:spacing w:line="240" w:lineRule="atLeast"/>
                    <w:jc w:val="center"/>
                    <w:rPr>
                      <w:color w:val="auto"/>
                      <w:kern w:val="0"/>
                      <w:szCs w:val="21"/>
                    </w:rPr>
                  </w:pPr>
                  <w:r>
                    <w:rPr>
                      <w:color w:val="auto"/>
                      <w:kern w:val="0"/>
                      <w:szCs w:val="21"/>
                    </w:rPr>
                    <w:t>场地</w:t>
                  </w:r>
                </w:p>
                <w:p w14:paraId="4A29ED95">
                  <w:pPr>
                    <w:spacing w:line="240" w:lineRule="atLeast"/>
                    <w:jc w:val="center"/>
                    <w:rPr>
                      <w:color w:val="auto"/>
                      <w:kern w:val="0"/>
                      <w:szCs w:val="21"/>
                    </w:rPr>
                  </w:pPr>
                  <w:r>
                    <w:rPr>
                      <w:color w:val="auto"/>
                      <w:kern w:val="0"/>
                      <w:szCs w:val="21"/>
                    </w:rPr>
                    <w:t>平整</w:t>
                  </w:r>
                </w:p>
              </w:tc>
              <w:tc>
                <w:tcPr>
                  <w:tcW w:w="372" w:type="pct"/>
                  <w:shd w:val="clear" w:color="auto" w:fill="auto"/>
                  <w:tcMar>
                    <w:top w:w="15" w:type="dxa"/>
                    <w:left w:w="15" w:type="dxa"/>
                    <w:right w:w="15" w:type="dxa"/>
                  </w:tcMar>
                  <w:vAlign w:val="center"/>
                </w:tcPr>
                <w:p w14:paraId="4389109B">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3EEEF531">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37F3EF78">
                  <w:pPr>
                    <w:spacing w:line="240" w:lineRule="atLeast"/>
                    <w:jc w:val="center"/>
                    <w:rPr>
                      <w:color w:val="auto"/>
                      <w:kern w:val="0"/>
                      <w:szCs w:val="21"/>
                    </w:rPr>
                  </w:pPr>
                  <w:r>
                    <w:rPr>
                      <w:color w:val="auto"/>
                      <w:kern w:val="0"/>
                      <w:szCs w:val="21"/>
                    </w:rPr>
                    <w:t>—</w:t>
                  </w:r>
                </w:p>
              </w:tc>
              <w:tc>
                <w:tcPr>
                  <w:tcW w:w="372" w:type="pct"/>
                  <w:tcBorders>
                    <w:right w:val="single" w:color="000000" w:sz="4" w:space="0"/>
                  </w:tcBorders>
                  <w:shd w:val="clear" w:color="auto" w:fill="auto"/>
                  <w:tcMar>
                    <w:top w:w="15" w:type="dxa"/>
                    <w:left w:w="15" w:type="dxa"/>
                    <w:right w:w="15" w:type="dxa"/>
                  </w:tcMar>
                  <w:vAlign w:val="center"/>
                </w:tcPr>
                <w:p w14:paraId="6A808EE8">
                  <w:pPr>
                    <w:spacing w:line="240" w:lineRule="atLeast"/>
                    <w:jc w:val="center"/>
                    <w:rPr>
                      <w:color w:val="auto"/>
                      <w:kern w:val="0"/>
                      <w:szCs w:val="21"/>
                    </w:rPr>
                  </w:pPr>
                  <w:r>
                    <w:rPr>
                      <w:color w:val="auto"/>
                      <w:kern w:val="0"/>
                      <w:szCs w:val="21"/>
                    </w:rPr>
                    <w:t>—</w:t>
                  </w:r>
                </w:p>
              </w:tc>
            </w:tr>
            <w:tr w14:paraId="545168C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55" w:type="pct"/>
                  <w:vMerge w:val="continue"/>
                  <w:tcBorders>
                    <w:left w:val="single" w:color="000000" w:sz="4" w:space="0"/>
                  </w:tcBorders>
                  <w:shd w:val="clear" w:color="auto" w:fill="auto"/>
                  <w:tcMar>
                    <w:top w:w="15" w:type="dxa"/>
                    <w:left w:w="15" w:type="dxa"/>
                    <w:right w:w="15" w:type="dxa"/>
                  </w:tcMar>
                  <w:vAlign w:val="center"/>
                </w:tcPr>
                <w:p w14:paraId="7CC4F0A3">
                  <w:pPr>
                    <w:spacing w:line="240" w:lineRule="atLeast"/>
                    <w:jc w:val="center"/>
                    <w:rPr>
                      <w:color w:val="auto"/>
                      <w:kern w:val="0"/>
                      <w:szCs w:val="21"/>
                    </w:rPr>
                  </w:pPr>
                </w:p>
              </w:tc>
              <w:tc>
                <w:tcPr>
                  <w:tcW w:w="644" w:type="pct"/>
                  <w:tcBorders>
                    <w:bottom w:val="single" w:color="000000" w:sz="4" w:space="0"/>
                  </w:tcBorders>
                  <w:shd w:val="clear" w:color="auto" w:fill="auto"/>
                  <w:tcMar>
                    <w:top w:w="15" w:type="dxa"/>
                    <w:left w:w="15" w:type="dxa"/>
                    <w:right w:w="15" w:type="dxa"/>
                  </w:tcMar>
                  <w:vAlign w:val="center"/>
                </w:tcPr>
                <w:p w14:paraId="00BBBB84">
                  <w:pPr>
                    <w:spacing w:line="240" w:lineRule="atLeast"/>
                    <w:jc w:val="center"/>
                    <w:rPr>
                      <w:color w:val="auto"/>
                      <w:kern w:val="0"/>
                      <w:szCs w:val="21"/>
                    </w:rPr>
                  </w:pPr>
                  <w:r>
                    <w:rPr>
                      <w:color w:val="auto"/>
                      <w:kern w:val="0"/>
                      <w:szCs w:val="21"/>
                    </w:rPr>
                    <w:t>场地平整</w:t>
                  </w:r>
                </w:p>
              </w:tc>
              <w:tc>
                <w:tcPr>
                  <w:tcW w:w="372" w:type="pct"/>
                  <w:shd w:val="clear" w:color="auto" w:fill="auto"/>
                  <w:tcMar>
                    <w:top w:w="15" w:type="dxa"/>
                    <w:left w:w="15" w:type="dxa"/>
                    <w:right w:w="15" w:type="dxa"/>
                  </w:tcMar>
                  <w:vAlign w:val="center"/>
                </w:tcPr>
                <w:p w14:paraId="7C4725CD">
                  <w:pPr>
                    <w:spacing w:line="240" w:lineRule="atLeast"/>
                    <w:jc w:val="center"/>
                    <w:rPr>
                      <w:color w:val="auto"/>
                      <w:kern w:val="0"/>
                      <w:szCs w:val="21"/>
                    </w:rPr>
                  </w:pPr>
                  <w:r>
                    <w:rPr>
                      <w:color w:val="auto"/>
                      <w:kern w:val="0"/>
                      <w:szCs w:val="21"/>
                    </w:rPr>
                    <w:t>1.66</w:t>
                  </w:r>
                </w:p>
              </w:tc>
              <w:tc>
                <w:tcPr>
                  <w:tcW w:w="372" w:type="pct"/>
                  <w:shd w:val="clear" w:color="auto" w:fill="auto"/>
                  <w:tcMar>
                    <w:top w:w="15" w:type="dxa"/>
                    <w:left w:w="15" w:type="dxa"/>
                    <w:right w:w="15" w:type="dxa"/>
                  </w:tcMar>
                  <w:vAlign w:val="center"/>
                </w:tcPr>
                <w:p w14:paraId="44D338DE">
                  <w:pPr>
                    <w:spacing w:line="240" w:lineRule="atLeast"/>
                    <w:jc w:val="center"/>
                    <w:rPr>
                      <w:color w:val="auto"/>
                      <w:kern w:val="0"/>
                      <w:szCs w:val="21"/>
                    </w:rPr>
                  </w:pPr>
                  <w:r>
                    <w:rPr>
                      <w:color w:val="auto"/>
                      <w:kern w:val="0"/>
                      <w:szCs w:val="21"/>
                    </w:rPr>
                    <w:t>0.20</w:t>
                  </w:r>
                </w:p>
              </w:tc>
              <w:tc>
                <w:tcPr>
                  <w:tcW w:w="372" w:type="pct"/>
                  <w:shd w:val="clear" w:color="auto" w:fill="auto"/>
                  <w:tcMar>
                    <w:top w:w="15" w:type="dxa"/>
                    <w:left w:w="15" w:type="dxa"/>
                    <w:right w:w="15" w:type="dxa"/>
                  </w:tcMar>
                  <w:vAlign w:val="center"/>
                </w:tcPr>
                <w:p w14:paraId="34E4DABB">
                  <w:pPr>
                    <w:spacing w:line="240" w:lineRule="atLeast"/>
                    <w:jc w:val="center"/>
                    <w:rPr>
                      <w:color w:val="auto"/>
                      <w:kern w:val="0"/>
                      <w:szCs w:val="21"/>
                    </w:rPr>
                  </w:pPr>
                  <w:r>
                    <w:rPr>
                      <w:color w:val="auto"/>
                      <w:kern w:val="0"/>
                      <w:szCs w:val="21"/>
                    </w:rPr>
                    <w:t>1.46</w:t>
                  </w:r>
                </w:p>
              </w:tc>
              <w:tc>
                <w:tcPr>
                  <w:tcW w:w="372" w:type="pct"/>
                  <w:shd w:val="clear" w:color="auto" w:fill="auto"/>
                  <w:tcMar>
                    <w:top w:w="15" w:type="dxa"/>
                    <w:left w:w="15" w:type="dxa"/>
                    <w:right w:w="15" w:type="dxa"/>
                  </w:tcMar>
                  <w:vAlign w:val="center"/>
                </w:tcPr>
                <w:p w14:paraId="0D0F250E">
                  <w:pPr>
                    <w:spacing w:line="240" w:lineRule="atLeast"/>
                    <w:jc w:val="center"/>
                    <w:rPr>
                      <w:color w:val="auto"/>
                      <w:kern w:val="0"/>
                      <w:szCs w:val="21"/>
                    </w:rPr>
                  </w:pPr>
                  <w:r>
                    <w:rPr>
                      <w:color w:val="auto"/>
                      <w:kern w:val="0"/>
                      <w:szCs w:val="21"/>
                    </w:rPr>
                    <w:t>1.26</w:t>
                  </w:r>
                </w:p>
              </w:tc>
              <w:tc>
                <w:tcPr>
                  <w:tcW w:w="372" w:type="pct"/>
                  <w:shd w:val="clear" w:color="auto" w:fill="auto"/>
                  <w:tcMar>
                    <w:top w:w="15" w:type="dxa"/>
                    <w:left w:w="15" w:type="dxa"/>
                    <w:right w:w="15" w:type="dxa"/>
                  </w:tcMar>
                  <w:vAlign w:val="center"/>
                </w:tcPr>
                <w:p w14:paraId="2C06A696">
                  <w:pPr>
                    <w:spacing w:line="240" w:lineRule="atLeast"/>
                    <w:jc w:val="center"/>
                    <w:rPr>
                      <w:color w:val="auto"/>
                      <w:kern w:val="0"/>
                      <w:szCs w:val="21"/>
                    </w:rPr>
                  </w:pPr>
                  <w:r>
                    <w:rPr>
                      <w:color w:val="auto"/>
                      <w:kern w:val="0"/>
                      <w:szCs w:val="21"/>
                    </w:rPr>
                    <w:t>基础</w:t>
                  </w:r>
                </w:p>
                <w:p w14:paraId="7C2C08B9">
                  <w:pPr>
                    <w:spacing w:line="240" w:lineRule="atLeast"/>
                    <w:jc w:val="center"/>
                    <w:rPr>
                      <w:color w:val="auto"/>
                      <w:kern w:val="0"/>
                      <w:szCs w:val="21"/>
                    </w:rPr>
                  </w:pPr>
                  <w:r>
                    <w:rPr>
                      <w:color w:val="auto"/>
                      <w:kern w:val="0"/>
                      <w:szCs w:val="21"/>
                    </w:rPr>
                    <w:t>开挖、风井开挖</w:t>
                  </w:r>
                </w:p>
              </w:tc>
              <w:tc>
                <w:tcPr>
                  <w:tcW w:w="372" w:type="pct"/>
                  <w:shd w:val="clear" w:color="auto" w:fill="auto"/>
                  <w:tcMar>
                    <w:top w:w="15" w:type="dxa"/>
                    <w:left w:w="15" w:type="dxa"/>
                    <w:right w:w="15" w:type="dxa"/>
                  </w:tcMar>
                  <w:vAlign w:val="center"/>
                </w:tcPr>
                <w:p w14:paraId="195BE10D">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31DC21DF">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5CEFFA2E">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006358D6">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66FB539B">
                  <w:pPr>
                    <w:spacing w:line="240" w:lineRule="atLeast"/>
                    <w:jc w:val="center"/>
                    <w:rPr>
                      <w:color w:val="auto"/>
                      <w:kern w:val="0"/>
                      <w:szCs w:val="21"/>
                    </w:rPr>
                  </w:pPr>
                  <w:r>
                    <w:rPr>
                      <w:color w:val="auto"/>
                      <w:kern w:val="0"/>
                      <w:szCs w:val="21"/>
                    </w:rPr>
                    <w:t>—</w:t>
                  </w:r>
                </w:p>
              </w:tc>
              <w:tc>
                <w:tcPr>
                  <w:tcW w:w="372" w:type="pct"/>
                  <w:tcBorders>
                    <w:right w:val="single" w:color="000000" w:sz="4" w:space="0"/>
                  </w:tcBorders>
                  <w:shd w:val="clear" w:color="auto" w:fill="auto"/>
                  <w:tcMar>
                    <w:top w:w="15" w:type="dxa"/>
                    <w:left w:w="15" w:type="dxa"/>
                    <w:right w:w="15" w:type="dxa"/>
                  </w:tcMar>
                  <w:vAlign w:val="center"/>
                </w:tcPr>
                <w:p w14:paraId="13FA68B7">
                  <w:pPr>
                    <w:spacing w:line="240" w:lineRule="atLeast"/>
                    <w:jc w:val="center"/>
                    <w:rPr>
                      <w:color w:val="auto"/>
                      <w:kern w:val="0"/>
                      <w:szCs w:val="21"/>
                    </w:rPr>
                  </w:pPr>
                  <w:r>
                    <w:rPr>
                      <w:color w:val="auto"/>
                      <w:kern w:val="0"/>
                      <w:szCs w:val="21"/>
                    </w:rPr>
                    <w:t>—</w:t>
                  </w:r>
                </w:p>
              </w:tc>
            </w:tr>
            <w:tr w14:paraId="3B0C2D7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55" w:type="pct"/>
                  <w:vMerge w:val="continue"/>
                  <w:tcBorders>
                    <w:left w:val="single" w:color="000000" w:sz="4" w:space="0"/>
                  </w:tcBorders>
                  <w:shd w:val="clear" w:color="auto" w:fill="auto"/>
                  <w:tcMar>
                    <w:top w:w="15" w:type="dxa"/>
                    <w:left w:w="15" w:type="dxa"/>
                    <w:right w:w="15" w:type="dxa"/>
                  </w:tcMar>
                  <w:vAlign w:val="center"/>
                </w:tcPr>
                <w:p w14:paraId="24690AC4">
                  <w:pPr>
                    <w:spacing w:line="240" w:lineRule="atLeast"/>
                    <w:jc w:val="center"/>
                    <w:rPr>
                      <w:color w:val="auto"/>
                      <w:kern w:val="0"/>
                      <w:szCs w:val="21"/>
                    </w:rPr>
                  </w:pPr>
                </w:p>
              </w:tc>
              <w:tc>
                <w:tcPr>
                  <w:tcW w:w="644" w:type="pct"/>
                  <w:tcBorders>
                    <w:bottom w:val="single" w:color="000000" w:sz="4" w:space="0"/>
                  </w:tcBorders>
                  <w:shd w:val="clear" w:color="auto" w:fill="auto"/>
                  <w:tcMar>
                    <w:top w:w="15" w:type="dxa"/>
                    <w:left w:w="15" w:type="dxa"/>
                    <w:right w:w="15" w:type="dxa"/>
                  </w:tcMar>
                  <w:vAlign w:val="center"/>
                </w:tcPr>
                <w:p w14:paraId="1B9E587E">
                  <w:pPr>
                    <w:spacing w:line="240" w:lineRule="atLeast"/>
                    <w:jc w:val="center"/>
                    <w:rPr>
                      <w:color w:val="auto"/>
                      <w:kern w:val="0"/>
                      <w:szCs w:val="21"/>
                    </w:rPr>
                  </w:pPr>
                  <w:r>
                    <w:rPr>
                      <w:color w:val="auto"/>
                      <w:kern w:val="0"/>
                      <w:szCs w:val="21"/>
                    </w:rPr>
                    <w:t>表土剥离</w:t>
                  </w:r>
                </w:p>
              </w:tc>
              <w:tc>
                <w:tcPr>
                  <w:tcW w:w="372" w:type="pct"/>
                  <w:shd w:val="clear" w:color="auto" w:fill="auto"/>
                  <w:tcMar>
                    <w:top w:w="15" w:type="dxa"/>
                    <w:left w:w="15" w:type="dxa"/>
                    <w:right w:w="15" w:type="dxa"/>
                  </w:tcMar>
                  <w:vAlign w:val="center"/>
                </w:tcPr>
                <w:p w14:paraId="4F1F859B">
                  <w:pPr>
                    <w:spacing w:line="240" w:lineRule="atLeast"/>
                    <w:jc w:val="center"/>
                    <w:rPr>
                      <w:color w:val="auto"/>
                      <w:kern w:val="0"/>
                      <w:szCs w:val="21"/>
                    </w:rPr>
                  </w:pPr>
                  <w:r>
                    <w:rPr>
                      <w:color w:val="auto"/>
                      <w:kern w:val="0"/>
                      <w:szCs w:val="21"/>
                    </w:rPr>
                    <w:t>0.11</w:t>
                  </w:r>
                </w:p>
              </w:tc>
              <w:tc>
                <w:tcPr>
                  <w:tcW w:w="372" w:type="pct"/>
                  <w:shd w:val="clear" w:color="auto" w:fill="auto"/>
                  <w:tcMar>
                    <w:top w:w="15" w:type="dxa"/>
                    <w:left w:w="15" w:type="dxa"/>
                    <w:right w:w="15" w:type="dxa"/>
                  </w:tcMar>
                  <w:vAlign w:val="center"/>
                </w:tcPr>
                <w:p w14:paraId="3283A188">
                  <w:pPr>
                    <w:spacing w:line="240" w:lineRule="atLeast"/>
                    <w:jc w:val="center"/>
                    <w:rPr>
                      <w:color w:val="auto"/>
                      <w:kern w:val="0"/>
                      <w:szCs w:val="21"/>
                    </w:rPr>
                  </w:pPr>
                  <w:r>
                    <w:rPr>
                      <w:color w:val="auto"/>
                      <w:kern w:val="0"/>
                      <w:szCs w:val="21"/>
                    </w:rPr>
                    <w:t>0.11</w:t>
                  </w:r>
                </w:p>
              </w:tc>
              <w:tc>
                <w:tcPr>
                  <w:tcW w:w="372" w:type="pct"/>
                  <w:shd w:val="clear" w:color="auto" w:fill="auto"/>
                  <w:tcMar>
                    <w:top w:w="15" w:type="dxa"/>
                    <w:left w:w="15" w:type="dxa"/>
                    <w:right w:w="15" w:type="dxa"/>
                  </w:tcMar>
                  <w:vAlign w:val="center"/>
                </w:tcPr>
                <w:p w14:paraId="62CBDBFB">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67E50DCC">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1EDCFEBB">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774BDF3F">
                  <w:pPr>
                    <w:spacing w:line="240" w:lineRule="atLeast"/>
                    <w:jc w:val="center"/>
                    <w:rPr>
                      <w:color w:val="auto"/>
                      <w:kern w:val="0"/>
                      <w:szCs w:val="21"/>
                    </w:rPr>
                  </w:pPr>
                  <w:r>
                    <w:rPr>
                      <w:color w:val="auto"/>
                      <w:kern w:val="0"/>
                      <w:szCs w:val="21"/>
                    </w:rPr>
                    <w:t>0.11</w:t>
                  </w:r>
                </w:p>
              </w:tc>
              <w:tc>
                <w:tcPr>
                  <w:tcW w:w="372" w:type="pct"/>
                  <w:shd w:val="clear" w:color="auto" w:fill="auto"/>
                  <w:tcMar>
                    <w:top w:w="15" w:type="dxa"/>
                    <w:left w:w="15" w:type="dxa"/>
                    <w:right w:w="15" w:type="dxa"/>
                  </w:tcMar>
                  <w:vAlign w:val="center"/>
                </w:tcPr>
                <w:p w14:paraId="3C93741F">
                  <w:pPr>
                    <w:spacing w:line="240" w:lineRule="atLeast"/>
                    <w:jc w:val="center"/>
                    <w:rPr>
                      <w:color w:val="auto"/>
                      <w:kern w:val="0"/>
                      <w:szCs w:val="21"/>
                    </w:rPr>
                  </w:pPr>
                  <w:r>
                    <w:rPr>
                      <w:color w:val="auto"/>
                      <w:kern w:val="0"/>
                      <w:szCs w:val="21"/>
                    </w:rPr>
                    <w:t>土地整治</w:t>
                  </w:r>
                </w:p>
              </w:tc>
              <w:tc>
                <w:tcPr>
                  <w:tcW w:w="372" w:type="pct"/>
                  <w:shd w:val="clear" w:color="auto" w:fill="auto"/>
                  <w:tcMar>
                    <w:top w:w="15" w:type="dxa"/>
                    <w:left w:w="15" w:type="dxa"/>
                    <w:right w:w="15" w:type="dxa"/>
                  </w:tcMar>
                  <w:vAlign w:val="center"/>
                </w:tcPr>
                <w:p w14:paraId="50799729">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0E23A02C">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44A6A324">
                  <w:pPr>
                    <w:spacing w:line="240" w:lineRule="atLeast"/>
                    <w:jc w:val="center"/>
                    <w:rPr>
                      <w:color w:val="auto"/>
                      <w:kern w:val="0"/>
                      <w:szCs w:val="21"/>
                    </w:rPr>
                  </w:pPr>
                  <w:r>
                    <w:rPr>
                      <w:color w:val="auto"/>
                      <w:kern w:val="0"/>
                      <w:szCs w:val="21"/>
                    </w:rPr>
                    <w:t>—</w:t>
                  </w:r>
                </w:p>
              </w:tc>
              <w:tc>
                <w:tcPr>
                  <w:tcW w:w="372" w:type="pct"/>
                  <w:tcBorders>
                    <w:right w:val="single" w:color="000000" w:sz="4" w:space="0"/>
                  </w:tcBorders>
                  <w:shd w:val="clear" w:color="auto" w:fill="auto"/>
                  <w:tcMar>
                    <w:top w:w="15" w:type="dxa"/>
                    <w:left w:w="15" w:type="dxa"/>
                    <w:right w:w="15" w:type="dxa"/>
                  </w:tcMar>
                  <w:vAlign w:val="center"/>
                </w:tcPr>
                <w:p w14:paraId="40DCC05D">
                  <w:pPr>
                    <w:spacing w:line="240" w:lineRule="atLeast"/>
                    <w:jc w:val="center"/>
                    <w:rPr>
                      <w:color w:val="auto"/>
                      <w:kern w:val="0"/>
                      <w:szCs w:val="21"/>
                    </w:rPr>
                  </w:pPr>
                  <w:r>
                    <w:rPr>
                      <w:color w:val="auto"/>
                      <w:kern w:val="0"/>
                      <w:szCs w:val="21"/>
                    </w:rPr>
                    <w:t>—</w:t>
                  </w:r>
                </w:p>
              </w:tc>
            </w:tr>
            <w:tr w14:paraId="210436B1">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255" w:type="pct"/>
                  <w:vMerge w:val="continue"/>
                  <w:tcBorders>
                    <w:left w:val="single" w:color="000000" w:sz="4" w:space="0"/>
                    <w:bottom w:val="single" w:color="000000" w:sz="4" w:space="0"/>
                  </w:tcBorders>
                  <w:shd w:val="clear" w:color="auto" w:fill="auto"/>
                  <w:tcMar>
                    <w:top w:w="15" w:type="dxa"/>
                    <w:left w:w="15" w:type="dxa"/>
                    <w:right w:w="15" w:type="dxa"/>
                  </w:tcMar>
                  <w:vAlign w:val="center"/>
                </w:tcPr>
                <w:p w14:paraId="686D11C8">
                  <w:pPr>
                    <w:spacing w:line="240" w:lineRule="atLeast"/>
                    <w:jc w:val="center"/>
                    <w:rPr>
                      <w:color w:val="auto"/>
                      <w:kern w:val="0"/>
                      <w:szCs w:val="21"/>
                    </w:rPr>
                  </w:pPr>
                </w:p>
              </w:tc>
              <w:tc>
                <w:tcPr>
                  <w:tcW w:w="644" w:type="pct"/>
                  <w:tcBorders>
                    <w:bottom w:val="single" w:color="000000" w:sz="4" w:space="0"/>
                  </w:tcBorders>
                  <w:shd w:val="clear" w:color="auto" w:fill="auto"/>
                  <w:tcMar>
                    <w:top w:w="15" w:type="dxa"/>
                    <w:left w:w="15" w:type="dxa"/>
                    <w:right w:w="15" w:type="dxa"/>
                  </w:tcMar>
                  <w:vAlign w:val="center"/>
                </w:tcPr>
                <w:p w14:paraId="270F758D">
                  <w:pPr>
                    <w:spacing w:line="240" w:lineRule="atLeast"/>
                    <w:jc w:val="center"/>
                    <w:rPr>
                      <w:color w:val="auto"/>
                      <w:kern w:val="0"/>
                      <w:szCs w:val="21"/>
                    </w:rPr>
                  </w:pPr>
                  <w:r>
                    <w:rPr>
                      <w:color w:val="auto"/>
                      <w:kern w:val="0"/>
                      <w:szCs w:val="21"/>
                    </w:rPr>
                    <w:t>土地整治</w:t>
                  </w:r>
                </w:p>
              </w:tc>
              <w:tc>
                <w:tcPr>
                  <w:tcW w:w="372" w:type="pct"/>
                  <w:shd w:val="clear" w:color="auto" w:fill="auto"/>
                  <w:tcMar>
                    <w:top w:w="15" w:type="dxa"/>
                    <w:left w:w="15" w:type="dxa"/>
                    <w:right w:w="15" w:type="dxa"/>
                  </w:tcMar>
                  <w:vAlign w:val="center"/>
                </w:tcPr>
                <w:p w14:paraId="7FF869B2">
                  <w:pPr>
                    <w:spacing w:line="240" w:lineRule="atLeast"/>
                    <w:jc w:val="center"/>
                    <w:rPr>
                      <w:color w:val="auto"/>
                      <w:kern w:val="0"/>
                      <w:szCs w:val="21"/>
                    </w:rPr>
                  </w:pPr>
                  <w:r>
                    <w:rPr>
                      <w:color w:val="auto"/>
                      <w:kern w:val="0"/>
                      <w:szCs w:val="21"/>
                    </w:rPr>
                    <w:t>0.11</w:t>
                  </w:r>
                </w:p>
              </w:tc>
              <w:tc>
                <w:tcPr>
                  <w:tcW w:w="372" w:type="pct"/>
                  <w:shd w:val="clear" w:color="auto" w:fill="auto"/>
                  <w:tcMar>
                    <w:top w:w="15" w:type="dxa"/>
                    <w:left w:w="15" w:type="dxa"/>
                    <w:right w:w="15" w:type="dxa"/>
                  </w:tcMar>
                  <w:vAlign w:val="center"/>
                </w:tcPr>
                <w:p w14:paraId="56E60163">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62552776">
                  <w:pPr>
                    <w:spacing w:line="240" w:lineRule="atLeast"/>
                    <w:jc w:val="center"/>
                    <w:rPr>
                      <w:color w:val="auto"/>
                      <w:kern w:val="0"/>
                      <w:szCs w:val="21"/>
                    </w:rPr>
                  </w:pPr>
                  <w:r>
                    <w:rPr>
                      <w:color w:val="auto"/>
                      <w:kern w:val="0"/>
                      <w:szCs w:val="21"/>
                    </w:rPr>
                    <w:t>0.11</w:t>
                  </w:r>
                </w:p>
              </w:tc>
              <w:tc>
                <w:tcPr>
                  <w:tcW w:w="372" w:type="pct"/>
                  <w:shd w:val="clear" w:color="auto" w:fill="auto"/>
                  <w:tcMar>
                    <w:top w:w="15" w:type="dxa"/>
                    <w:left w:w="15" w:type="dxa"/>
                    <w:right w:w="15" w:type="dxa"/>
                  </w:tcMar>
                  <w:vAlign w:val="center"/>
                </w:tcPr>
                <w:p w14:paraId="4459803D">
                  <w:pPr>
                    <w:spacing w:line="240" w:lineRule="atLeast"/>
                    <w:jc w:val="center"/>
                    <w:rPr>
                      <w:color w:val="auto"/>
                      <w:kern w:val="0"/>
                      <w:szCs w:val="21"/>
                    </w:rPr>
                  </w:pPr>
                  <w:r>
                    <w:rPr>
                      <w:color w:val="auto"/>
                      <w:kern w:val="0"/>
                      <w:szCs w:val="21"/>
                    </w:rPr>
                    <w:t>0.11</w:t>
                  </w:r>
                </w:p>
              </w:tc>
              <w:tc>
                <w:tcPr>
                  <w:tcW w:w="372" w:type="pct"/>
                  <w:shd w:val="clear" w:color="auto" w:fill="auto"/>
                  <w:tcMar>
                    <w:top w:w="15" w:type="dxa"/>
                    <w:left w:w="15" w:type="dxa"/>
                    <w:right w:w="15" w:type="dxa"/>
                  </w:tcMar>
                  <w:vAlign w:val="center"/>
                </w:tcPr>
                <w:p w14:paraId="48CF5CA0">
                  <w:pPr>
                    <w:spacing w:line="240" w:lineRule="atLeast"/>
                    <w:jc w:val="center"/>
                    <w:rPr>
                      <w:color w:val="auto"/>
                      <w:kern w:val="0"/>
                      <w:szCs w:val="21"/>
                    </w:rPr>
                  </w:pPr>
                  <w:r>
                    <w:rPr>
                      <w:color w:val="auto"/>
                      <w:kern w:val="0"/>
                      <w:szCs w:val="21"/>
                    </w:rPr>
                    <w:t>表土剥离</w:t>
                  </w:r>
                </w:p>
              </w:tc>
              <w:tc>
                <w:tcPr>
                  <w:tcW w:w="372" w:type="pct"/>
                  <w:shd w:val="clear" w:color="auto" w:fill="auto"/>
                  <w:tcMar>
                    <w:top w:w="15" w:type="dxa"/>
                    <w:left w:w="15" w:type="dxa"/>
                    <w:right w:w="15" w:type="dxa"/>
                  </w:tcMar>
                  <w:vAlign w:val="center"/>
                </w:tcPr>
                <w:p w14:paraId="70A6171C">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58257F65">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626F308C">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262955E0">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39C1C23C">
                  <w:pPr>
                    <w:spacing w:line="240" w:lineRule="atLeast"/>
                    <w:jc w:val="center"/>
                    <w:rPr>
                      <w:color w:val="auto"/>
                      <w:kern w:val="0"/>
                      <w:szCs w:val="21"/>
                    </w:rPr>
                  </w:pPr>
                  <w:r>
                    <w:rPr>
                      <w:color w:val="auto"/>
                      <w:kern w:val="0"/>
                      <w:szCs w:val="21"/>
                    </w:rPr>
                    <w:t>—</w:t>
                  </w:r>
                </w:p>
              </w:tc>
              <w:tc>
                <w:tcPr>
                  <w:tcW w:w="372" w:type="pct"/>
                  <w:tcBorders>
                    <w:right w:val="single" w:color="000000" w:sz="4" w:space="0"/>
                  </w:tcBorders>
                  <w:shd w:val="clear" w:color="auto" w:fill="auto"/>
                  <w:tcMar>
                    <w:top w:w="15" w:type="dxa"/>
                    <w:left w:w="15" w:type="dxa"/>
                    <w:right w:w="15" w:type="dxa"/>
                  </w:tcMar>
                  <w:vAlign w:val="center"/>
                </w:tcPr>
                <w:p w14:paraId="750FF980">
                  <w:pPr>
                    <w:spacing w:line="240" w:lineRule="atLeast"/>
                    <w:jc w:val="center"/>
                    <w:rPr>
                      <w:color w:val="auto"/>
                      <w:kern w:val="0"/>
                      <w:szCs w:val="21"/>
                    </w:rPr>
                  </w:pPr>
                  <w:r>
                    <w:rPr>
                      <w:color w:val="auto"/>
                      <w:kern w:val="0"/>
                      <w:szCs w:val="21"/>
                    </w:rPr>
                    <w:t>—</w:t>
                  </w:r>
                </w:p>
              </w:tc>
            </w:tr>
            <w:tr w14:paraId="67266FC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54" w:hRule="atLeast"/>
              </w:trPr>
              <w:tc>
                <w:tcPr>
                  <w:tcW w:w="899" w:type="pct"/>
                  <w:gridSpan w:val="2"/>
                  <w:tcBorders>
                    <w:left w:val="single" w:color="000000" w:sz="4" w:space="0"/>
                  </w:tcBorders>
                  <w:shd w:val="clear" w:color="auto" w:fill="auto"/>
                  <w:tcMar>
                    <w:top w:w="15" w:type="dxa"/>
                    <w:left w:w="15" w:type="dxa"/>
                    <w:right w:w="15" w:type="dxa"/>
                  </w:tcMar>
                  <w:vAlign w:val="center"/>
                </w:tcPr>
                <w:p w14:paraId="498200D4">
                  <w:pPr>
                    <w:spacing w:line="240" w:lineRule="atLeast"/>
                    <w:jc w:val="center"/>
                    <w:rPr>
                      <w:color w:val="auto"/>
                      <w:kern w:val="0"/>
                      <w:szCs w:val="21"/>
                    </w:rPr>
                  </w:pPr>
                  <w:r>
                    <w:rPr>
                      <w:color w:val="auto"/>
                      <w:kern w:val="0"/>
                      <w:szCs w:val="21"/>
                    </w:rPr>
                    <w:t>合计</w:t>
                  </w:r>
                </w:p>
              </w:tc>
              <w:tc>
                <w:tcPr>
                  <w:tcW w:w="372" w:type="pct"/>
                  <w:shd w:val="clear" w:color="auto" w:fill="auto"/>
                  <w:tcMar>
                    <w:top w:w="15" w:type="dxa"/>
                    <w:left w:w="15" w:type="dxa"/>
                    <w:right w:w="15" w:type="dxa"/>
                  </w:tcMar>
                  <w:vAlign w:val="center"/>
                </w:tcPr>
                <w:p w14:paraId="1169BF01">
                  <w:pPr>
                    <w:spacing w:line="240" w:lineRule="atLeast"/>
                    <w:jc w:val="center"/>
                    <w:rPr>
                      <w:color w:val="auto"/>
                      <w:kern w:val="0"/>
                      <w:szCs w:val="21"/>
                    </w:rPr>
                  </w:pPr>
                  <w:r>
                    <w:rPr>
                      <w:color w:val="auto"/>
                      <w:kern w:val="0"/>
                      <w:szCs w:val="21"/>
                    </w:rPr>
                    <w:t>3.64</w:t>
                  </w:r>
                </w:p>
              </w:tc>
              <w:tc>
                <w:tcPr>
                  <w:tcW w:w="372" w:type="pct"/>
                  <w:shd w:val="clear" w:color="auto" w:fill="auto"/>
                  <w:tcMar>
                    <w:top w:w="15" w:type="dxa"/>
                    <w:left w:w="15" w:type="dxa"/>
                    <w:right w:w="15" w:type="dxa"/>
                  </w:tcMar>
                  <w:vAlign w:val="center"/>
                </w:tcPr>
                <w:p w14:paraId="3B774B64">
                  <w:pPr>
                    <w:spacing w:line="240" w:lineRule="atLeast"/>
                    <w:jc w:val="center"/>
                    <w:rPr>
                      <w:color w:val="auto"/>
                      <w:kern w:val="0"/>
                      <w:szCs w:val="21"/>
                    </w:rPr>
                  </w:pPr>
                  <w:r>
                    <w:rPr>
                      <w:color w:val="auto"/>
                      <w:kern w:val="0"/>
                      <w:szCs w:val="21"/>
                    </w:rPr>
                    <w:t>1.82</w:t>
                  </w:r>
                </w:p>
              </w:tc>
              <w:tc>
                <w:tcPr>
                  <w:tcW w:w="372" w:type="pct"/>
                  <w:shd w:val="clear" w:color="auto" w:fill="auto"/>
                  <w:tcMar>
                    <w:top w:w="15" w:type="dxa"/>
                    <w:left w:w="15" w:type="dxa"/>
                    <w:right w:w="15" w:type="dxa"/>
                  </w:tcMar>
                  <w:vAlign w:val="center"/>
                </w:tcPr>
                <w:p w14:paraId="546798F7">
                  <w:pPr>
                    <w:spacing w:line="240" w:lineRule="atLeast"/>
                    <w:jc w:val="center"/>
                    <w:rPr>
                      <w:color w:val="auto"/>
                      <w:kern w:val="0"/>
                      <w:szCs w:val="21"/>
                    </w:rPr>
                  </w:pPr>
                  <w:r>
                    <w:rPr>
                      <w:color w:val="auto"/>
                      <w:kern w:val="0"/>
                      <w:szCs w:val="21"/>
                    </w:rPr>
                    <w:t>1.82</w:t>
                  </w:r>
                </w:p>
              </w:tc>
              <w:tc>
                <w:tcPr>
                  <w:tcW w:w="372" w:type="pct"/>
                  <w:shd w:val="clear" w:color="auto" w:fill="auto"/>
                  <w:tcMar>
                    <w:top w:w="15" w:type="dxa"/>
                    <w:left w:w="15" w:type="dxa"/>
                    <w:right w:w="15" w:type="dxa"/>
                  </w:tcMar>
                  <w:vAlign w:val="center"/>
                </w:tcPr>
                <w:p w14:paraId="4863AA95">
                  <w:pPr>
                    <w:spacing w:line="240" w:lineRule="atLeast"/>
                    <w:jc w:val="center"/>
                    <w:rPr>
                      <w:color w:val="auto"/>
                      <w:kern w:val="0"/>
                      <w:szCs w:val="21"/>
                    </w:rPr>
                  </w:pPr>
                  <w:r>
                    <w:rPr>
                      <w:color w:val="auto"/>
                      <w:kern w:val="0"/>
                      <w:szCs w:val="21"/>
                    </w:rPr>
                    <w:t>1.37</w:t>
                  </w:r>
                </w:p>
              </w:tc>
              <w:tc>
                <w:tcPr>
                  <w:tcW w:w="372" w:type="pct"/>
                  <w:shd w:val="clear" w:color="auto" w:fill="auto"/>
                  <w:tcMar>
                    <w:top w:w="15" w:type="dxa"/>
                    <w:left w:w="15" w:type="dxa"/>
                    <w:right w:w="15" w:type="dxa"/>
                  </w:tcMar>
                  <w:vAlign w:val="center"/>
                </w:tcPr>
                <w:p w14:paraId="55127FDD">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239D105A">
                  <w:pPr>
                    <w:spacing w:line="240" w:lineRule="atLeast"/>
                    <w:jc w:val="center"/>
                    <w:rPr>
                      <w:color w:val="auto"/>
                      <w:kern w:val="0"/>
                      <w:szCs w:val="21"/>
                    </w:rPr>
                  </w:pPr>
                  <w:r>
                    <w:rPr>
                      <w:color w:val="auto"/>
                      <w:kern w:val="0"/>
                      <w:szCs w:val="21"/>
                    </w:rPr>
                    <w:t>1.37</w:t>
                  </w:r>
                </w:p>
              </w:tc>
              <w:tc>
                <w:tcPr>
                  <w:tcW w:w="372" w:type="pct"/>
                  <w:shd w:val="clear" w:color="auto" w:fill="auto"/>
                  <w:tcMar>
                    <w:top w:w="15" w:type="dxa"/>
                    <w:left w:w="15" w:type="dxa"/>
                    <w:right w:w="15" w:type="dxa"/>
                  </w:tcMar>
                  <w:vAlign w:val="center"/>
                </w:tcPr>
                <w:p w14:paraId="73C885C2">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6F68A520">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58E8EA07">
                  <w:pPr>
                    <w:spacing w:line="240" w:lineRule="atLeast"/>
                    <w:jc w:val="center"/>
                    <w:rPr>
                      <w:color w:val="auto"/>
                      <w:kern w:val="0"/>
                      <w:szCs w:val="21"/>
                    </w:rPr>
                  </w:pPr>
                  <w:r>
                    <w:rPr>
                      <w:color w:val="auto"/>
                      <w:kern w:val="0"/>
                      <w:szCs w:val="21"/>
                    </w:rPr>
                    <w:t>—</w:t>
                  </w:r>
                </w:p>
              </w:tc>
              <w:tc>
                <w:tcPr>
                  <w:tcW w:w="372" w:type="pct"/>
                  <w:shd w:val="clear" w:color="auto" w:fill="auto"/>
                  <w:tcMar>
                    <w:top w:w="15" w:type="dxa"/>
                    <w:left w:w="15" w:type="dxa"/>
                    <w:right w:w="15" w:type="dxa"/>
                  </w:tcMar>
                  <w:vAlign w:val="center"/>
                </w:tcPr>
                <w:p w14:paraId="7B972307">
                  <w:pPr>
                    <w:spacing w:line="240" w:lineRule="atLeast"/>
                    <w:jc w:val="center"/>
                    <w:rPr>
                      <w:color w:val="auto"/>
                      <w:kern w:val="0"/>
                      <w:szCs w:val="21"/>
                    </w:rPr>
                  </w:pPr>
                  <w:r>
                    <w:rPr>
                      <w:color w:val="auto"/>
                      <w:kern w:val="0"/>
                      <w:szCs w:val="21"/>
                    </w:rPr>
                    <w:t>—</w:t>
                  </w:r>
                </w:p>
              </w:tc>
              <w:tc>
                <w:tcPr>
                  <w:tcW w:w="372" w:type="pct"/>
                  <w:tcBorders>
                    <w:right w:val="single" w:color="000000" w:sz="4" w:space="0"/>
                  </w:tcBorders>
                  <w:shd w:val="clear" w:color="auto" w:fill="auto"/>
                  <w:tcMar>
                    <w:top w:w="15" w:type="dxa"/>
                    <w:left w:w="15" w:type="dxa"/>
                    <w:right w:w="15" w:type="dxa"/>
                  </w:tcMar>
                  <w:vAlign w:val="center"/>
                </w:tcPr>
                <w:p w14:paraId="64BE793A">
                  <w:pPr>
                    <w:spacing w:line="240" w:lineRule="atLeast"/>
                    <w:jc w:val="center"/>
                    <w:rPr>
                      <w:color w:val="auto"/>
                      <w:kern w:val="0"/>
                      <w:szCs w:val="21"/>
                    </w:rPr>
                  </w:pPr>
                  <w:r>
                    <w:rPr>
                      <w:color w:val="auto"/>
                      <w:kern w:val="0"/>
                      <w:szCs w:val="21"/>
                    </w:rPr>
                    <w:t>—</w:t>
                  </w:r>
                </w:p>
              </w:tc>
            </w:tr>
          </w:tbl>
          <w:p w14:paraId="5B7EF07C">
            <w:pPr>
              <w:keepNext w:val="0"/>
              <w:keepLines w:val="0"/>
              <w:pageBreakBefore w:val="0"/>
              <w:widowControl/>
              <w:kinsoku/>
              <w:wordWrap/>
              <w:overflowPunct/>
              <w:topLinePunct w:val="0"/>
              <w:autoSpaceDE/>
              <w:autoSpaceDN/>
              <w:bidi w:val="0"/>
              <w:adjustRightInd/>
              <w:snapToGrid/>
              <w:spacing w:before="157" w:beforeLines="50" w:line="240" w:lineRule="auto"/>
              <w:ind w:firstLine="0" w:firstLineChars="0"/>
              <w:jc w:val="center"/>
              <w:textAlignment w:val="auto"/>
              <w:rPr>
                <w:b/>
                <w:color w:val="auto"/>
                <w:kern w:val="0"/>
                <w:sz w:val="24"/>
              </w:rPr>
            </w:pPr>
            <w:r>
              <w:rPr>
                <w:color w:val="auto"/>
              </w:rPr>
              <w:drawing>
                <wp:inline distT="0" distB="0" distL="114300" distR="114300">
                  <wp:extent cx="5191125" cy="2400300"/>
                  <wp:effectExtent l="0" t="0" r="952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5191125" cy="2400300"/>
                          </a:xfrm>
                          <a:prstGeom prst="rect">
                            <a:avLst/>
                          </a:prstGeom>
                          <a:noFill/>
                          <a:ln>
                            <a:noFill/>
                          </a:ln>
                        </pic:spPr>
                      </pic:pic>
                    </a:graphicData>
                  </a:graphic>
                </wp:inline>
              </w:drawing>
            </w:r>
          </w:p>
          <w:p w14:paraId="5C7A512B">
            <w:pPr>
              <w:pStyle w:val="28"/>
              <w:keepNext w:val="0"/>
              <w:keepLines w:val="0"/>
              <w:pageBreakBefore w:val="0"/>
              <w:widowControl w:val="0"/>
              <w:kinsoku/>
              <w:wordWrap/>
              <w:overflowPunct/>
              <w:topLinePunct w:val="0"/>
              <w:autoSpaceDE/>
              <w:autoSpaceDN/>
              <w:bidi w:val="0"/>
              <w:adjustRightInd/>
              <w:snapToGrid/>
              <w:spacing w:before="157" w:beforeLines="50" w:after="0"/>
              <w:ind w:left="0" w:leftChars="0" w:firstLine="0"/>
              <w:jc w:val="center"/>
              <w:textAlignment w:val="auto"/>
              <w:rPr>
                <w:b/>
                <w:bCs/>
                <w:color w:val="auto"/>
                <w:kern w:val="0"/>
                <w:sz w:val="24"/>
              </w:rPr>
            </w:pPr>
            <w:r>
              <w:rPr>
                <w:b/>
                <w:bCs/>
                <w:color w:val="auto"/>
                <w:kern w:val="0"/>
                <w:sz w:val="24"/>
              </w:rPr>
              <w:pict>
                <v:shape id="_x0000_s1057" o:spid="_x0000_s1057" o:spt="32" type="#_x0000_t32" style="position:absolute;left:0pt;flip:y;margin-left:-151.45pt;margin-top:13.3pt;height:0.85pt;width:32.65pt;z-index:251674624;mso-width-relative:page;mso-height-relative:page;" filled="f" coordsize="21600,21600" o:gfxdata="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oAR7zaAAAACwEAAA8AAAAAAAAAAQAgAAAAIgAAAGRycy9kb3ducmV2Lnht&#10;bFBLAQIUABQAAAAIAIdO4kB9ACBvMAIAADMEAAAOAAAAAAAAAAEAIAAAACkBAABkcnMvZTJvRG9j&#10;LnhtbFBLBQYAAAAABgAGAFkBAADLBQAAAAA=&#10;">
                  <v:path arrowok="t"/>
                  <v:fill on="f" focussize="0,0"/>
                  <v:stroke endarrow="block"/>
                  <v:imagedata o:title=""/>
                  <o:lock v:ext="edit"/>
                </v:shape>
              </w:pict>
            </w:r>
            <w:r>
              <w:rPr>
                <w:b/>
                <w:bCs/>
                <w:color w:val="auto"/>
                <w:kern w:val="0"/>
                <w:sz w:val="24"/>
              </w:rPr>
              <w:t>图</w:t>
            </w:r>
            <w:r>
              <w:rPr>
                <w:rFonts w:hint="eastAsia"/>
                <w:b/>
                <w:bCs/>
                <w:color w:val="auto"/>
                <w:kern w:val="0"/>
                <w:sz w:val="24"/>
              </w:rPr>
              <w:t>2-3</w:t>
            </w:r>
            <w:r>
              <w:rPr>
                <w:b/>
                <w:bCs/>
                <w:color w:val="auto"/>
                <w:kern w:val="0"/>
                <w:sz w:val="24"/>
              </w:rPr>
              <w:t xml:space="preserve">   </w:t>
            </w:r>
            <w:r>
              <w:rPr>
                <w:rFonts w:hint="eastAsia"/>
                <w:b/>
                <w:bCs/>
                <w:color w:val="auto"/>
                <w:kern w:val="0"/>
                <w:sz w:val="24"/>
                <w:lang w:val="en-US" w:eastAsia="zh-CN"/>
              </w:rPr>
              <w:t xml:space="preserve">  </w:t>
            </w:r>
            <w:r>
              <w:rPr>
                <w:b/>
                <w:bCs/>
                <w:color w:val="auto"/>
                <w:kern w:val="0"/>
                <w:sz w:val="24"/>
              </w:rPr>
              <w:t>土石方平衡图    单位：</w:t>
            </w:r>
            <w:r>
              <w:rPr>
                <w:rFonts w:hint="eastAsia"/>
                <w:b/>
                <w:bCs/>
                <w:color w:val="auto"/>
                <w:kern w:val="0"/>
                <w:sz w:val="24"/>
              </w:rPr>
              <w:t>万m³</w:t>
            </w:r>
          </w:p>
          <w:p w14:paraId="2DCFC5B3">
            <w:pPr>
              <w:widowControl/>
              <w:spacing w:line="500" w:lineRule="exact"/>
              <w:ind w:firstLine="482" w:firstLineChars="200"/>
              <w:rPr>
                <w:b/>
                <w:color w:val="auto"/>
                <w:kern w:val="0"/>
                <w:sz w:val="24"/>
              </w:rPr>
            </w:pPr>
            <w:r>
              <w:rPr>
                <w:rFonts w:hint="eastAsia"/>
                <w:b/>
                <w:color w:val="auto"/>
                <w:kern w:val="0"/>
                <w:sz w:val="24"/>
              </w:rPr>
              <w:t>8、</w:t>
            </w:r>
            <w:bookmarkStart w:id="10" w:name="OLE_LINK9"/>
            <w:r>
              <w:rPr>
                <w:rFonts w:hint="eastAsia"/>
                <w:b/>
                <w:color w:val="auto"/>
                <w:kern w:val="0"/>
                <w:sz w:val="24"/>
              </w:rPr>
              <w:t>劳动定员</w:t>
            </w:r>
            <w:bookmarkEnd w:id="10"/>
            <w:r>
              <w:rPr>
                <w:rFonts w:hint="eastAsia"/>
                <w:b/>
                <w:color w:val="auto"/>
                <w:kern w:val="0"/>
                <w:sz w:val="24"/>
              </w:rPr>
              <w:t>以及工作制度</w:t>
            </w:r>
          </w:p>
          <w:p w14:paraId="69605B54">
            <w:pPr>
              <w:widowControl/>
              <w:spacing w:line="500" w:lineRule="exact"/>
              <w:ind w:firstLine="480" w:firstLineChars="200"/>
              <w:rPr>
                <w:color w:val="auto"/>
                <w:sz w:val="24"/>
              </w:rPr>
            </w:pPr>
            <w:r>
              <w:rPr>
                <w:rFonts w:hint="eastAsia"/>
                <w:color w:val="auto"/>
                <w:sz w:val="24"/>
              </w:rPr>
              <w:t>本项目劳动定员由李家壕煤矿现有员工调配，不新增劳动定员</w:t>
            </w:r>
            <w:r>
              <w:rPr>
                <w:rFonts w:hint="eastAsia"/>
                <w:color w:val="auto"/>
                <w:sz w:val="24"/>
                <w:lang w:eastAsia="zh-CN"/>
              </w:rPr>
              <w:t>；</w:t>
            </w:r>
            <w:r>
              <w:rPr>
                <w:rFonts w:hint="eastAsia"/>
                <w:color w:val="auto"/>
                <w:sz w:val="24"/>
                <w:lang w:val="en-US" w:eastAsia="zh-CN"/>
              </w:rPr>
              <w:t>场内设值班人员2人，依托现有风井场地值班室，不单独配备生活区。</w:t>
            </w:r>
            <w:r>
              <w:rPr>
                <w:rFonts w:hint="eastAsia"/>
                <w:color w:val="auto"/>
                <w:sz w:val="24"/>
              </w:rPr>
              <w:t>煤矿设计年工作日330d，井下实行“四·六”工作制，每天4班作业，3班生产，1班检修，每班工作6h；地面实行“三·八”工作制，三班倒，每班工作8h。每天的提煤时间为16h。</w:t>
            </w:r>
          </w:p>
          <w:p w14:paraId="067A4FC2">
            <w:pPr>
              <w:widowControl/>
              <w:spacing w:line="500" w:lineRule="exact"/>
              <w:ind w:firstLine="482" w:firstLineChars="200"/>
              <w:rPr>
                <w:b/>
                <w:color w:val="auto"/>
                <w:kern w:val="0"/>
                <w:sz w:val="24"/>
              </w:rPr>
            </w:pPr>
            <w:r>
              <w:rPr>
                <w:rFonts w:hint="eastAsia"/>
                <w:b/>
                <w:color w:val="auto"/>
                <w:kern w:val="0"/>
                <w:sz w:val="24"/>
              </w:rPr>
              <w:t>9、公用工程</w:t>
            </w:r>
          </w:p>
          <w:p w14:paraId="7B4073E7">
            <w:pPr>
              <w:widowControl/>
              <w:spacing w:line="500" w:lineRule="exact"/>
              <w:ind w:firstLine="480" w:firstLineChars="200"/>
              <w:rPr>
                <w:color w:val="auto"/>
                <w:sz w:val="24"/>
              </w:rPr>
            </w:pPr>
            <w:r>
              <w:rPr>
                <w:rFonts w:hint="eastAsia"/>
                <w:color w:val="auto"/>
                <w:sz w:val="24"/>
              </w:rPr>
              <w:t>（1）供电</w:t>
            </w:r>
          </w:p>
          <w:p w14:paraId="08592AB4">
            <w:pPr>
              <w:widowControl/>
              <w:spacing w:line="500" w:lineRule="exact"/>
              <w:ind w:firstLine="480" w:firstLineChars="200"/>
              <w:rPr>
                <w:color w:val="auto"/>
                <w:sz w:val="24"/>
              </w:rPr>
            </w:pPr>
            <w:r>
              <w:rPr>
                <w:rFonts w:hint="eastAsia"/>
                <w:color w:val="auto"/>
                <w:sz w:val="24"/>
              </w:rPr>
              <w:t>项目设计采用4回10kV电源线路供电，均引自矿井35kV变电所10kV不同母线段，2回至新通风机房配电室，2回至乏风系统配电室，导线均采用LGJ-70钢芯铝绞线架空线，每回长度1.2km。</w:t>
            </w:r>
          </w:p>
          <w:p w14:paraId="6E11E1CD">
            <w:pPr>
              <w:widowControl/>
              <w:spacing w:line="500" w:lineRule="exact"/>
              <w:ind w:firstLine="480" w:firstLineChars="200"/>
              <w:rPr>
                <w:color w:val="auto"/>
                <w:sz w:val="24"/>
              </w:rPr>
            </w:pPr>
            <w:r>
              <w:rPr>
                <w:rFonts w:hint="eastAsia"/>
                <w:color w:val="auto"/>
                <w:sz w:val="24"/>
              </w:rPr>
              <w:t>（2）供暖</w:t>
            </w:r>
          </w:p>
          <w:p w14:paraId="0EA48D92">
            <w:pPr>
              <w:widowControl/>
              <w:spacing w:line="500" w:lineRule="exact"/>
              <w:ind w:firstLine="480" w:firstLineChars="200"/>
              <w:rPr>
                <w:color w:val="auto"/>
                <w:sz w:val="24"/>
              </w:rPr>
            </w:pPr>
            <w:r>
              <w:rPr>
                <w:rFonts w:hint="eastAsia"/>
                <w:color w:val="auto"/>
                <w:sz w:val="24"/>
              </w:rPr>
              <w:t>①热源规划</w:t>
            </w:r>
          </w:p>
          <w:p w14:paraId="49D5255C">
            <w:pPr>
              <w:widowControl/>
              <w:spacing w:line="500" w:lineRule="exact"/>
              <w:ind w:firstLine="480" w:firstLineChars="200"/>
              <w:rPr>
                <w:color w:val="auto"/>
                <w:sz w:val="24"/>
              </w:rPr>
            </w:pPr>
            <w:r>
              <w:rPr>
                <w:rFonts w:hint="eastAsia"/>
                <w:color w:val="auto"/>
                <w:sz w:val="24"/>
              </w:rPr>
              <w:t>根据供热负荷及余热资源计算，本方案拟采用风井场地矿井回风余热解决风井场地进风井的井口防冻需求和建筑采暖需求。</w:t>
            </w:r>
          </w:p>
          <w:p w14:paraId="47AFF1A7">
            <w:pPr>
              <w:widowControl/>
              <w:spacing w:line="500" w:lineRule="exact"/>
              <w:ind w:firstLine="480" w:firstLineChars="200"/>
              <w:rPr>
                <w:color w:val="auto"/>
                <w:sz w:val="24"/>
              </w:rPr>
            </w:pPr>
            <w:r>
              <w:rPr>
                <w:rFonts w:hint="eastAsia"/>
                <w:color w:val="auto"/>
                <w:sz w:val="24"/>
              </w:rPr>
              <w:t>热源配置：设计采用3台型号SMEET-FS-R-1700型直冷式乏风热泵机组供给风井场地井口防冻，单机制热量1700kW，设计供回水温度50/40℃。该机组布置在乏风热泵机房内。</w:t>
            </w:r>
          </w:p>
          <w:p w14:paraId="21AA2F36">
            <w:pPr>
              <w:widowControl/>
              <w:spacing w:line="500" w:lineRule="exact"/>
              <w:ind w:firstLine="480" w:firstLineChars="200"/>
              <w:rPr>
                <w:color w:val="auto"/>
                <w:sz w:val="24"/>
              </w:rPr>
            </w:pPr>
            <w:r>
              <w:rPr>
                <w:rFonts w:hint="eastAsia"/>
                <w:color w:val="auto"/>
                <w:sz w:val="24"/>
              </w:rPr>
              <w:t>②辅助设备规划</w:t>
            </w:r>
          </w:p>
          <w:p w14:paraId="647C03E4">
            <w:pPr>
              <w:widowControl/>
              <w:spacing w:line="500" w:lineRule="exact"/>
              <w:ind w:firstLine="480" w:firstLineChars="200"/>
              <w:rPr>
                <w:color w:val="auto"/>
                <w:sz w:val="24"/>
              </w:rPr>
            </w:pPr>
            <w:r>
              <w:rPr>
                <w:rFonts w:hint="eastAsia"/>
                <w:color w:val="auto"/>
                <w:sz w:val="24"/>
              </w:rPr>
              <w:t>在回风扩散塔上方</w:t>
            </w:r>
            <w:r>
              <w:rPr>
                <w:rFonts w:hint="eastAsia"/>
                <w:color w:val="auto"/>
                <w:sz w:val="24"/>
                <w:lang w:val="en-US" w:eastAsia="zh-CN"/>
              </w:rPr>
              <w:t>建设</w:t>
            </w:r>
            <w:r>
              <w:rPr>
                <w:rFonts w:hint="eastAsia"/>
                <w:color w:val="auto"/>
                <w:sz w:val="24"/>
              </w:rPr>
              <w:t>一座乏风取热平台，其内布置24台型号为SMEET-FSQ-180型乏风取热箱，单机取热能力180kW，让矿井乏风通过取热箱，低温防冻工质在取热箱内吸取乏风余热后，经工质管道送至热泵机房内的热泵机组蒸发器侧，制冷剂通过热泵压缩机做功提升热品位送至冷凝器内，由冷凝器制备热水，冷凝器制备的热水通过循环水泵送至井口加热机组或采暖末端，通过井口加热机组输送热风至井筒，提高井筒混风温度，解决井筒防冻需求。</w:t>
            </w:r>
          </w:p>
          <w:p w14:paraId="66C94235">
            <w:pPr>
              <w:widowControl/>
              <w:spacing w:line="500" w:lineRule="exact"/>
              <w:ind w:firstLine="480" w:firstLineChars="200"/>
              <w:rPr>
                <w:color w:val="auto"/>
                <w:sz w:val="24"/>
              </w:rPr>
            </w:pPr>
            <w:r>
              <w:rPr>
                <w:rFonts w:hint="eastAsia"/>
                <w:color w:val="auto"/>
                <w:sz w:val="24"/>
                <w:lang w:val="en-US" w:eastAsia="zh-CN"/>
              </w:rPr>
              <w:t>建设</w:t>
            </w:r>
            <w:r>
              <w:rPr>
                <w:rFonts w:hint="eastAsia"/>
                <w:color w:val="auto"/>
                <w:sz w:val="24"/>
              </w:rPr>
              <w:t>乏风热泵机房，其内布置乏风热泵机组、循环水泵、补水系统及配套配电系统。</w:t>
            </w:r>
          </w:p>
          <w:p w14:paraId="4D33C8C6">
            <w:pPr>
              <w:widowControl/>
              <w:spacing w:line="500" w:lineRule="exact"/>
              <w:ind w:firstLine="480" w:firstLineChars="200"/>
              <w:rPr>
                <w:color w:val="auto"/>
                <w:sz w:val="24"/>
              </w:rPr>
            </w:pPr>
            <w:r>
              <w:rPr>
                <w:rFonts w:hint="eastAsia"/>
                <w:color w:val="auto"/>
                <w:sz w:val="24"/>
              </w:rPr>
              <w:t>风井场地井口加热室与井口房联建，其内布置8台型号为SMEET-FJ-580的煤矿专用井口空气加热机组，单机供热能力580kW，风量45000m³/h。</w:t>
            </w:r>
          </w:p>
          <w:p w14:paraId="5F0AE47E">
            <w:pPr>
              <w:widowControl/>
              <w:spacing w:line="500" w:lineRule="exact"/>
              <w:ind w:firstLine="480" w:firstLineChars="200"/>
              <w:rPr>
                <w:color w:val="auto"/>
                <w:sz w:val="24"/>
              </w:rPr>
            </w:pPr>
            <w:r>
              <w:rPr>
                <w:rFonts w:hint="eastAsia"/>
                <w:color w:val="auto"/>
                <w:sz w:val="24"/>
              </w:rPr>
              <w:t>敷设取热平台至乏风热泵机房以及乏风热泵机房到井口房的管路，敷设方式暂时考虑架空。</w:t>
            </w:r>
          </w:p>
          <w:p w14:paraId="51068D83">
            <w:pPr>
              <w:widowControl/>
              <w:spacing w:line="500" w:lineRule="exact"/>
              <w:ind w:firstLine="480" w:firstLineChars="200"/>
              <w:rPr>
                <w:color w:val="auto"/>
                <w:sz w:val="24"/>
              </w:rPr>
            </w:pPr>
            <w:r>
              <w:rPr>
                <w:rFonts w:hint="eastAsia"/>
                <w:color w:val="auto"/>
                <w:sz w:val="24"/>
              </w:rPr>
              <w:t>（3）给排水</w:t>
            </w:r>
          </w:p>
          <w:p w14:paraId="097BC6C1">
            <w:pPr>
              <w:widowControl/>
              <w:spacing w:line="500" w:lineRule="exact"/>
              <w:ind w:firstLine="480" w:firstLineChars="200"/>
              <w:rPr>
                <w:color w:val="auto"/>
                <w:sz w:val="24"/>
              </w:rPr>
            </w:pPr>
            <w:r>
              <w:rPr>
                <w:rFonts w:hint="eastAsia"/>
                <w:color w:val="auto"/>
                <w:sz w:val="24"/>
              </w:rPr>
              <w:t>①给水</w:t>
            </w:r>
          </w:p>
          <w:p w14:paraId="60DE5C15">
            <w:pPr>
              <w:widowControl/>
              <w:spacing w:line="500" w:lineRule="exact"/>
              <w:ind w:firstLine="480" w:firstLineChars="200"/>
              <w:rPr>
                <w:color w:val="auto"/>
                <w:sz w:val="24"/>
              </w:rPr>
            </w:pPr>
            <w:r>
              <w:rPr>
                <w:rFonts w:hint="eastAsia"/>
                <w:color w:val="auto"/>
                <w:sz w:val="24"/>
              </w:rPr>
              <w:t>A.本项目劳动定员为李家壕煤矿现有员工调配，不新增劳动定员，本项目不新增生活用水量。</w:t>
            </w:r>
          </w:p>
          <w:p w14:paraId="0789BF4E">
            <w:pPr>
              <w:widowControl/>
              <w:spacing w:line="500" w:lineRule="exact"/>
              <w:ind w:firstLine="480" w:firstLineChars="200"/>
              <w:rPr>
                <w:color w:val="auto"/>
                <w:sz w:val="24"/>
              </w:rPr>
            </w:pPr>
            <w:r>
              <w:rPr>
                <w:rFonts w:hint="eastAsia"/>
                <w:color w:val="auto"/>
                <w:sz w:val="24"/>
              </w:rPr>
              <w:t>B.本项目运营期用水主要为乏风取热系统用水量、绿化用水、消防用水；用水来源主要为李家壕煤矿工业场地井下水处理站深度处理后的井下排水，李家壕煤矿现在属于基建期，有矿井水产生，目前井下排水约2880m</w:t>
            </w:r>
            <w:r>
              <w:rPr>
                <w:rFonts w:hint="eastAsia"/>
                <w:color w:val="auto"/>
                <w:sz w:val="24"/>
                <w:vertAlign w:val="superscript"/>
              </w:rPr>
              <w:t>3</w:t>
            </w:r>
            <w:r>
              <w:rPr>
                <w:rFonts w:hint="eastAsia"/>
                <w:color w:val="auto"/>
                <w:sz w:val="24"/>
              </w:rPr>
              <w:t>/d。场地内设生产消防合用供水管网，管径DN100，管材为钢丝网骨架复合管，接自既有风井场地。</w:t>
            </w:r>
          </w:p>
          <w:p w14:paraId="0E33D752">
            <w:pPr>
              <w:widowControl/>
              <w:spacing w:line="500" w:lineRule="exact"/>
              <w:ind w:firstLine="480" w:firstLineChars="200"/>
              <w:rPr>
                <w:color w:val="auto"/>
                <w:sz w:val="24"/>
              </w:rPr>
            </w:pPr>
            <w:r>
              <w:rPr>
                <w:rFonts w:hint="eastAsia"/>
                <w:color w:val="auto"/>
                <w:sz w:val="24"/>
              </w:rPr>
              <w:t>乏风取热系统用水量：根据项目可研报告，热泵机房补水量为5m</w:t>
            </w:r>
            <w:r>
              <w:rPr>
                <w:rFonts w:hint="eastAsia"/>
                <w:color w:val="auto"/>
                <w:sz w:val="24"/>
                <w:vertAlign w:val="superscript"/>
              </w:rPr>
              <w:t>3</w:t>
            </w:r>
            <w:r>
              <w:rPr>
                <w:rFonts w:hint="eastAsia"/>
                <w:color w:val="auto"/>
                <w:sz w:val="24"/>
              </w:rPr>
              <w:t>/h、80m</w:t>
            </w:r>
            <w:r>
              <w:rPr>
                <w:rFonts w:hint="eastAsia"/>
                <w:color w:val="auto"/>
                <w:sz w:val="24"/>
                <w:vertAlign w:val="superscript"/>
              </w:rPr>
              <w:t>3</w:t>
            </w:r>
            <w:r>
              <w:rPr>
                <w:rFonts w:hint="eastAsia"/>
                <w:color w:val="auto"/>
                <w:sz w:val="24"/>
              </w:rPr>
              <w:t>/d。乏风取热设施</w:t>
            </w:r>
            <w:r>
              <w:rPr>
                <w:rFonts w:hint="eastAsia"/>
                <w:color w:val="auto"/>
                <w:sz w:val="24"/>
                <w:lang w:val="en-US" w:eastAsia="zh-CN"/>
              </w:rPr>
              <w:t>需定期</w:t>
            </w:r>
            <w:r>
              <w:rPr>
                <w:rFonts w:hint="eastAsia"/>
                <w:color w:val="auto"/>
                <w:sz w:val="24"/>
              </w:rPr>
              <w:t>冲洗</w:t>
            </w:r>
            <w:r>
              <w:rPr>
                <w:rFonts w:hint="eastAsia"/>
                <w:color w:val="auto"/>
                <w:sz w:val="24"/>
                <w:lang w:eastAsia="zh-CN"/>
              </w:rPr>
              <w:t>，</w:t>
            </w:r>
            <w:r>
              <w:rPr>
                <w:rFonts w:hint="eastAsia"/>
                <w:color w:val="auto"/>
                <w:sz w:val="24"/>
                <w:lang w:val="en-US" w:eastAsia="zh-CN"/>
              </w:rPr>
              <w:t>每年冲洗4次，每次冲洗水量为1320m</w:t>
            </w:r>
            <w:r>
              <w:rPr>
                <w:rFonts w:hint="eastAsia"/>
                <w:color w:val="auto"/>
                <w:sz w:val="24"/>
                <w:vertAlign w:val="superscript"/>
                <w:lang w:val="en-US" w:eastAsia="zh-CN"/>
              </w:rPr>
              <w:t>3</w:t>
            </w:r>
            <w:r>
              <w:rPr>
                <w:rFonts w:hint="eastAsia"/>
                <w:color w:val="auto"/>
                <w:sz w:val="24"/>
                <w:lang w:val="en-US" w:eastAsia="zh-CN"/>
              </w:rPr>
              <w:t>，则冲洗</w:t>
            </w:r>
            <w:r>
              <w:rPr>
                <w:rFonts w:hint="eastAsia"/>
                <w:color w:val="auto"/>
                <w:sz w:val="24"/>
              </w:rPr>
              <w:t>水量</w:t>
            </w:r>
            <w:r>
              <w:rPr>
                <w:rFonts w:hint="eastAsia"/>
                <w:color w:val="auto"/>
                <w:sz w:val="24"/>
                <w:lang w:val="en-US" w:eastAsia="zh-CN"/>
              </w:rPr>
              <w:t>约5280m</w:t>
            </w:r>
            <w:r>
              <w:rPr>
                <w:rFonts w:hint="eastAsia"/>
                <w:color w:val="auto"/>
                <w:sz w:val="24"/>
                <w:vertAlign w:val="superscript"/>
                <w:lang w:val="en-US" w:eastAsia="zh-CN"/>
              </w:rPr>
              <w:t>3</w:t>
            </w:r>
            <w:r>
              <w:rPr>
                <w:rFonts w:hint="eastAsia"/>
                <w:color w:val="auto"/>
                <w:sz w:val="24"/>
                <w:lang w:val="en-US" w:eastAsia="zh-CN"/>
              </w:rPr>
              <w:t>/a、</w:t>
            </w:r>
            <w:r>
              <w:rPr>
                <w:rFonts w:hint="eastAsia"/>
                <w:color w:val="auto"/>
                <w:sz w:val="24"/>
              </w:rPr>
              <w:t>16m</w:t>
            </w:r>
            <w:r>
              <w:rPr>
                <w:rFonts w:hint="eastAsia"/>
                <w:color w:val="auto"/>
                <w:sz w:val="24"/>
                <w:vertAlign w:val="superscript"/>
              </w:rPr>
              <w:t>3</w:t>
            </w:r>
            <w:r>
              <w:rPr>
                <w:rFonts w:hint="eastAsia"/>
                <w:color w:val="auto"/>
                <w:sz w:val="24"/>
              </w:rPr>
              <w:t>/d。</w:t>
            </w:r>
          </w:p>
          <w:p w14:paraId="663510B9">
            <w:pPr>
              <w:widowControl/>
              <w:spacing w:line="500" w:lineRule="exact"/>
              <w:ind w:firstLine="480" w:firstLineChars="200"/>
              <w:rPr>
                <w:color w:val="auto"/>
                <w:sz w:val="24"/>
              </w:rPr>
            </w:pPr>
            <w:r>
              <w:rPr>
                <w:rFonts w:hint="eastAsia"/>
                <w:color w:val="auto"/>
                <w:sz w:val="24"/>
              </w:rPr>
              <w:t>绿化用水：运营期场内绿化面积</w:t>
            </w:r>
            <w:r>
              <w:rPr>
                <w:rFonts w:hint="eastAsia"/>
                <w:color w:val="auto"/>
                <w:sz w:val="24"/>
                <w:lang w:val="en-US" w:eastAsia="zh-CN"/>
              </w:rPr>
              <w:t>0.14h</w:t>
            </w:r>
            <w:r>
              <w:rPr>
                <w:rFonts w:hint="eastAsia"/>
                <w:color w:val="auto"/>
                <w:sz w:val="24"/>
              </w:rPr>
              <w:t>m</w:t>
            </w:r>
            <w:r>
              <w:rPr>
                <w:rFonts w:hint="eastAsia"/>
                <w:color w:val="auto"/>
                <w:sz w:val="24"/>
                <w:vertAlign w:val="superscript"/>
              </w:rPr>
              <w:t>2</w:t>
            </w:r>
            <w:r>
              <w:rPr>
                <w:rFonts w:hint="eastAsia"/>
                <w:color w:val="auto"/>
                <w:sz w:val="24"/>
              </w:rPr>
              <w:t>，场外护坡面积</w:t>
            </w:r>
            <w:r>
              <w:rPr>
                <w:rFonts w:hint="eastAsia"/>
                <w:color w:val="auto"/>
                <w:sz w:val="24"/>
                <w:lang w:val="en-US" w:eastAsia="zh-CN"/>
              </w:rPr>
              <w:t>0.23h</w:t>
            </w:r>
            <w:r>
              <w:rPr>
                <w:rFonts w:hint="eastAsia"/>
                <w:color w:val="auto"/>
                <w:sz w:val="24"/>
              </w:rPr>
              <w:t>m</w:t>
            </w:r>
            <w:r>
              <w:rPr>
                <w:rFonts w:hint="eastAsia"/>
                <w:color w:val="auto"/>
                <w:sz w:val="24"/>
                <w:vertAlign w:val="superscript"/>
              </w:rPr>
              <w:t>2</w:t>
            </w:r>
            <w:r>
              <w:rPr>
                <w:rFonts w:hint="eastAsia"/>
                <w:color w:val="auto"/>
                <w:sz w:val="24"/>
              </w:rPr>
              <w:t>，用水定额3.3L/m</w:t>
            </w:r>
            <w:r>
              <w:rPr>
                <w:rFonts w:hint="eastAsia"/>
                <w:color w:val="auto"/>
                <w:sz w:val="24"/>
                <w:vertAlign w:val="superscript"/>
              </w:rPr>
              <w:t>2</w:t>
            </w:r>
            <w:r>
              <w:rPr>
                <w:rFonts w:hint="eastAsia"/>
                <w:color w:val="auto"/>
                <w:sz w:val="24"/>
              </w:rPr>
              <w:t>·d，年浇灌180d，用水量12.2</w:t>
            </w:r>
            <w:r>
              <w:rPr>
                <w:rFonts w:hint="eastAsia"/>
                <w:color w:val="auto"/>
                <w:sz w:val="24"/>
                <w:lang w:val="en-US" w:eastAsia="zh-CN"/>
              </w:rPr>
              <w:t>1</w:t>
            </w:r>
            <w:r>
              <w:rPr>
                <w:rFonts w:hint="eastAsia"/>
                <w:color w:val="auto"/>
                <w:sz w:val="24"/>
              </w:rPr>
              <w:t>m</w:t>
            </w:r>
            <w:r>
              <w:rPr>
                <w:rFonts w:hint="eastAsia"/>
                <w:color w:val="auto"/>
                <w:sz w:val="24"/>
                <w:vertAlign w:val="superscript"/>
              </w:rPr>
              <w:t>3</w:t>
            </w:r>
            <w:r>
              <w:rPr>
                <w:rFonts w:hint="eastAsia"/>
                <w:color w:val="auto"/>
                <w:sz w:val="24"/>
              </w:rPr>
              <w:t>/d、</w:t>
            </w:r>
            <w:r>
              <w:rPr>
                <w:rFonts w:hint="eastAsia"/>
                <w:color w:val="auto"/>
                <w:sz w:val="24"/>
                <w:lang w:val="en-US" w:eastAsia="zh-CN"/>
              </w:rPr>
              <w:t>2197.8</w:t>
            </w:r>
            <w:r>
              <w:rPr>
                <w:rFonts w:hint="eastAsia"/>
                <w:color w:val="auto"/>
                <w:sz w:val="24"/>
              </w:rPr>
              <w:t>m</w:t>
            </w:r>
            <w:r>
              <w:rPr>
                <w:rFonts w:hint="eastAsia"/>
                <w:color w:val="auto"/>
                <w:sz w:val="24"/>
                <w:vertAlign w:val="superscript"/>
              </w:rPr>
              <w:t>3</w:t>
            </w:r>
            <w:r>
              <w:rPr>
                <w:rFonts w:hint="eastAsia"/>
                <w:color w:val="auto"/>
                <w:sz w:val="24"/>
              </w:rPr>
              <w:t>/a。</w:t>
            </w:r>
          </w:p>
          <w:p w14:paraId="78CCFD56">
            <w:pPr>
              <w:widowControl/>
              <w:spacing w:line="500" w:lineRule="exact"/>
              <w:ind w:firstLine="480" w:firstLineChars="200"/>
              <w:rPr>
                <w:color w:val="auto"/>
                <w:sz w:val="24"/>
              </w:rPr>
            </w:pPr>
            <w:r>
              <w:rPr>
                <w:color w:val="auto"/>
                <w:sz w:val="24"/>
              </w:rPr>
              <w:t>消防用水：根据《消防给水及消火栓系统技术规范》（GB50974-2014），室内消防水量为10L/s、室外消防水量为15 L/s。火灾延续时间3h。一次消防用水量为270m</w:t>
            </w:r>
            <w:r>
              <w:rPr>
                <w:color w:val="auto"/>
                <w:sz w:val="24"/>
                <w:vertAlign w:val="superscript"/>
              </w:rPr>
              <w:t>3</w:t>
            </w:r>
            <w:r>
              <w:rPr>
                <w:rFonts w:hint="eastAsia"/>
                <w:color w:val="auto"/>
                <w:sz w:val="24"/>
              </w:rPr>
              <w:t>。</w:t>
            </w:r>
          </w:p>
          <w:p w14:paraId="6ADE2BF8">
            <w:pPr>
              <w:widowControl/>
              <w:spacing w:line="500" w:lineRule="exact"/>
              <w:ind w:firstLine="480" w:firstLineChars="200"/>
              <w:rPr>
                <w:color w:val="auto"/>
                <w:sz w:val="24"/>
              </w:rPr>
            </w:pPr>
            <w:r>
              <w:rPr>
                <w:rFonts w:hint="eastAsia"/>
                <w:color w:val="auto"/>
                <w:sz w:val="24"/>
              </w:rPr>
              <w:t>②排水</w:t>
            </w:r>
          </w:p>
          <w:p w14:paraId="706D2DD1">
            <w:pPr>
              <w:pStyle w:val="14"/>
              <w:spacing w:line="500" w:lineRule="exact"/>
              <w:ind w:firstLine="480"/>
              <w:rPr>
                <w:color w:val="auto"/>
              </w:rPr>
            </w:pPr>
            <w:r>
              <w:rPr>
                <w:rFonts w:hint="eastAsia"/>
                <w:color w:val="auto"/>
                <w:sz w:val="24"/>
              </w:rPr>
              <w:t>A.本项目劳动定员为李家壕煤矿现有员工调配，不新增生活污水量。</w:t>
            </w:r>
          </w:p>
          <w:p w14:paraId="53614459">
            <w:pPr>
              <w:widowControl/>
              <w:spacing w:line="500" w:lineRule="exact"/>
              <w:ind w:firstLine="480" w:firstLineChars="200"/>
              <w:rPr>
                <w:color w:val="auto"/>
              </w:rPr>
            </w:pPr>
            <w:r>
              <w:rPr>
                <w:rFonts w:hint="eastAsia"/>
                <w:color w:val="auto"/>
                <w:kern w:val="21"/>
                <w:sz w:val="24"/>
              </w:rPr>
              <w:t>B.</w:t>
            </w:r>
            <w:r>
              <w:rPr>
                <w:color w:val="auto"/>
                <w:sz w:val="24"/>
              </w:rPr>
              <w:t>乏风取热设施</w:t>
            </w:r>
            <w:r>
              <w:rPr>
                <w:rFonts w:hint="eastAsia"/>
                <w:color w:val="auto"/>
                <w:sz w:val="24"/>
                <w:lang w:val="en-US" w:eastAsia="zh-CN"/>
              </w:rPr>
              <w:t>定期</w:t>
            </w:r>
            <w:r>
              <w:rPr>
                <w:color w:val="auto"/>
                <w:sz w:val="24"/>
              </w:rPr>
              <w:t>冲洗水量为</w:t>
            </w:r>
            <w:r>
              <w:rPr>
                <w:rFonts w:hint="eastAsia"/>
                <w:color w:val="auto"/>
                <w:sz w:val="24"/>
              </w:rPr>
              <w:t>16</w:t>
            </w:r>
            <w:r>
              <w:rPr>
                <w:color w:val="auto"/>
                <w:sz w:val="24"/>
              </w:rPr>
              <w:t>m</w:t>
            </w:r>
            <w:r>
              <w:rPr>
                <w:color w:val="auto"/>
                <w:sz w:val="24"/>
                <w:vertAlign w:val="superscript"/>
              </w:rPr>
              <w:t>3</w:t>
            </w:r>
            <w:r>
              <w:rPr>
                <w:color w:val="auto"/>
                <w:sz w:val="24"/>
              </w:rPr>
              <w:t>/d，</w:t>
            </w:r>
            <w:r>
              <w:rPr>
                <w:rFonts w:hint="eastAsia"/>
                <w:color w:val="auto"/>
                <w:sz w:val="24"/>
              </w:rPr>
              <w:t>损耗按10%计，</w:t>
            </w:r>
            <w:r>
              <w:rPr>
                <w:rFonts w:hint="eastAsia"/>
                <w:color w:val="auto"/>
                <w:sz w:val="24"/>
                <w:lang w:val="en-US" w:eastAsia="zh-CN"/>
              </w:rPr>
              <w:t>冲洗</w:t>
            </w:r>
            <w:r>
              <w:rPr>
                <w:rFonts w:hint="eastAsia"/>
                <w:color w:val="auto"/>
                <w:sz w:val="24"/>
              </w:rPr>
              <w:t>废水产生量约14.4</w:t>
            </w:r>
            <w:r>
              <w:rPr>
                <w:color w:val="auto"/>
                <w:sz w:val="24"/>
              </w:rPr>
              <w:t>m</w:t>
            </w:r>
            <w:r>
              <w:rPr>
                <w:color w:val="auto"/>
                <w:sz w:val="24"/>
                <w:vertAlign w:val="superscript"/>
              </w:rPr>
              <w:t>3</w:t>
            </w:r>
            <w:r>
              <w:rPr>
                <w:color w:val="auto"/>
                <w:sz w:val="24"/>
              </w:rPr>
              <w:t>/d</w:t>
            </w:r>
            <w:r>
              <w:rPr>
                <w:rFonts w:hint="eastAsia"/>
                <w:color w:val="auto"/>
                <w:sz w:val="24"/>
              </w:rPr>
              <w:t>。</w:t>
            </w:r>
            <w:r>
              <w:rPr>
                <w:color w:val="auto"/>
                <w:kern w:val="21"/>
                <w:sz w:val="24"/>
              </w:rPr>
              <w:t>乏风取热设施</w:t>
            </w:r>
            <w:r>
              <w:rPr>
                <w:rFonts w:hint="eastAsia"/>
                <w:color w:val="auto"/>
                <w:sz w:val="24"/>
                <w:lang w:val="en-US" w:eastAsia="zh-CN"/>
              </w:rPr>
              <w:t>定期</w:t>
            </w:r>
            <w:r>
              <w:rPr>
                <w:color w:val="auto"/>
                <w:kern w:val="21"/>
                <w:sz w:val="24"/>
              </w:rPr>
              <w:t>冲洗</w:t>
            </w:r>
            <w:r>
              <w:rPr>
                <w:rFonts w:hint="eastAsia"/>
                <w:color w:val="auto"/>
                <w:kern w:val="21"/>
                <w:sz w:val="24"/>
                <w:lang w:val="en-US" w:eastAsia="zh-CN"/>
              </w:rPr>
              <w:t>废</w:t>
            </w:r>
            <w:r>
              <w:rPr>
                <w:rFonts w:hint="eastAsia"/>
                <w:color w:val="auto"/>
                <w:kern w:val="21"/>
                <w:sz w:val="24"/>
              </w:rPr>
              <w:t>水</w:t>
            </w:r>
            <w:r>
              <w:rPr>
                <w:rFonts w:hint="eastAsia"/>
                <w:color w:val="auto"/>
                <w:kern w:val="21"/>
                <w:sz w:val="24"/>
                <w:lang w:eastAsia="zh-CN"/>
              </w:rPr>
              <w:t>，</w:t>
            </w:r>
            <w:r>
              <w:rPr>
                <w:rFonts w:hint="eastAsia"/>
                <w:color w:val="auto"/>
                <w:kern w:val="21"/>
                <w:sz w:val="24"/>
              </w:rPr>
              <w:t>经收集后进入废水收集池，最终被送至李家壕煤矿矿井水处理站进行处理</w:t>
            </w:r>
            <w:r>
              <w:rPr>
                <w:bCs/>
                <w:color w:val="auto"/>
                <w:kern w:val="21"/>
                <w:sz w:val="24"/>
              </w:rPr>
              <w:t>。矿井水经过处理后，可以作为井下消防、</w:t>
            </w:r>
            <w:r>
              <w:rPr>
                <w:rFonts w:hint="eastAsia"/>
                <w:bCs/>
                <w:color w:val="auto"/>
                <w:kern w:val="21"/>
                <w:sz w:val="24"/>
              </w:rPr>
              <w:t>绿化</w:t>
            </w:r>
            <w:r>
              <w:rPr>
                <w:bCs/>
                <w:color w:val="auto"/>
                <w:kern w:val="21"/>
                <w:sz w:val="24"/>
              </w:rPr>
              <w:t>等用水，矿井水水质满足《城市污水再生利用城市杂用水水质》（GB/T18920</w:t>
            </w:r>
            <w:r>
              <w:rPr>
                <w:rFonts w:hint="eastAsia"/>
                <w:bCs/>
                <w:color w:val="auto"/>
                <w:kern w:val="21"/>
                <w:sz w:val="24"/>
              </w:rPr>
              <w:t>-</w:t>
            </w:r>
            <w:r>
              <w:rPr>
                <w:bCs/>
                <w:color w:val="auto"/>
                <w:kern w:val="21"/>
                <w:sz w:val="24"/>
              </w:rPr>
              <w:t>2020）中绿化、道路清扫用水水质要求，经过深度处理后矿井水的水质符合《煤矿井下消防、洒水设计规范》（GB50383</w:t>
            </w:r>
            <w:r>
              <w:rPr>
                <w:rFonts w:hint="eastAsia"/>
                <w:bCs/>
                <w:color w:val="auto"/>
                <w:kern w:val="21"/>
                <w:sz w:val="24"/>
              </w:rPr>
              <w:t>-</w:t>
            </w:r>
            <w:r>
              <w:rPr>
                <w:bCs/>
                <w:color w:val="auto"/>
                <w:kern w:val="21"/>
                <w:sz w:val="24"/>
              </w:rPr>
              <w:t>2016）中井下消防用水标准等水质要求</w:t>
            </w:r>
            <w:r>
              <w:rPr>
                <w:rFonts w:hint="eastAsia"/>
                <w:bCs/>
                <w:color w:val="auto"/>
                <w:kern w:val="21"/>
                <w:sz w:val="24"/>
              </w:rPr>
              <w:t>，不外排。</w:t>
            </w:r>
          </w:p>
          <w:p w14:paraId="67D97E93">
            <w:pPr>
              <w:pStyle w:val="36"/>
              <w:ind w:firstLine="420"/>
              <w:rPr>
                <w:color w:val="auto"/>
              </w:rPr>
            </w:pPr>
          </w:p>
          <w:p w14:paraId="777028A2">
            <w:pPr>
              <w:pStyle w:val="36"/>
              <w:ind w:firstLine="420"/>
              <w:rPr>
                <w:color w:val="auto"/>
                <w:highlight w:val="yellow"/>
              </w:rPr>
            </w:pPr>
          </w:p>
        </w:tc>
      </w:tr>
      <w:tr w14:paraId="546EE1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9" w:hRule="atLeast"/>
        </w:trPr>
        <w:tc>
          <w:tcPr>
            <w:tcW w:w="765" w:type="dxa"/>
            <w:vAlign w:val="center"/>
          </w:tcPr>
          <w:p w14:paraId="2CB9DDD4">
            <w:pPr>
              <w:adjustRightInd w:val="0"/>
              <w:snapToGrid w:val="0"/>
              <w:jc w:val="center"/>
              <w:rPr>
                <w:rFonts w:ascii="宋体" w:hAnsi="宋体" w:cs="宋体"/>
                <w:color w:val="auto"/>
                <w:kern w:val="0"/>
                <w:szCs w:val="21"/>
              </w:rPr>
            </w:pPr>
            <w:r>
              <w:rPr>
                <w:rFonts w:hint="eastAsia" w:ascii="宋体" w:hAnsi="宋体" w:cs="宋体"/>
                <w:color w:val="auto"/>
                <w:kern w:val="0"/>
                <w:sz w:val="24"/>
              </w:rPr>
              <w:t>总平面及现场布置</w:t>
            </w:r>
          </w:p>
        </w:tc>
        <w:tc>
          <w:tcPr>
            <w:tcW w:w="8295" w:type="dxa"/>
            <w:vAlign w:val="center"/>
          </w:tcPr>
          <w:p w14:paraId="1AF6034A">
            <w:pPr>
              <w:spacing w:line="500" w:lineRule="exact"/>
              <w:ind w:firstLine="482" w:firstLineChars="200"/>
              <w:jc w:val="left"/>
              <w:rPr>
                <w:b/>
                <w:bCs/>
                <w:color w:val="auto"/>
                <w:sz w:val="24"/>
              </w:rPr>
            </w:pPr>
            <w:r>
              <w:rPr>
                <w:rFonts w:hint="eastAsia"/>
                <w:b/>
                <w:bCs/>
                <w:color w:val="auto"/>
                <w:sz w:val="24"/>
              </w:rPr>
              <w:t>一、总平面布置</w:t>
            </w:r>
          </w:p>
          <w:p w14:paraId="5FC12D13">
            <w:pPr>
              <w:spacing w:line="500" w:lineRule="exact"/>
              <w:ind w:firstLine="480" w:firstLineChars="200"/>
              <w:jc w:val="left"/>
              <w:rPr>
                <w:color w:val="auto"/>
                <w:sz w:val="24"/>
              </w:rPr>
            </w:pPr>
            <w:r>
              <w:rPr>
                <w:rFonts w:hint="eastAsia"/>
                <w:color w:val="auto"/>
                <w:sz w:val="24"/>
              </w:rPr>
              <w:t>新风井工业场地位于现状风井工业场地西侧约100m，新风井工业场地布置回风立井、进风立井各一座，主要设施为通风机、通风机房配电室、进风立井井口房及空气加热室、乏风热泵机房及配电室及乏风取热平台，其中乏风取热平台布置于风机设备间之上。回风立井井口房布置于场地中部，通风机房配电室在满足规范要求的前提下，尽可能靠近通风机房，布置于通风机房北侧；乏风热泵机房及配电室布置于乏风取热平台北侧；进风立井井口房及空气加热室联合建筑布置于工业场地东南部，各建筑之间的距离均满足相关安全距离。</w:t>
            </w:r>
          </w:p>
          <w:p w14:paraId="3FE79A7C">
            <w:pPr>
              <w:autoSpaceDE w:val="0"/>
              <w:autoSpaceDN w:val="0"/>
              <w:adjustRightInd w:val="0"/>
              <w:snapToGrid w:val="0"/>
              <w:spacing w:line="480" w:lineRule="exact"/>
              <w:ind w:firstLine="480" w:firstLineChars="200"/>
              <w:rPr>
                <w:rFonts w:hint="eastAsia"/>
                <w:color w:val="auto"/>
                <w:sz w:val="24"/>
                <w:lang w:val="en-US" w:eastAsia="zh-CN"/>
              </w:rPr>
            </w:pPr>
            <w:r>
              <w:rPr>
                <w:rFonts w:hint="eastAsia"/>
                <w:color w:val="auto"/>
                <w:sz w:val="24"/>
                <w:lang w:val="en-US" w:eastAsia="zh-CN"/>
              </w:rPr>
              <w:t>项目场地西北侧和东侧各有一条110kV架空高压线，为保证生产安全，其中，西北侧围墙与西北侧110kV高压线平行，且围墙与110kV高压线水平距离为14.5m；东侧围墙距东侧110kV高压线最近位置水平距离为16.75m，两侧距离均满足《煤炭企业总图运输设计标准》（GB 51276-2018）中关于架空电力线路安全距离的要求，即110kV高压线与工业场地中建筑物的安全距离不小于10m。</w:t>
            </w:r>
          </w:p>
          <w:p w14:paraId="7067C0FA">
            <w:pPr>
              <w:spacing w:line="500" w:lineRule="exact"/>
              <w:ind w:firstLine="480" w:firstLineChars="200"/>
              <w:jc w:val="left"/>
              <w:rPr>
                <w:color w:val="auto"/>
                <w:sz w:val="24"/>
              </w:rPr>
            </w:pPr>
            <w:r>
              <w:rPr>
                <w:rFonts w:hint="eastAsia"/>
                <w:color w:val="auto"/>
                <w:sz w:val="24"/>
              </w:rPr>
              <w:t>工程总平面布置图见附图</w:t>
            </w:r>
            <w:r>
              <w:rPr>
                <w:color w:val="auto"/>
                <w:sz w:val="24"/>
              </w:rPr>
              <w:t>2</w:t>
            </w:r>
            <w:r>
              <w:rPr>
                <w:rFonts w:hint="eastAsia"/>
                <w:color w:val="auto"/>
                <w:sz w:val="24"/>
              </w:rPr>
              <w:t>。</w:t>
            </w:r>
          </w:p>
          <w:p w14:paraId="411B868E">
            <w:pPr>
              <w:spacing w:line="500" w:lineRule="exact"/>
              <w:ind w:firstLine="482" w:firstLineChars="200"/>
              <w:rPr>
                <w:b/>
                <w:bCs/>
                <w:color w:val="auto"/>
                <w:sz w:val="24"/>
              </w:rPr>
            </w:pPr>
            <w:r>
              <w:rPr>
                <w:rFonts w:hint="eastAsia"/>
                <w:b/>
                <w:bCs/>
                <w:color w:val="auto"/>
                <w:sz w:val="24"/>
              </w:rPr>
              <w:t>二、现场布置</w:t>
            </w:r>
          </w:p>
          <w:p w14:paraId="18D5BFD5">
            <w:pPr>
              <w:widowControl/>
              <w:spacing w:line="500" w:lineRule="exact"/>
              <w:ind w:firstLine="480" w:firstLineChars="200"/>
              <w:jc w:val="left"/>
              <w:rPr>
                <w:rFonts w:ascii="宋体" w:hAnsi="宋体" w:cs="宋体"/>
                <w:color w:val="auto"/>
                <w:kern w:val="0"/>
                <w:sz w:val="24"/>
              </w:rPr>
            </w:pPr>
            <w:r>
              <w:rPr>
                <w:rFonts w:hint="eastAsia"/>
                <w:color w:val="auto"/>
                <w:sz w:val="24"/>
              </w:rPr>
              <w:t>1</w:t>
            </w:r>
            <w:r>
              <w:rPr>
                <w:rFonts w:hint="eastAsia" w:ascii="宋体" w:hAnsi="宋体" w:cs="宋体"/>
                <w:color w:val="auto"/>
                <w:kern w:val="0"/>
                <w:sz w:val="24"/>
              </w:rPr>
              <w:t>.施工交通布置</w:t>
            </w:r>
          </w:p>
          <w:p w14:paraId="7BA1CF20">
            <w:pPr>
              <w:widowControl/>
              <w:spacing w:line="500" w:lineRule="exact"/>
              <w:ind w:firstLine="480" w:firstLineChars="200"/>
              <w:jc w:val="left"/>
              <w:rPr>
                <w:rFonts w:ascii="宋体" w:hAnsi="宋体" w:cs="宋体"/>
                <w:color w:val="auto"/>
                <w:kern w:val="0"/>
                <w:sz w:val="24"/>
              </w:rPr>
            </w:pPr>
            <w:r>
              <w:rPr>
                <w:rFonts w:ascii="宋体" w:hAnsi="宋体" w:cs="宋体"/>
                <w:color w:val="auto"/>
                <w:kern w:val="0"/>
                <w:sz w:val="24"/>
              </w:rPr>
              <w:t>施工期间风井工业场地内道路采用砂石路面，施工结束后改建为永久性道路</w:t>
            </w:r>
            <w:r>
              <w:rPr>
                <w:rFonts w:hint="eastAsia" w:ascii="宋体" w:hAnsi="宋体" w:cs="宋体"/>
                <w:color w:val="auto"/>
                <w:kern w:val="0"/>
                <w:sz w:val="24"/>
              </w:rPr>
              <w:t>（</w:t>
            </w:r>
            <w:r>
              <w:rPr>
                <w:rFonts w:ascii="宋体" w:hAnsi="宋体" w:cs="宋体"/>
                <w:color w:val="auto"/>
                <w:kern w:val="0"/>
                <w:sz w:val="24"/>
              </w:rPr>
              <w:t>碎石基层</w:t>
            </w:r>
            <w:r>
              <w:rPr>
                <w:rFonts w:hint="eastAsia" w:ascii="宋体" w:hAnsi="宋体" w:cs="宋体"/>
                <w:color w:val="auto"/>
                <w:kern w:val="0"/>
                <w:sz w:val="24"/>
                <w:lang w:eastAsia="zh-CN"/>
              </w:rPr>
              <w:t>、</w:t>
            </w:r>
            <w:r>
              <w:rPr>
                <w:rFonts w:ascii="宋体" w:hAnsi="宋体" w:cs="宋体"/>
                <w:color w:val="auto"/>
                <w:kern w:val="0"/>
                <w:sz w:val="24"/>
              </w:rPr>
              <w:t>混凝土路面）。场外施工道路依托附近公路、乡村道路及进场道路</w:t>
            </w:r>
            <w:r>
              <w:rPr>
                <w:rFonts w:hint="eastAsia" w:ascii="宋体" w:hAnsi="宋体" w:cs="宋体"/>
                <w:color w:val="auto"/>
                <w:kern w:val="0"/>
                <w:sz w:val="24"/>
                <w:lang w:eastAsia="zh-CN"/>
              </w:rPr>
              <w:t>（</w:t>
            </w:r>
            <w:r>
              <w:rPr>
                <w:rFonts w:hint="default" w:ascii="Times New Roman" w:hAnsi="Times New Roman" w:cs="Times New Roman"/>
                <w:color w:val="auto"/>
                <w:kern w:val="0"/>
                <w:sz w:val="24"/>
                <w:lang w:val="en-US" w:eastAsia="zh-CN"/>
              </w:rPr>
              <w:t>见附图3</w:t>
            </w:r>
            <w:r>
              <w:rPr>
                <w:rFonts w:hint="eastAsia" w:ascii="宋体" w:hAnsi="宋体" w:cs="宋体"/>
                <w:color w:val="auto"/>
                <w:kern w:val="0"/>
                <w:sz w:val="24"/>
                <w:lang w:eastAsia="zh-CN"/>
              </w:rPr>
              <w:t>）</w:t>
            </w:r>
            <w:r>
              <w:rPr>
                <w:rFonts w:ascii="宋体" w:hAnsi="宋体" w:cs="宋体"/>
                <w:color w:val="auto"/>
                <w:kern w:val="0"/>
                <w:sz w:val="24"/>
              </w:rPr>
              <w:t>，不再另辟临时施工道路。</w:t>
            </w:r>
          </w:p>
          <w:p w14:paraId="217635F2">
            <w:pPr>
              <w:pStyle w:val="36"/>
              <w:spacing w:line="500" w:lineRule="exact"/>
              <w:rPr>
                <w:color w:val="auto"/>
                <w:sz w:val="24"/>
              </w:rPr>
            </w:pPr>
            <w:r>
              <w:rPr>
                <w:rFonts w:hint="eastAsia"/>
                <w:color w:val="auto"/>
                <w:sz w:val="24"/>
              </w:rPr>
              <w:t>2</w:t>
            </w:r>
            <w:r>
              <w:rPr>
                <w:rFonts w:hint="eastAsia" w:ascii="宋体" w:hAnsi="宋体" w:cs="宋体"/>
                <w:color w:val="auto"/>
                <w:kern w:val="0"/>
                <w:sz w:val="24"/>
              </w:rPr>
              <w:t>.</w:t>
            </w:r>
            <w:r>
              <w:rPr>
                <w:rFonts w:hint="eastAsia"/>
                <w:color w:val="auto"/>
                <w:sz w:val="24"/>
              </w:rPr>
              <w:t>临时工程布置</w:t>
            </w:r>
          </w:p>
          <w:p w14:paraId="0A1D8F76">
            <w:pPr>
              <w:pStyle w:val="36"/>
              <w:spacing w:line="500" w:lineRule="exact"/>
              <w:rPr>
                <w:color w:val="auto"/>
                <w:sz w:val="24"/>
              </w:rPr>
            </w:pPr>
            <w:r>
              <w:rPr>
                <w:rFonts w:hint="eastAsia"/>
                <w:color w:val="auto"/>
                <w:sz w:val="24"/>
              </w:rPr>
              <w:t>（1）</w:t>
            </w:r>
            <w:r>
              <w:rPr>
                <w:color w:val="auto"/>
                <w:sz w:val="24"/>
              </w:rPr>
              <w:t>施工</w:t>
            </w:r>
            <w:r>
              <w:rPr>
                <w:rFonts w:hint="eastAsia"/>
                <w:color w:val="auto"/>
                <w:sz w:val="24"/>
              </w:rPr>
              <w:t>场地</w:t>
            </w:r>
          </w:p>
          <w:p w14:paraId="48BCF5A2">
            <w:pPr>
              <w:pStyle w:val="36"/>
              <w:spacing w:line="500" w:lineRule="exact"/>
              <w:rPr>
                <w:color w:val="auto"/>
                <w:sz w:val="24"/>
              </w:rPr>
            </w:pPr>
            <w:r>
              <w:rPr>
                <w:rFonts w:hint="eastAsia"/>
                <w:snapToGrid w:val="0"/>
                <w:color w:val="auto"/>
                <w:sz w:val="24"/>
              </w:rPr>
              <w:t>施工场地占地面积为0.5hm</w:t>
            </w:r>
            <w:r>
              <w:rPr>
                <w:rFonts w:hint="eastAsia"/>
                <w:snapToGrid w:val="0"/>
                <w:color w:val="auto"/>
                <w:sz w:val="24"/>
                <w:vertAlign w:val="superscript"/>
              </w:rPr>
              <w:t>2</w:t>
            </w:r>
            <w:r>
              <w:rPr>
                <w:rFonts w:hint="eastAsia"/>
                <w:snapToGrid w:val="0"/>
                <w:color w:val="auto"/>
                <w:sz w:val="24"/>
              </w:rPr>
              <w:t>，设有临时表土堆场、材料堆场等；施工场地位于风井工业场地永久占地范围内，不新增临时占地。</w:t>
            </w:r>
          </w:p>
          <w:p w14:paraId="14F59975">
            <w:pPr>
              <w:spacing w:line="500" w:lineRule="exact"/>
              <w:ind w:firstLine="480" w:firstLineChars="200"/>
              <w:rPr>
                <w:color w:val="auto"/>
                <w:sz w:val="24"/>
              </w:rPr>
            </w:pPr>
            <w:r>
              <w:rPr>
                <w:rFonts w:hint="eastAsia"/>
                <w:color w:val="auto"/>
                <w:sz w:val="24"/>
              </w:rPr>
              <w:t>（</w:t>
            </w:r>
            <w:r>
              <w:rPr>
                <w:color w:val="auto"/>
                <w:sz w:val="24"/>
              </w:rPr>
              <w:t>2）建筑材料</w:t>
            </w:r>
          </w:p>
          <w:p w14:paraId="2FCAA70B">
            <w:pPr>
              <w:pStyle w:val="36"/>
              <w:spacing w:line="500" w:lineRule="exact"/>
              <w:rPr>
                <w:color w:val="auto"/>
                <w:sz w:val="24"/>
              </w:rPr>
            </w:pPr>
            <w:r>
              <w:rPr>
                <w:color w:val="auto"/>
                <w:sz w:val="24"/>
              </w:rPr>
              <w:t>本项目建设所用钢材、木材、砂、砖、石等建筑材料均由周边地区外购，道路建设所用沥青混凝土来源于采购商品沥青混凝土，不在厂区设置拌合站。</w:t>
            </w:r>
          </w:p>
        </w:tc>
      </w:tr>
      <w:tr w14:paraId="69F5B9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5" w:type="dxa"/>
            <w:vAlign w:val="center"/>
          </w:tcPr>
          <w:p w14:paraId="1D90CCE3">
            <w:pPr>
              <w:adjustRightInd w:val="0"/>
              <w:snapToGrid w:val="0"/>
              <w:jc w:val="center"/>
              <w:rPr>
                <w:rFonts w:ascii="宋体" w:hAnsi="宋体" w:cs="宋体"/>
                <w:color w:val="auto"/>
                <w:kern w:val="0"/>
                <w:szCs w:val="21"/>
              </w:rPr>
            </w:pPr>
            <w:r>
              <w:rPr>
                <w:rFonts w:hint="eastAsia" w:ascii="宋体" w:hAnsi="宋体" w:cs="宋体"/>
                <w:color w:val="auto"/>
                <w:kern w:val="0"/>
                <w:sz w:val="24"/>
              </w:rPr>
              <w:t>施工方案</w:t>
            </w:r>
          </w:p>
        </w:tc>
        <w:tc>
          <w:tcPr>
            <w:tcW w:w="8295" w:type="dxa"/>
            <w:vAlign w:val="center"/>
          </w:tcPr>
          <w:p w14:paraId="4965819F">
            <w:pPr>
              <w:widowControl/>
              <w:spacing w:line="500" w:lineRule="exact"/>
              <w:ind w:firstLine="480" w:firstLineChars="200"/>
              <w:jc w:val="left"/>
              <w:rPr>
                <w:color w:val="auto"/>
              </w:rPr>
            </w:pPr>
            <w:r>
              <w:rPr>
                <w:rFonts w:eastAsiaTheme="majorEastAsia"/>
                <w:color w:val="auto"/>
                <w:sz w:val="24"/>
              </w:rPr>
              <w:t>一、</w:t>
            </w:r>
            <w:r>
              <w:rPr>
                <w:rFonts w:hint="eastAsia" w:ascii="宋体" w:hAnsi="宋体" w:cs="宋体"/>
                <w:b/>
                <w:bCs/>
                <w:color w:val="auto"/>
                <w:kern w:val="0"/>
                <w:sz w:val="24"/>
              </w:rPr>
              <w:t xml:space="preserve">施工时序及建设工期 </w:t>
            </w:r>
          </w:p>
          <w:p w14:paraId="1F8D3F81">
            <w:pPr>
              <w:widowControl/>
              <w:spacing w:line="500" w:lineRule="exact"/>
              <w:ind w:firstLine="480" w:firstLineChars="200"/>
              <w:jc w:val="left"/>
              <w:rPr>
                <w:color w:val="auto"/>
                <w:sz w:val="24"/>
              </w:rPr>
            </w:pPr>
            <w:r>
              <w:rPr>
                <w:rFonts w:hint="eastAsia"/>
                <w:color w:val="auto"/>
                <w:sz w:val="24"/>
              </w:rPr>
              <w:t>1、施工时序</w:t>
            </w:r>
          </w:p>
          <w:p w14:paraId="77B1E37F">
            <w:pPr>
              <w:widowControl/>
              <w:spacing w:line="500" w:lineRule="exact"/>
              <w:ind w:firstLine="480" w:firstLineChars="200"/>
              <w:jc w:val="left"/>
              <w:rPr>
                <w:color w:val="auto"/>
                <w:sz w:val="24"/>
              </w:rPr>
            </w:pPr>
            <w:r>
              <w:rPr>
                <w:rFonts w:hint="eastAsia"/>
                <w:color w:val="auto"/>
                <w:sz w:val="24"/>
              </w:rPr>
              <w:t>三类工程以井巷工程为主，土建和机电设备安装工程为辅，进行建井工期安排。本项目井筒采用冻结+反井钻工艺，冻结期约3.0个月，两个井筒掘砌工期约13.0个月，井筒施工总工期按16.0个月考虑；进、回风井底绕道及石门工期约为3.0个月；2-2中煤大巷工期约为6.0个月。设备安装及联合试运转工期为3个月。对于井巷大巷及顺槽施工，计划布置三</w:t>
            </w:r>
            <w:r>
              <w:rPr>
                <w:rFonts w:hint="eastAsia"/>
                <w:color w:val="auto"/>
                <w:sz w:val="24"/>
                <w:lang w:val="en-US" w:eastAsia="zh-CN"/>
              </w:rPr>
              <w:t>支</w:t>
            </w:r>
            <w:r>
              <w:rPr>
                <w:rFonts w:hint="eastAsia"/>
                <w:color w:val="auto"/>
                <w:sz w:val="24"/>
              </w:rPr>
              <w:t>掘锚一体机掘进队伍。考虑到煤矿生产系统已经形成，各</w:t>
            </w:r>
            <w:r>
              <w:rPr>
                <w:rFonts w:hint="eastAsia"/>
                <w:color w:val="auto"/>
                <w:sz w:val="24"/>
                <w:lang w:val="en-US" w:eastAsia="zh-CN"/>
              </w:rPr>
              <w:t>项</w:t>
            </w:r>
            <w:r>
              <w:rPr>
                <w:rFonts w:hint="eastAsia"/>
                <w:color w:val="auto"/>
                <w:sz w:val="24"/>
              </w:rPr>
              <w:t>施工安排能够平行作业，因此，确定本工程总工期为21.5个月。</w:t>
            </w:r>
          </w:p>
          <w:p w14:paraId="42783ACD">
            <w:pPr>
              <w:widowControl/>
              <w:spacing w:line="500" w:lineRule="exact"/>
              <w:ind w:firstLine="480" w:firstLineChars="200"/>
              <w:jc w:val="left"/>
              <w:rPr>
                <w:color w:val="auto"/>
                <w:sz w:val="24"/>
              </w:rPr>
            </w:pPr>
            <w:r>
              <w:rPr>
                <w:rFonts w:hint="eastAsia"/>
                <w:color w:val="auto"/>
                <w:sz w:val="24"/>
              </w:rPr>
              <w:t>准备期和井巷施工期间完成新进、回风立井地面工程。地面辅助设施的土建工程，由于受该区气候条件限制，应避开冬季建设，在矿建工程施工期内完成。</w:t>
            </w:r>
          </w:p>
          <w:p w14:paraId="3A084E02">
            <w:pPr>
              <w:widowControl/>
              <w:spacing w:line="500" w:lineRule="exact"/>
              <w:ind w:firstLine="480" w:firstLineChars="200"/>
              <w:jc w:val="left"/>
              <w:rPr>
                <w:color w:val="auto"/>
                <w:sz w:val="24"/>
              </w:rPr>
            </w:pPr>
            <w:r>
              <w:rPr>
                <w:rFonts w:hint="eastAsia"/>
                <w:color w:val="auto"/>
                <w:sz w:val="24"/>
              </w:rPr>
              <w:t>2、建设工期</w:t>
            </w:r>
          </w:p>
          <w:p w14:paraId="0F824312">
            <w:pPr>
              <w:widowControl/>
              <w:spacing w:line="500" w:lineRule="exact"/>
              <w:ind w:firstLine="480" w:firstLineChars="200"/>
              <w:jc w:val="left"/>
              <w:rPr>
                <w:color w:val="auto"/>
                <w:sz w:val="24"/>
              </w:rPr>
            </w:pPr>
            <w:r>
              <w:rPr>
                <w:rFonts w:hint="eastAsia"/>
                <w:color w:val="auto"/>
                <w:sz w:val="24"/>
              </w:rPr>
              <w:t>本项目建设总工期为21.5个月，其中关键施工线路为：</w:t>
            </w:r>
          </w:p>
          <w:p w14:paraId="314863D6">
            <w:pPr>
              <w:widowControl/>
              <w:spacing w:line="500" w:lineRule="exact"/>
              <w:ind w:firstLine="480" w:firstLineChars="200"/>
              <w:jc w:val="left"/>
              <w:rPr>
                <w:color w:val="auto"/>
                <w:sz w:val="24"/>
              </w:rPr>
            </w:pPr>
            <w:r>
              <w:rPr>
                <w:rFonts w:hint="eastAsia"/>
                <w:color w:val="auto"/>
                <w:sz w:val="24"/>
              </w:rPr>
              <w:t>进、回风井底绕道及石门2.5个月→进风、回风立井施工期16个月→设备安装及联合试运转工期为3个月；准备期和井筒施工期间完成新进、回风立井地面工程，以及井下通风联络巷等井巷工程。</w:t>
            </w:r>
          </w:p>
          <w:p w14:paraId="4456E93F">
            <w:pPr>
              <w:widowControl/>
              <w:spacing w:line="500" w:lineRule="exact"/>
              <w:ind w:firstLine="482" w:firstLineChars="200"/>
              <w:jc w:val="left"/>
              <w:rPr>
                <w:rFonts w:eastAsiaTheme="majorEastAsia"/>
                <w:b/>
                <w:bCs/>
                <w:color w:val="auto"/>
                <w:sz w:val="24"/>
              </w:rPr>
            </w:pPr>
            <w:r>
              <w:rPr>
                <w:rFonts w:hint="eastAsia" w:eastAsiaTheme="majorEastAsia"/>
                <w:b/>
                <w:bCs/>
                <w:color w:val="auto"/>
                <w:sz w:val="24"/>
              </w:rPr>
              <w:t>二、</w:t>
            </w:r>
            <w:r>
              <w:rPr>
                <w:rFonts w:eastAsiaTheme="majorEastAsia"/>
                <w:b/>
                <w:bCs/>
                <w:color w:val="auto"/>
                <w:sz w:val="24"/>
              </w:rPr>
              <w:t>施工方案</w:t>
            </w:r>
          </w:p>
          <w:p w14:paraId="37061D1B">
            <w:pPr>
              <w:widowControl/>
              <w:adjustRightInd w:val="0"/>
              <w:snapToGrid w:val="0"/>
              <w:spacing w:line="500" w:lineRule="exact"/>
              <w:ind w:firstLine="480" w:firstLineChars="200"/>
              <w:jc w:val="left"/>
              <w:rPr>
                <w:color w:val="auto"/>
                <w:kern w:val="0"/>
                <w:sz w:val="24"/>
              </w:rPr>
            </w:pPr>
            <w:r>
              <w:rPr>
                <w:color w:val="auto"/>
                <w:kern w:val="0"/>
                <w:sz w:val="24"/>
              </w:rPr>
              <w:t>施工工艺流程及产污环节见图3.3</w:t>
            </w:r>
            <w:r>
              <w:rPr>
                <w:rFonts w:hint="eastAsia"/>
                <w:color w:val="auto"/>
                <w:kern w:val="0"/>
                <w:sz w:val="24"/>
              </w:rPr>
              <w:t>-</w:t>
            </w:r>
            <w:r>
              <w:rPr>
                <w:color w:val="auto"/>
                <w:kern w:val="0"/>
                <w:sz w:val="24"/>
              </w:rPr>
              <w:t>1。</w:t>
            </w:r>
          </w:p>
          <w:p w14:paraId="2D682A8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ascii="宋体" w:hAnsi="宋体" w:cs="宋体"/>
                <w:b/>
                <w:bCs/>
                <w:color w:val="auto"/>
                <w:kern w:val="0"/>
                <w:sz w:val="24"/>
              </w:rPr>
            </w:pPr>
            <w:r>
              <w:rPr>
                <w:color w:val="auto"/>
              </w:rPr>
              <w:drawing>
                <wp:inline distT="0" distB="0" distL="114300" distR="114300">
                  <wp:extent cx="4505325" cy="1343025"/>
                  <wp:effectExtent l="0" t="0" r="9525" b="952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4"/>
                          <a:stretch>
                            <a:fillRect/>
                          </a:stretch>
                        </pic:blipFill>
                        <pic:spPr>
                          <a:xfrm>
                            <a:off x="0" y="0"/>
                            <a:ext cx="4505325" cy="1343025"/>
                          </a:xfrm>
                          <a:prstGeom prst="rect">
                            <a:avLst/>
                          </a:prstGeom>
                          <a:noFill/>
                          <a:ln>
                            <a:noFill/>
                          </a:ln>
                        </pic:spPr>
                      </pic:pic>
                    </a:graphicData>
                  </a:graphic>
                </wp:inline>
              </w:drawing>
            </w:r>
          </w:p>
          <w:p w14:paraId="588C54A4">
            <w:pPr>
              <w:pStyle w:val="28"/>
              <w:spacing w:after="0" w:line="500" w:lineRule="exact"/>
              <w:ind w:left="0" w:leftChars="0" w:firstLine="0"/>
              <w:jc w:val="center"/>
              <w:rPr>
                <w:color w:val="auto"/>
              </w:rPr>
            </w:pPr>
            <w:r>
              <w:rPr>
                <w:b/>
                <w:bCs/>
                <w:color w:val="auto"/>
                <w:kern w:val="0"/>
                <w:sz w:val="24"/>
              </w:rPr>
              <w:t>图</w:t>
            </w:r>
            <w:r>
              <w:rPr>
                <w:rFonts w:hint="eastAsia"/>
                <w:b/>
                <w:bCs/>
                <w:color w:val="auto"/>
                <w:kern w:val="0"/>
                <w:sz w:val="24"/>
              </w:rPr>
              <w:t xml:space="preserve">2-3  </w:t>
            </w:r>
            <w:r>
              <w:rPr>
                <w:b/>
                <w:bCs/>
                <w:color w:val="auto"/>
                <w:kern w:val="0"/>
                <w:sz w:val="24"/>
              </w:rPr>
              <w:t xml:space="preserve"> 施工工艺流程及产污环节图</w:t>
            </w:r>
          </w:p>
          <w:p w14:paraId="626FA5DC">
            <w:pPr>
              <w:widowControl/>
              <w:spacing w:line="500" w:lineRule="exact"/>
              <w:ind w:firstLine="480" w:firstLineChars="200"/>
              <w:rPr>
                <w:color w:val="auto"/>
                <w:sz w:val="24"/>
                <w:lang w:val="zh-CN"/>
              </w:rPr>
            </w:pPr>
            <w:r>
              <w:rPr>
                <w:rFonts w:hint="eastAsia"/>
                <w:bCs/>
                <w:color w:val="auto"/>
                <w:sz w:val="24"/>
              </w:rPr>
              <w:t>1、</w:t>
            </w:r>
            <w:r>
              <w:rPr>
                <w:color w:val="auto"/>
                <w:sz w:val="24"/>
                <w:lang w:val="zh-CN"/>
              </w:rPr>
              <w:t>场地平整</w:t>
            </w:r>
          </w:p>
          <w:p w14:paraId="79697DFE">
            <w:pPr>
              <w:snapToGrid w:val="0"/>
              <w:spacing w:line="500" w:lineRule="exact"/>
              <w:ind w:firstLine="480" w:firstLineChars="200"/>
              <w:rPr>
                <w:color w:val="auto"/>
                <w:sz w:val="24"/>
                <w:lang w:val="zh-CN"/>
              </w:rPr>
            </w:pPr>
            <w:r>
              <w:rPr>
                <w:rFonts w:hint="eastAsia"/>
                <w:color w:val="auto"/>
                <w:sz w:val="24"/>
              </w:rPr>
              <w:t>在施工前，需要进行表土剥离，剥离深度为0.2m，风井场地剥离的表土将就近集中堆放于附近绿化硬化空地，表土堆存采用密目网苫盖防护，然后将表土回覆于风井场地绿化工程中。</w:t>
            </w:r>
            <w:r>
              <w:rPr>
                <w:color w:val="auto"/>
                <w:sz w:val="24"/>
                <w:lang w:val="zh-CN"/>
              </w:rPr>
              <w:t>风井工业场地地势起伏较大，采用平坡式进行场地平整。</w:t>
            </w:r>
            <w:r>
              <w:rPr>
                <w:rFonts w:hint="eastAsia"/>
                <w:color w:val="auto"/>
                <w:sz w:val="24"/>
              </w:rPr>
              <w:t>场地平整包括边开挖边坡整平，最后夯实地面。</w:t>
            </w:r>
            <w:r>
              <w:rPr>
                <w:color w:val="auto"/>
                <w:sz w:val="24"/>
                <w:lang w:val="zh-CN"/>
              </w:rPr>
              <w:t>平整所需填方来自</w:t>
            </w:r>
            <w:r>
              <w:rPr>
                <w:rFonts w:hint="eastAsia"/>
                <w:color w:val="auto"/>
                <w:sz w:val="24"/>
              </w:rPr>
              <w:t>场</w:t>
            </w:r>
            <w:r>
              <w:rPr>
                <w:color w:val="auto"/>
                <w:sz w:val="24"/>
                <w:lang w:val="zh-CN"/>
              </w:rPr>
              <w:t>内建</w:t>
            </w:r>
            <w:r>
              <w:rPr>
                <w:rFonts w:hint="eastAsia"/>
                <w:color w:val="auto"/>
                <w:sz w:val="24"/>
                <w:lang w:val="zh-CN"/>
              </w:rPr>
              <w:t>（</w:t>
            </w:r>
            <w:r>
              <w:rPr>
                <w:color w:val="auto"/>
                <w:sz w:val="24"/>
                <w:lang w:val="zh-CN"/>
              </w:rPr>
              <w:t>构）筑物地基挖方</w:t>
            </w:r>
            <w:r>
              <w:rPr>
                <w:rFonts w:hint="eastAsia"/>
                <w:color w:val="auto"/>
                <w:sz w:val="24"/>
                <w:lang w:val="zh-CN"/>
              </w:rPr>
              <w:t>、</w:t>
            </w:r>
            <w:r>
              <w:rPr>
                <w:rFonts w:hint="eastAsia"/>
                <w:color w:val="auto"/>
                <w:sz w:val="24"/>
              </w:rPr>
              <w:t>风井挖方</w:t>
            </w:r>
            <w:r>
              <w:rPr>
                <w:color w:val="auto"/>
                <w:sz w:val="24"/>
                <w:lang w:val="zh-CN"/>
              </w:rPr>
              <w:t>。施工方式以机械为主，人工配合机械对零星场地或边角区进行平整。表土堆场、材料堆场等</w:t>
            </w:r>
            <w:r>
              <w:rPr>
                <w:rFonts w:hint="eastAsia"/>
                <w:color w:val="auto"/>
                <w:sz w:val="24"/>
              </w:rPr>
              <w:t>均位于</w:t>
            </w:r>
            <w:r>
              <w:rPr>
                <w:color w:val="auto"/>
                <w:sz w:val="24"/>
                <w:lang w:val="zh-CN"/>
              </w:rPr>
              <w:t>风井场地</w:t>
            </w:r>
            <w:r>
              <w:rPr>
                <w:rFonts w:hint="eastAsia"/>
                <w:color w:val="auto"/>
                <w:sz w:val="24"/>
              </w:rPr>
              <w:t>内。</w:t>
            </w:r>
          </w:p>
          <w:p w14:paraId="384038A3">
            <w:pPr>
              <w:snapToGrid w:val="0"/>
              <w:spacing w:line="500" w:lineRule="exact"/>
              <w:ind w:firstLine="480" w:firstLineChars="200"/>
              <w:rPr>
                <w:bCs/>
                <w:color w:val="auto"/>
                <w:sz w:val="24"/>
                <w:lang w:val="zh-CN"/>
              </w:rPr>
            </w:pPr>
            <w:r>
              <w:rPr>
                <w:bCs/>
                <w:color w:val="auto"/>
                <w:sz w:val="24"/>
              </w:rPr>
              <w:t>2、</w:t>
            </w:r>
            <w:r>
              <w:rPr>
                <w:bCs/>
                <w:color w:val="auto"/>
                <w:sz w:val="24"/>
                <w:lang w:val="zh-CN"/>
              </w:rPr>
              <w:t>井筒施工工艺</w:t>
            </w:r>
          </w:p>
          <w:p w14:paraId="7613DB94">
            <w:pPr>
              <w:snapToGrid w:val="0"/>
              <w:spacing w:line="500" w:lineRule="exact"/>
              <w:ind w:firstLine="480" w:firstLineChars="200"/>
              <w:rPr>
                <w:color w:val="auto"/>
                <w:sz w:val="24"/>
                <w:lang w:val="zh-CN"/>
              </w:rPr>
            </w:pPr>
            <w:r>
              <w:rPr>
                <w:color w:val="auto"/>
                <w:sz w:val="24"/>
              </w:rPr>
              <w:t>进、回风立井采用冻结+反井钻法施工，冻结法施工是指在含水土层内先钻孔打入钢管，导入循环的液氮，使周边的地层冻结，形成坚硬的冻土壳。它不仅能保证地层稳定，还能起隔水作用，可以进行深基坑的挖土</w:t>
            </w:r>
            <w:r>
              <w:rPr>
                <w:rFonts w:hint="eastAsia"/>
                <w:color w:val="auto"/>
                <w:sz w:val="24"/>
              </w:rPr>
              <w:t>。</w:t>
            </w:r>
          </w:p>
          <w:p w14:paraId="2D088808">
            <w:pPr>
              <w:widowControl/>
              <w:spacing w:line="500" w:lineRule="exact"/>
              <w:ind w:firstLine="480" w:firstLineChars="200"/>
              <w:rPr>
                <w:color w:val="auto"/>
                <w:sz w:val="24"/>
              </w:rPr>
            </w:pPr>
            <w:r>
              <w:rPr>
                <w:rFonts w:hint="eastAsia"/>
                <w:color w:val="auto"/>
                <w:sz w:val="24"/>
              </w:rPr>
              <w:t>井壁结构如下：</w:t>
            </w:r>
          </w:p>
          <w:p w14:paraId="60D46674">
            <w:pPr>
              <w:widowControl/>
              <w:spacing w:line="500" w:lineRule="exact"/>
              <w:ind w:firstLine="480" w:firstLineChars="200"/>
              <w:rPr>
                <w:color w:val="auto"/>
                <w:sz w:val="24"/>
                <w:lang w:val="zh-CN"/>
              </w:rPr>
            </w:pPr>
            <w:r>
              <w:rPr>
                <w:color w:val="auto"/>
                <w:sz w:val="24"/>
                <w:lang w:val="zh-CN"/>
              </w:rPr>
              <w:t>（</w:t>
            </w:r>
            <w:r>
              <w:rPr>
                <w:color w:val="auto"/>
                <w:sz w:val="24"/>
              </w:rPr>
              <w:t>1</w:t>
            </w:r>
            <w:r>
              <w:rPr>
                <w:color w:val="auto"/>
                <w:sz w:val="24"/>
                <w:lang w:val="zh-CN"/>
              </w:rPr>
              <w:t>）井口段</w:t>
            </w:r>
          </w:p>
          <w:p w14:paraId="5EAA087E">
            <w:pPr>
              <w:widowControl/>
              <w:spacing w:line="500" w:lineRule="exact"/>
              <w:ind w:firstLine="480" w:firstLineChars="200"/>
              <w:rPr>
                <w:color w:val="auto"/>
                <w:sz w:val="24"/>
                <w:lang w:val="zh-CN"/>
              </w:rPr>
            </w:pPr>
            <w:r>
              <w:rPr>
                <w:rFonts w:hint="eastAsia"/>
                <w:color w:val="auto"/>
                <w:sz w:val="24"/>
                <w:lang w:val="en-US" w:eastAsia="zh-CN"/>
              </w:rPr>
              <w:t>新增</w:t>
            </w:r>
            <w:r>
              <w:rPr>
                <w:color w:val="auto"/>
                <w:sz w:val="24"/>
                <w:lang w:val="zh-CN"/>
              </w:rPr>
              <w:t>进风立井井口部位由安全出口等构筑物组成，</w:t>
            </w:r>
            <w:r>
              <w:rPr>
                <w:rFonts w:hint="eastAsia"/>
                <w:color w:val="auto"/>
                <w:sz w:val="24"/>
                <w:lang w:val="zh-CN"/>
              </w:rPr>
              <w:t>井口</w:t>
            </w:r>
            <w:r>
              <w:rPr>
                <w:color w:val="auto"/>
                <w:sz w:val="24"/>
                <w:lang w:val="zh-CN"/>
              </w:rPr>
              <w:t>高程+1412.0m。</w:t>
            </w:r>
            <w:r>
              <w:rPr>
                <w:rFonts w:hint="eastAsia"/>
                <w:color w:val="auto"/>
                <w:sz w:val="24"/>
                <w:lang w:val="en-US" w:eastAsia="zh-CN"/>
              </w:rPr>
              <w:t>新增</w:t>
            </w:r>
            <w:r>
              <w:rPr>
                <w:color w:val="auto"/>
                <w:sz w:val="24"/>
                <w:lang w:val="zh-CN"/>
              </w:rPr>
              <w:t>回风立井井口部位由防爆门、安全出口及风硐等构筑物组成，</w:t>
            </w:r>
            <w:r>
              <w:rPr>
                <w:rFonts w:hint="eastAsia"/>
                <w:color w:val="auto"/>
                <w:sz w:val="24"/>
                <w:lang w:val="en-US" w:eastAsia="zh-CN"/>
              </w:rPr>
              <w:t>井</w:t>
            </w:r>
            <w:r>
              <w:rPr>
                <w:color w:val="auto"/>
                <w:sz w:val="24"/>
                <w:lang w:val="zh-CN"/>
              </w:rPr>
              <w:t>口高程+1412.0m。</w:t>
            </w:r>
          </w:p>
          <w:p w14:paraId="0EEECFA9">
            <w:pPr>
              <w:widowControl/>
              <w:spacing w:line="500" w:lineRule="exact"/>
              <w:ind w:firstLine="480" w:firstLineChars="200"/>
              <w:rPr>
                <w:color w:val="auto"/>
                <w:sz w:val="24"/>
                <w:lang w:val="zh-CN"/>
              </w:rPr>
            </w:pPr>
            <w:r>
              <w:rPr>
                <w:color w:val="auto"/>
                <w:sz w:val="24"/>
                <w:lang w:val="zh-CN"/>
              </w:rPr>
              <w:t>设计井筒掘砌前施工临时锁口，锁口高度8.0m，厚度750mm，砖墙结构，内径5.0m，高程（+1412.0m～+1404.0m）。</w:t>
            </w:r>
          </w:p>
          <w:p w14:paraId="3BB06BEC">
            <w:pPr>
              <w:widowControl/>
              <w:spacing w:line="500" w:lineRule="exact"/>
              <w:ind w:firstLine="480" w:firstLineChars="200"/>
              <w:rPr>
                <w:color w:val="auto"/>
                <w:sz w:val="24"/>
                <w:lang w:val="zh-CN"/>
              </w:rPr>
            </w:pPr>
            <w:r>
              <w:rPr>
                <w:color w:val="auto"/>
                <w:sz w:val="24"/>
                <w:lang w:val="zh-CN"/>
              </w:rPr>
              <w:t>（</w:t>
            </w:r>
            <w:r>
              <w:rPr>
                <w:color w:val="auto"/>
                <w:sz w:val="24"/>
              </w:rPr>
              <w:t>2</w:t>
            </w:r>
            <w:r>
              <w:rPr>
                <w:color w:val="auto"/>
                <w:sz w:val="24"/>
                <w:lang w:val="zh-CN"/>
              </w:rPr>
              <w:t>）中间段</w:t>
            </w:r>
          </w:p>
          <w:p w14:paraId="3B7E911A">
            <w:pPr>
              <w:widowControl/>
              <w:spacing w:line="500" w:lineRule="exact"/>
              <w:ind w:firstLine="480" w:firstLineChars="200"/>
              <w:rPr>
                <w:color w:val="auto"/>
                <w:sz w:val="24"/>
                <w:lang w:val="zh-CN"/>
              </w:rPr>
            </w:pPr>
            <w:r>
              <w:rPr>
                <w:color w:val="auto"/>
                <w:sz w:val="24"/>
                <w:lang w:val="zh-CN"/>
              </w:rPr>
              <w:t>①井壁采用锚网喷+钢筋砼砌碹支护方式，圆形断面，壁厚50+450mm（喷砼50mm、砌砼450mm），采用φ16×800螺纹钢锚杆，间排距均为800×800mm，托盘规格150×150×10mm，钢筋网采用φ6.5钢筋制作，网孔100×100mm；喷砼强度等级C25，砌碹砼强度等级C30。</w:t>
            </w:r>
          </w:p>
          <w:p w14:paraId="0501D273">
            <w:pPr>
              <w:widowControl/>
              <w:spacing w:line="500" w:lineRule="exact"/>
              <w:ind w:firstLine="480" w:firstLineChars="200"/>
              <w:rPr>
                <w:color w:val="auto"/>
                <w:sz w:val="24"/>
                <w:lang w:val="zh-CN"/>
              </w:rPr>
            </w:pPr>
            <w:r>
              <w:rPr>
                <w:color w:val="auto"/>
                <w:sz w:val="24"/>
                <w:lang w:val="zh-CN"/>
              </w:rPr>
              <w:t>②竖向及环向钢筋采用HRB400钢筋，联系筋采用HPB300钢筋，竖向钢筋连接方式采用直螺纹连接，钢筋接头为Ⅰ级接头。环向钢筋搭接长度不小于钢筋直径的35倍。</w:t>
            </w:r>
          </w:p>
          <w:p w14:paraId="45684C8C">
            <w:pPr>
              <w:widowControl/>
              <w:spacing w:line="500" w:lineRule="exact"/>
              <w:ind w:firstLine="480" w:firstLineChars="200"/>
              <w:rPr>
                <w:color w:val="auto"/>
                <w:sz w:val="24"/>
                <w:lang w:val="zh-CN"/>
              </w:rPr>
            </w:pPr>
            <w:r>
              <w:rPr>
                <w:color w:val="auto"/>
                <w:sz w:val="24"/>
                <w:lang w:val="zh-CN"/>
              </w:rPr>
              <w:t>③混凝土中需要按比例添加防冻剂。</w:t>
            </w:r>
          </w:p>
          <w:p w14:paraId="228AD85F">
            <w:pPr>
              <w:widowControl/>
              <w:spacing w:line="500" w:lineRule="exact"/>
              <w:ind w:firstLine="480" w:firstLineChars="200"/>
              <w:rPr>
                <w:color w:val="auto"/>
                <w:sz w:val="24"/>
                <w:lang w:val="zh-CN"/>
              </w:rPr>
            </w:pPr>
            <w:r>
              <w:rPr>
                <w:color w:val="auto"/>
                <w:sz w:val="24"/>
                <w:lang w:val="zh-CN"/>
              </w:rPr>
              <w:t>④反井钻机法是反井扩孔施工结束后全段从上向下锚网喷施工，再从下向上套壁。</w:t>
            </w:r>
          </w:p>
          <w:p w14:paraId="17E0D643">
            <w:pPr>
              <w:widowControl/>
              <w:spacing w:line="500" w:lineRule="exact"/>
              <w:ind w:firstLine="480" w:firstLineChars="200"/>
              <w:rPr>
                <w:color w:val="auto"/>
                <w:sz w:val="24"/>
                <w:lang w:val="zh-CN"/>
              </w:rPr>
            </w:pPr>
            <w:r>
              <w:rPr>
                <w:color w:val="auto"/>
                <w:sz w:val="24"/>
                <w:lang w:val="zh-CN"/>
              </w:rPr>
              <w:t>⑤竖井掘进机法是掘进机每掘进2m段高进行锚网喷施工，掘进到底后再从下向上套壁。</w:t>
            </w:r>
          </w:p>
          <w:p w14:paraId="0B290749">
            <w:pPr>
              <w:widowControl/>
              <w:spacing w:line="500" w:lineRule="exact"/>
              <w:ind w:firstLine="480" w:firstLineChars="200"/>
              <w:rPr>
                <w:color w:val="auto"/>
                <w:sz w:val="24"/>
                <w:lang w:val="zh-CN"/>
              </w:rPr>
            </w:pPr>
            <w:r>
              <w:rPr>
                <w:color w:val="auto"/>
                <w:sz w:val="24"/>
                <w:lang w:val="zh-CN"/>
              </w:rPr>
              <w:t>⑥喷砼等级采用C25，浇筑混凝土等级采用C50。</w:t>
            </w:r>
          </w:p>
          <w:p w14:paraId="7278ED39">
            <w:pPr>
              <w:widowControl/>
              <w:spacing w:line="500" w:lineRule="exact"/>
              <w:ind w:firstLine="480" w:firstLineChars="200"/>
              <w:rPr>
                <w:color w:val="auto"/>
                <w:sz w:val="24"/>
                <w:lang w:val="zh-CN"/>
              </w:rPr>
            </w:pPr>
            <w:r>
              <w:rPr>
                <w:color w:val="auto"/>
                <w:sz w:val="24"/>
                <w:lang w:val="zh-CN"/>
              </w:rPr>
              <w:t>（</w:t>
            </w:r>
            <w:r>
              <w:rPr>
                <w:color w:val="auto"/>
                <w:sz w:val="24"/>
              </w:rPr>
              <w:t>3</w:t>
            </w:r>
            <w:r>
              <w:rPr>
                <w:color w:val="auto"/>
                <w:sz w:val="24"/>
                <w:lang w:val="zh-CN"/>
              </w:rPr>
              <w:t>）井底及连接处</w:t>
            </w:r>
          </w:p>
          <w:p w14:paraId="3DB67009">
            <w:pPr>
              <w:widowControl/>
              <w:spacing w:line="500" w:lineRule="exact"/>
              <w:ind w:firstLine="480" w:firstLineChars="200"/>
              <w:rPr>
                <w:color w:val="auto"/>
                <w:sz w:val="24"/>
                <w:lang w:val="zh-CN"/>
              </w:rPr>
            </w:pPr>
            <w:r>
              <w:rPr>
                <w:color w:val="auto"/>
                <w:sz w:val="24"/>
                <w:lang w:val="zh-CN"/>
              </w:rPr>
              <w:t>①新回风立井井筒与回风联络巷连接处高程为+1112.0m。</w:t>
            </w:r>
          </w:p>
          <w:p w14:paraId="1775BE60">
            <w:pPr>
              <w:widowControl/>
              <w:spacing w:line="500" w:lineRule="exact"/>
              <w:ind w:firstLine="480" w:firstLineChars="200"/>
              <w:rPr>
                <w:color w:val="auto"/>
                <w:sz w:val="24"/>
                <w:lang w:val="zh-CN"/>
              </w:rPr>
            </w:pPr>
            <w:r>
              <w:rPr>
                <w:color w:val="auto"/>
                <w:sz w:val="24"/>
                <w:lang w:val="zh-CN"/>
              </w:rPr>
              <w:t>②连接处支护采用锚网喷+钢筋混凝土联合支护。一次支护为锚网索喷支护，喷射混凝土厚度为80mm；二次支护为钢筋混凝土砌碹支护，支护厚度为300mm。</w:t>
            </w:r>
          </w:p>
          <w:p w14:paraId="6CF48AA5">
            <w:pPr>
              <w:widowControl/>
              <w:spacing w:line="500" w:lineRule="exact"/>
              <w:ind w:firstLine="480" w:firstLineChars="200"/>
              <w:rPr>
                <w:color w:val="auto"/>
                <w:sz w:val="24"/>
                <w:lang w:val="zh-CN"/>
              </w:rPr>
            </w:pPr>
            <w:r>
              <w:rPr>
                <w:color w:val="auto"/>
                <w:sz w:val="24"/>
                <w:lang w:val="zh-CN"/>
              </w:rPr>
              <w:t>③锚杆为左螺旋无纵筋螺纹钢筋锚杆，规格为Φ22×2400mm，间排距为800×800mm，锚索为高强度低松弛预应力钢绞线，间排距1.6×0.8m，公称直径21.6mm，长度8.3m。</w:t>
            </w:r>
          </w:p>
          <w:p w14:paraId="5D145F1A">
            <w:pPr>
              <w:widowControl/>
              <w:spacing w:line="500" w:lineRule="exact"/>
              <w:ind w:firstLine="480" w:firstLineChars="200"/>
              <w:rPr>
                <w:color w:val="auto"/>
                <w:sz w:val="24"/>
                <w:lang w:val="zh-CN"/>
              </w:rPr>
            </w:pPr>
            <w:r>
              <w:rPr>
                <w:color w:val="auto"/>
                <w:sz w:val="24"/>
                <w:lang w:val="zh-CN"/>
              </w:rPr>
              <w:t>④钢筋混凝土强度等级为C50，喷射混凝土及铺底混凝土强度等级为C20，构筑水沟混凝土强度等级为C20。</w:t>
            </w:r>
          </w:p>
          <w:p w14:paraId="36372601">
            <w:pPr>
              <w:widowControl/>
              <w:spacing w:line="500" w:lineRule="exact"/>
              <w:ind w:firstLine="480" w:firstLineChars="200"/>
              <w:rPr>
                <w:color w:val="auto"/>
                <w:sz w:val="24"/>
                <w:lang w:val="zh-CN"/>
              </w:rPr>
            </w:pPr>
            <w:r>
              <w:rPr>
                <w:color w:val="auto"/>
                <w:sz w:val="24"/>
                <w:lang w:val="zh-CN"/>
              </w:rPr>
              <w:t>⑤施工过程中支护方式可根据岩层揭露情况进行加强支护。</w:t>
            </w:r>
          </w:p>
          <w:p w14:paraId="1178ED86">
            <w:pPr>
              <w:widowControl/>
              <w:spacing w:line="500" w:lineRule="exact"/>
              <w:ind w:firstLine="480" w:firstLineChars="200"/>
              <w:rPr>
                <w:color w:val="auto"/>
                <w:sz w:val="24"/>
              </w:rPr>
            </w:pPr>
            <w:r>
              <w:rPr>
                <w:rFonts w:hint="eastAsia"/>
                <w:color w:val="auto"/>
                <w:sz w:val="24"/>
              </w:rPr>
              <w:t>3、巷道工程量</w:t>
            </w:r>
          </w:p>
          <w:p w14:paraId="14336A26">
            <w:pPr>
              <w:widowControl/>
              <w:spacing w:line="500" w:lineRule="exact"/>
              <w:ind w:firstLine="480" w:firstLineChars="200"/>
              <w:rPr>
                <w:color w:val="auto"/>
                <w:sz w:val="24"/>
                <w:lang w:val="zh-CN"/>
              </w:rPr>
            </w:pPr>
            <w:r>
              <w:rPr>
                <w:rFonts w:hint="eastAsia"/>
                <w:color w:val="auto"/>
                <w:sz w:val="24"/>
                <w:lang w:val="zh-CN"/>
              </w:rPr>
              <w:t>设计在新</w:t>
            </w:r>
            <w:r>
              <w:rPr>
                <w:rFonts w:hint="eastAsia"/>
                <w:color w:val="auto"/>
                <w:sz w:val="24"/>
                <w:lang w:val="en-US" w:eastAsia="zh-CN"/>
              </w:rPr>
              <w:t>增</w:t>
            </w:r>
            <w:r>
              <w:rPr>
                <w:rFonts w:hint="eastAsia"/>
                <w:color w:val="auto"/>
                <w:sz w:val="24"/>
                <w:lang w:val="zh-CN"/>
              </w:rPr>
              <w:t>进、回风立井井底分别布置两条进、回风联络巷，与5-1煤辅助运输大巷和5-1煤回风大巷相连。新增进、回风联络巷采用矩形断面，巷道净宽5.4m，净高3.5m，净面积18.9m</w:t>
            </w:r>
            <w:r>
              <w:rPr>
                <w:rFonts w:hint="eastAsia"/>
                <w:color w:val="auto"/>
                <w:sz w:val="24"/>
                <w:vertAlign w:val="superscript"/>
                <w:lang w:val="zh-CN"/>
              </w:rPr>
              <w:t>2</w:t>
            </w:r>
            <w:r>
              <w:rPr>
                <w:rFonts w:hint="eastAsia"/>
                <w:color w:val="auto"/>
                <w:sz w:val="24"/>
                <w:lang w:val="zh-CN"/>
              </w:rPr>
              <w:t>，支护形式采用锚网喷+锚索+钢筋梁复合支护，喷厚100mm。</w:t>
            </w:r>
          </w:p>
          <w:p w14:paraId="749C9F01">
            <w:pPr>
              <w:widowControl/>
              <w:spacing w:line="500" w:lineRule="exact"/>
              <w:ind w:firstLine="480" w:firstLineChars="200"/>
              <w:rPr>
                <w:bCs/>
                <w:color w:val="auto"/>
                <w:sz w:val="24"/>
              </w:rPr>
            </w:pPr>
            <w:r>
              <w:rPr>
                <w:bCs/>
                <w:color w:val="auto"/>
                <w:sz w:val="24"/>
              </w:rPr>
              <w:t>二号</w:t>
            </w:r>
            <w:r>
              <w:rPr>
                <w:rFonts w:hint="eastAsia"/>
                <w:bCs/>
                <w:color w:val="auto"/>
                <w:sz w:val="24"/>
              </w:rPr>
              <w:t>进、</w:t>
            </w:r>
            <w:r>
              <w:rPr>
                <w:bCs/>
                <w:color w:val="auto"/>
                <w:sz w:val="24"/>
              </w:rPr>
              <w:t>回风立井移交时，巷道总长度为4244m，其中煤巷1128m、半煤岩巷2516m、岩巷600m。</w:t>
            </w:r>
          </w:p>
          <w:p w14:paraId="008B5A37">
            <w:pPr>
              <w:widowControl/>
              <w:spacing w:line="500" w:lineRule="exact"/>
              <w:ind w:firstLine="480" w:firstLineChars="200"/>
              <w:rPr>
                <w:bCs/>
                <w:color w:val="auto"/>
                <w:sz w:val="24"/>
                <w:lang w:val="zh-CN"/>
              </w:rPr>
            </w:pPr>
            <w:r>
              <w:rPr>
                <w:rFonts w:hint="eastAsia"/>
                <w:bCs/>
                <w:color w:val="auto"/>
                <w:sz w:val="24"/>
              </w:rPr>
              <w:t>4、</w:t>
            </w:r>
            <w:r>
              <w:rPr>
                <w:bCs/>
                <w:color w:val="auto"/>
                <w:sz w:val="24"/>
                <w:lang w:val="zh-CN"/>
              </w:rPr>
              <w:t>主体工程施工</w:t>
            </w:r>
          </w:p>
          <w:p w14:paraId="27691FE4">
            <w:pPr>
              <w:widowControl/>
              <w:spacing w:line="500" w:lineRule="exact"/>
              <w:ind w:firstLine="480" w:firstLineChars="200"/>
              <w:rPr>
                <w:color w:val="auto"/>
              </w:rPr>
            </w:pPr>
            <w:r>
              <w:rPr>
                <w:bCs/>
                <w:color w:val="auto"/>
                <w:sz w:val="24"/>
                <w:lang w:val="zh-CN"/>
              </w:rPr>
              <w:t>基础施工时采用反铲挖掘机挖土，人工配合修整边坡，采用自卸汽车运土。挖至设计标高上方0.3m时停止机械作业，采用人工进行基槽清理。挖出的土方集中堆放，多余土方用于风井工业场地内场地平整。回填土方工程采用机械和人工相结合的施工方法，土方由挖掘机装土，自卸汽车运土，推土机铺土、用振动碾压机碾压，边缘压实不符合要求处，辅以人工和电动冲击夯实。</w:t>
            </w:r>
          </w:p>
        </w:tc>
      </w:tr>
      <w:tr w14:paraId="5FFA48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22" w:hRule="atLeast"/>
        </w:trPr>
        <w:tc>
          <w:tcPr>
            <w:tcW w:w="765" w:type="dxa"/>
            <w:vAlign w:val="center"/>
          </w:tcPr>
          <w:p w14:paraId="13747D68">
            <w:pPr>
              <w:adjustRightInd w:val="0"/>
              <w:snapToGrid w:val="0"/>
              <w:jc w:val="center"/>
              <w:rPr>
                <w:rFonts w:ascii="宋体" w:hAnsi="宋体" w:cs="宋体"/>
                <w:color w:val="auto"/>
                <w:kern w:val="0"/>
                <w:sz w:val="24"/>
              </w:rPr>
            </w:pPr>
            <w:r>
              <w:rPr>
                <w:rFonts w:hint="eastAsia" w:ascii="宋体" w:hAnsi="宋体" w:cs="宋体"/>
                <w:color w:val="auto"/>
                <w:kern w:val="0"/>
                <w:sz w:val="24"/>
              </w:rPr>
              <w:t>其他</w:t>
            </w:r>
          </w:p>
        </w:tc>
        <w:tc>
          <w:tcPr>
            <w:tcW w:w="8295" w:type="dxa"/>
            <w:vAlign w:val="center"/>
          </w:tcPr>
          <w:p w14:paraId="6CC56FA8">
            <w:pPr>
              <w:adjustRightInd w:val="0"/>
              <w:snapToGrid w:val="0"/>
              <w:jc w:val="center"/>
              <w:rPr>
                <w:rFonts w:ascii="宋体" w:hAnsi="宋体" w:cs="宋体"/>
                <w:color w:val="auto"/>
                <w:kern w:val="0"/>
                <w:sz w:val="24"/>
              </w:rPr>
            </w:pPr>
            <w:r>
              <w:rPr>
                <w:rFonts w:hint="eastAsia" w:ascii="宋体" w:hAnsi="宋体" w:cs="宋体"/>
                <w:color w:val="auto"/>
                <w:kern w:val="0"/>
                <w:sz w:val="24"/>
                <w:szCs w:val="24"/>
              </w:rPr>
              <w:t>无</w:t>
            </w:r>
          </w:p>
        </w:tc>
      </w:tr>
    </w:tbl>
    <w:p w14:paraId="2C7C2823">
      <w:pPr>
        <w:pStyle w:val="25"/>
        <w:jc w:val="center"/>
        <w:outlineLvl w:val="0"/>
        <w:rPr>
          <w:rFonts w:ascii="黑体" w:hAnsi="黑体" w:eastAsia="黑体"/>
          <w:snapToGrid w:val="0"/>
          <w:color w:val="auto"/>
          <w:sz w:val="30"/>
          <w:szCs w:val="30"/>
        </w:rPr>
      </w:pPr>
      <w:r>
        <w:rPr>
          <w:rFonts w:eastAsia="仿宋_GB2312"/>
          <w:b/>
          <w:bCs/>
          <w:color w:val="auto"/>
        </w:rPr>
        <w:br w:type="page"/>
      </w:r>
      <w:r>
        <w:rPr>
          <w:rFonts w:hint="eastAsia" w:ascii="黑体" w:hAnsi="黑体" w:eastAsia="黑体"/>
          <w:snapToGrid w:val="0"/>
          <w:color w:val="auto"/>
          <w:sz w:val="30"/>
          <w:szCs w:val="30"/>
        </w:rPr>
        <w:t>三、生态环境现状、保护目标及评价标准</w:t>
      </w:r>
    </w:p>
    <w:tbl>
      <w:tblPr>
        <w:tblStyle w:val="29"/>
        <w:tblW w:w="536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8684"/>
      </w:tblGrid>
      <w:tr w14:paraId="75ECB7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248" w:type="pct"/>
            <w:vAlign w:val="center"/>
          </w:tcPr>
          <w:p w14:paraId="0919562B">
            <w:pPr>
              <w:adjustRightInd w:val="0"/>
              <w:snapToGrid w:val="0"/>
              <w:jc w:val="center"/>
              <w:rPr>
                <w:rFonts w:ascii="宋体" w:hAnsi="宋体" w:cs="宋体"/>
                <w:color w:val="auto"/>
                <w:kern w:val="0"/>
                <w:szCs w:val="21"/>
              </w:rPr>
            </w:pPr>
            <w:r>
              <w:rPr>
                <w:rFonts w:hint="eastAsia" w:ascii="宋体" w:hAnsi="宋体" w:cs="宋体"/>
                <w:color w:val="auto"/>
                <w:kern w:val="0"/>
                <w:sz w:val="24"/>
              </w:rPr>
              <w:t>生态环境现状</w:t>
            </w:r>
          </w:p>
        </w:tc>
        <w:tc>
          <w:tcPr>
            <w:tcW w:w="4751" w:type="pct"/>
            <w:vAlign w:val="center"/>
          </w:tcPr>
          <w:p w14:paraId="3FBF6D0D">
            <w:pPr>
              <w:spacing w:line="500" w:lineRule="exact"/>
              <w:ind w:firstLine="482" w:firstLineChars="200"/>
              <w:rPr>
                <w:b/>
                <w:bCs/>
                <w:color w:val="auto"/>
                <w:sz w:val="24"/>
              </w:rPr>
            </w:pPr>
            <w:r>
              <w:rPr>
                <w:rFonts w:hint="eastAsia"/>
                <w:b/>
                <w:bCs/>
                <w:color w:val="auto"/>
                <w:sz w:val="24"/>
              </w:rPr>
              <w:t>一、生态环境现状</w:t>
            </w:r>
          </w:p>
          <w:p w14:paraId="5A9854EA">
            <w:pPr>
              <w:spacing w:line="500" w:lineRule="exact"/>
              <w:ind w:firstLine="480" w:firstLineChars="200"/>
              <w:rPr>
                <w:color w:val="auto"/>
                <w:sz w:val="24"/>
              </w:rPr>
            </w:pPr>
            <w:r>
              <w:rPr>
                <w:rFonts w:hint="eastAsia"/>
                <w:color w:val="auto"/>
                <w:sz w:val="24"/>
              </w:rPr>
              <w:t>本项目位于</w:t>
            </w:r>
            <w:r>
              <w:rPr>
                <w:color w:val="auto"/>
                <w:sz w:val="24"/>
              </w:rPr>
              <w:t>鄂尔多斯市东胜区罕台镇查干</w:t>
            </w:r>
            <w:r>
              <w:rPr>
                <w:rFonts w:hint="eastAsia"/>
                <w:color w:val="auto"/>
                <w:sz w:val="24"/>
              </w:rPr>
              <w:t>布拉格</w:t>
            </w:r>
            <w:r>
              <w:rPr>
                <w:color w:val="auto"/>
                <w:sz w:val="24"/>
              </w:rPr>
              <w:t>村</w:t>
            </w:r>
            <w:r>
              <w:rPr>
                <w:rFonts w:hint="eastAsia"/>
                <w:color w:val="auto"/>
                <w:sz w:val="24"/>
              </w:rPr>
              <w:t>。根据《</w:t>
            </w:r>
            <w:r>
              <w:rPr>
                <w:rFonts w:ascii="宋体" w:hAnsi="宋体" w:cs="宋体"/>
                <w:color w:val="auto"/>
                <w:sz w:val="24"/>
              </w:rPr>
              <w:t>内蒙古自治区</w:t>
            </w:r>
            <w:r>
              <w:rPr>
                <w:rFonts w:hint="eastAsia" w:ascii="宋体" w:hAnsi="宋体" w:cs="宋体"/>
                <w:color w:val="auto"/>
                <w:sz w:val="24"/>
              </w:rPr>
              <w:t>主体功能区规划》，本项</w:t>
            </w:r>
            <w:r>
              <w:rPr>
                <w:rFonts w:hint="eastAsia"/>
                <w:color w:val="auto"/>
                <w:sz w:val="24"/>
              </w:rPr>
              <w:t>目属于国家级重点开发区域。根据</w:t>
            </w:r>
            <w:r>
              <w:rPr>
                <w:color w:val="auto"/>
                <w:sz w:val="24"/>
              </w:rPr>
              <w:t>《鄂尔多斯市生态功能区划》，本项目所在区域属鄂尔多斯高原典型草原沙漠化控制生态功能区，主导生态功能为沙漠化控制和水土保持生态功能。</w:t>
            </w:r>
          </w:p>
          <w:p w14:paraId="6D7B025B">
            <w:pPr>
              <w:pStyle w:val="27"/>
              <w:spacing w:before="0" w:after="0" w:line="500" w:lineRule="exact"/>
              <w:ind w:right="0" w:firstLine="480" w:firstLineChars="200"/>
              <w:rPr>
                <w:color w:val="auto"/>
                <w:sz w:val="24"/>
                <w:szCs w:val="24"/>
              </w:rPr>
            </w:pPr>
            <w:r>
              <w:rPr>
                <w:rFonts w:hint="eastAsia"/>
                <w:color w:val="auto"/>
                <w:sz w:val="24"/>
                <w:szCs w:val="24"/>
              </w:rPr>
              <w:t>本项目生态现状调查遥感解译使用的信息源为landsat9卫星，利用5、4、3波段合成假彩色，后与8波段融合，空间分辨率为15m，影像成像时间为2024年8月。选取这一时间段遥感数据，主要是考虑到这一时间段的地表类型差异是一年中最明显的时候，该时间段具有地物区分显著、地表信息丰富的特点，同时影像云量&lt;10%，有利于对各生态环境因子的判断。同时结合2024年航拍图和现状调查，对项目区进行遥感解译。</w:t>
            </w:r>
          </w:p>
          <w:p w14:paraId="142DBB9B">
            <w:pPr>
              <w:adjustRightInd w:val="0"/>
              <w:snapToGrid w:val="0"/>
              <w:spacing w:line="500" w:lineRule="exact"/>
              <w:ind w:firstLine="480" w:firstLineChars="200"/>
              <w:rPr>
                <w:color w:val="auto"/>
                <w:sz w:val="24"/>
              </w:rPr>
            </w:pPr>
            <w:r>
              <w:rPr>
                <w:rFonts w:hint="eastAsia"/>
                <w:color w:val="auto"/>
                <w:sz w:val="24"/>
              </w:rPr>
              <w:t>（1）</w:t>
            </w:r>
            <w:r>
              <w:rPr>
                <w:color w:val="auto"/>
                <w:sz w:val="24"/>
              </w:rPr>
              <w:t>土地利用现状</w:t>
            </w:r>
          </w:p>
          <w:p w14:paraId="5BC899D2">
            <w:pPr>
              <w:pStyle w:val="5"/>
              <w:spacing w:before="0" w:after="0" w:line="500" w:lineRule="exact"/>
              <w:ind w:right="0" w:firstLine="480" w:firstLineChars="200"/>
              <w:rPr>
                <w:color w:val="auto"/>
                <w:sz w:val="24"/>
                <w:szCs w:val="24"/>
              </w:rPr>
            </w:pPr>
            <w:r>
              <w:rPr>
                <w:color w:val="auto"/>
                <w:sz w:val="24"/>
                <w:szCs w:val="24"/>
              </w:rPr>
              <w:t>参照国土部门GB/T21010</w:t>
            </w:r>
            <w:r>
              <w:rPr>
                <w:rFonts w:hint="eastAsia"/>
                <w:color w:val="auto"/>
                <w:sz w:val="24"/>
                <w:szCs w:val="24"/>
              </w:rPr>
              <w:t>-</w:t>
            </w:r>
            <w:r>
              <w:rPr>
                <w:color w:val="auto"/>
                <w:sz w:val="24"/>
                <w:szCs w:val="24"/>
              </w:rPr>
              <w:t>2017土地利用分类</w:t>
            </w:r>
            <w:r>
              <w:rPr>
                <w:rFonts w:hint="eastAsia"/>
                <w:color w:val="auto"/>
                <w:sz w:val="24"/>
                <w:szCs w:val="24"/>
              </w:rPr>
              <w:t>，</w:t>
            </w:r>
            <w:r>
              <w:rPr>
                <w:color w:val="auto"/>
                <w:sz w:val="24"/>
                <w:szCs w:val="24"/>
              </w:rPr>
              <w:t>通过遥感解译对本项目区内的土地利用类型现状分析，土地利用现状结果统计见表3</w:t>
            </w:r>
            <w:r>
              <w:rPr>
                <w:rFonts w:hint="eastAsia"/>
                <w:color w:val="auto"/>
                <w:sz w:val="24"/>
                <w:szCs w:val="24"/>
              </w:rPr>
              <w:t>-1和附图4</w:t>
            </w:r>
            <w:r>
              <w:rPr>
                <w:color w:val="auto"/>
                <w:sz w:val="24"/>
                <w:szCs w:val="24"/>
              </w:rPr>
              <w:t>。</w:t>
            </w:r>
          </w:p>
          <w:p w14:paraId="6B068489">
            <w:pPr>
              <w:pStyle w:val="5"/>
              <w:spacing w:before="0" w:after="0" w:line="500" w:lineRule="exact"/>
              <w:ind w:right="0"/>
              <w:jc w:val="center"/>
              <w:rPr>
                <w:b/>
                <w:bCs/>
                <w:color w:val="auto"/>
                <w:sz w:val="24"/>
                <w:szCs w:val="24"/>
              </w:rPr>
            </w:pPr>
            <w:r>
              <w:rPr>
                <w:b/>
                <w:bCs/>
                <w:color w:val="auto"/>
                <w:sz w:val="24"/>
                <w:szCs w:val="24"/>
              </w:rPr>
              <w:t>表3</w:t>
            </w:r>
            <w:r>
              <w:rPr>
                <w:rFonts w:hint="eastAsia"/>
                <w:b/>
                <w:bCs/>
                <w:color w:val="auto"/>
                <w:sz w:val="24"/>
                <w:szCs w:val="24"/>
              </w:rPr>
              <w:t>-</w:t>
            </w:r>
            <w:r>
              <w:rPr>
                <w:b/>
                <w:bCs/>
                <w:color w:val="auto"/>
                <w:sz w:val="24"/>
                <w:szCs w:val="24"/>
              </w:rPr>
              <w:t>1</w:t>
            </w:r>
            <w:r>
              <w:rPr>
                <w:rFonts w:hint="eastAsia"/>
                <w:b/>
                <w:bCs/>
                <w:color w:val="auto"/>
                <w:sz w:val="24"/>
                <w:szCs w:val="24"/>
              </w:rPr>
              <w:t xml:space="preserve">    </w:t>
            </w:r>
            <w:r>
              <w:rPr>
                <w:b/>
                <w:bCs/>
                <w:color w:val="auto"/>
                <w:sz w:val="24"/>
                <w:szCs w:val="24"/>
              </w:rPr>
              <w:t>土地利用现状统计结果</w:t>
            </w:r>
          </w:p>
          <w:tbl>
            <w:tblPr>
              <w:tblStyle w:val="29"/>
              <w:tblW w:w="82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500"/>
              <w:gridCol w:w="1290"/>
              <w:gridCol w:w="1320"/>
              <w:gridCol w:w="1381"/>
              <w:gridCol w:w="1440"/>
              <w:gridCol w:w="1334"/>
            </w:tblGrid>
            <w:tr w14:paraId="7DAF6BF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168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0F3E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土地利用类型</w:t>
                  </w:r>
                </w:p>
              </w:tc>
              <w:tc>
                <w:tcPr>
                  <w:tcW w:w="1633"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32A711">
                  <w:pPr>
                    <w:widowControl/>
                    <w:spacing w:line="320" w:lineRule="exact"/>
                    <w:jc w:val="center"/>
                    <w:textAlignment w:val="center"/>
                    <w:rPr>
                      <w:rFonts w:hint="default" w:ascii="Times New Roman" w:hAnsi="Times New Roman" w:eastAsia="宋体" w:cs="Times New Roman"/>
                      <w:i w:val="0"/>
                      <w:iCs w:val="0"/>
                      <w:color w:val="auto"/>
                      <w:sz w:val="21"/>
                      <w:szCs w:val="21"/>
                      <w:u w:val="none"/>
                    </w:rPr>
                  </w:pPr>
                  <w:r>
                    <w:rPr>
                      <w:rStyle w:val="69"/>
                      <w:rFonts w:hint="default" w:ascii="Times New Roman" w:hAnsi="Times New Roman" w:cs="Times New Roman"/>
                      <w:color w:val="auto"/>
                      <w:sz w:val="21"/>
                      <w:szCs w:val="21"/>
                    </w:rPr>
                    <w:t>项目范围</w:t>
                  </w:r>
                </w:p>
              </w:tc>
              <w:tc>
                <w:tcPr>
                  <w:tcW w:w="1678"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E0DD9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评价范围（外扩500m</w:t>
                  </w:r>
                  <w:r>
                    <w:rPr>
                      <w:rFonts w:hint="eastAsia" w:eastAsia="宋体" w:cs="Times New Roman"/>
                      <w:i w:val="0"/>
                      <w:iCs w:val="0"/>
                      <w:color w:val="auto"/>
                      <w:kern w:val="0"/>
                      <w:sz w:val="21"/>
                      <w:szCs w:val="21"/>
                      <w:u w:val="none"/>
                      <w:lang w:val="en-US" w:eastAsia="zh-CN" w:bidi="ar"/>
                    </w:rPr>
                    <w:t>）</w:t>
                  </w:r>
                </w:p>
              </w:tc>
            </w:tr>
            <w:tr w14:paraId="74A7C27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B2664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一级类</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BCA38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二级类</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42E55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面积（</w:t>
                  </w:r>
                  <w:r>
                    <w:rPr>
                      <w:rStyle w:val="74"/>
                      <w:rFonts w:hint="default" w:ascii="Times New Roman" w:hAnsi="Times New Roman" w:eastAsia="宋体" w:cs="Times New Roman"/>
                      <w:color w:val="auto"/>
                      <w:sz w:val="21"/>
                      <w:szCs w:val="21"/>
                      <w:lang w:val="en-US" w:eastAsia="zh-CN" w:bidi="ar"/>
                    </w:rPr>
                    <w:t>hm</w:t>
                  </w:r>
                  <w:r>
                    <w:rPr>
                      <w:rStyle w:val="74"/>
                      <w:rFonts w:hint="default" w:ascii="Times New Roman" w:hAnsi="Times New Roman" w:eastAsia="宋体" w:cs="Times New Roman"/>
                      <w:color w:val="auto"/>
                      <w:sz w:val="21"/>
                      <w:szCs w:val="21"/>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w:t>
                  </w: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2121B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百分比（</w:t>
                  </w:r>
                  <w:r>
                    <w:rPr>
                      <w:rStyle w:val="74"/>
                      <w:rFonts w:hint="default" w:ascii="Times New Roman" w:hAnsi="Times New Roman" w:eastAsia="宋体" w:cs="Times New Roman"/>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15F0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面积（</w:t>
                  </w:r>
                  <w:r>
                    <w:rPr>
                      <w:rStyle w:val="74"/>
                      <w:rFonts w:hint="default" w:ascii="Times New Roman" w:hAnsi="Times New Roman" w:eastAsia="宋体" w:cs="Times New Roman"/>
                      <w:color w:val="auto"/>
                      <w:sz w:val="21"/>
                      <w:szCs w:val="21"/>
                      <w:lang w:val="en-US" w:eastAsia="zh-CN" w:bidi="ar"/>
                    </w:rPr>
                    <w:t>hm</w:t>
                  </w:r>
                  <w:r>
                    <w:rPr>
                      <w:rStyle w:val="74"/>
                      <w:rFonts w:hint="default" w:ascii="Times New Roman" w:hAnsi="Times New Roman" w:eastAsia="宋体" w:cs="Times New Roman"/>
                      <w:color w:val="auto"/>
                      <w:sz w:val="21"/>
                      <w:szCs w:val="21"/>
                      <w:vertAlign w:val="superscript"/>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BF2BB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百分比（</w:t>
                  </w:r>
                  <w:r>
                    <w:rPr>
                      <w:rStyle w:val="74"/>
                      <w:rFonts w:hint="default" w:ascii="Times New Roman" w:hAnsi="Times New Roman" w:eastAsia="宋体" w:cs="Times New Roman"/>
                      <w:color w:val="auto"/>
                      <w:sz w:val="21"/>
                      <w:szCs w:val="21"/>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w:t>
                  </w:r>
                </w:p>
              </w:tc>
            </w:tr>
            <w:tr w14:paraId="5A657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41C3D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林地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4B3D24">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乔木林地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F9BF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0.708</w:t>
                  </w:r>
                  <w:r>
                    <w:rPr>
                      <w:rFonts w:hint="default" w:ascii="Times New Roman" w:hAnsi="Times New Roman" w:cs="Times New Roman"/>
                      <w:i w:val="0"/>
                      <w:iCs w:val="0"/>
                      <w:color w:val="auto"/>
                      <w:kern w:val="0"/>
                      <w:sz w:val="21"/>
                      <w:szCs w:val="21"/>
                      <w:u w:val="none"/>
                      <w:lang w:val="en-US" w:eastAsia="zh-CN" w:bidi="ar"/>
                    </w:rPr>
                    <w:t>4</w:t>
                  </w: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4C0D4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65.769 </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08B11B">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14.697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3ECD1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14.697 </w:t>
                  </w:r>
                </w:p>
              </w:tc>
            </w:tr>
            <w:tr w14:paraId="27C53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7" w:hRule="atLeast"/>
                <w:jc w:val="center"/>
              </w:trPr>
              <w:tc>
                <w:tcPr>
                  <w:tcW w:w="9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424654">
                  <w:pPr>
                    <w:jc w:val="center"/>
                    <w:rPr>
                      <w:rFonts w:hint="default" w:ascii="Times New Roman" w:hAnsi="Times New Roman" w:eastAsia="宋体" w:cs="Times New Roman"/>
                      <w:i w:val="0"/>
                      <w:iCs w:val="0"/>
                      <w:color w:val="auto"/>
                      <w:sz w:val="21"/>
                      <w:szCs w:val="21"/>
                      <w:u w:val="none"/>
                    </w:rPr>
                  </w:pP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0C3E3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灌木林地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01AD1">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45EF8D">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4BCD95">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6.312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BD4DC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6.312 </w:t>
                  </w:r>
                </w:p>
              </w:tc>
            </w:tr>
            <w:tr w14:paraId="36816F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7" w:hRule="atLeast"/>
                <w:jc w:val="center"/>
              </w:trPr>
              <w:tc>
                <w:tcPr>
                  <w:tcW w:w="90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D9AE1C">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草地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C3AE72">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天然牧草地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318D2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0.079</w:t>
                  </w:r>
                  <w:r>
                    <w:rPr>
                      <w:rFonts w:hint="default" w:ascii="Times New Roman" w:hAnsi="Times New Roman" w:cs="Times New Roman"/>
                      <w:i w:val="0"/>
                      <w:iCs w:val="0"/>
                      <w:color w:val="auto"/>
                      <w:kern w:val="0"/>
                      <w:sz w:val="21"/>
                      <w:szCs w:val="21"/>
                      <w:u w:val="none"/>
                      <w:lang w:val="en-US" w:eastAsia="zh-CN" w:bidi="ar"/>
                    </w:rPr>
                    <w:t>4</w:t>
                  </w: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E9E7E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7.372 </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B2E71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54.581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8278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54.581 </w:t>
                  </w:r>
                </w:p>
              </w:tc>
            </w:tr>
            <w:tr w14:paraId="183DF27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13D257">
                  <w:pPr>
                    <w:jc w:val="center"/>
                    <w:rPr>
                      <w:rFonts w:hint="default" w:ascii="Times New Roman" w:hAnsi="Times New Roman" w:eastAsia="宋体" w:cs="Times New Roman"/>
                      <w:i w:val="0"/>
                      <w:iCs w:val="0"/>
                      <w:color w:val="auto"/>
                      <w:sz w:val="21"/>
                      <w:szCs w:val="21"/>
                      <w:u w:val="none"/>
                    </w:rPr>
                  </w:pP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D5E83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其他草地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B450E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0.28</w:t>
                  </w:r>
                  <w:r>
                    <w:rPr>
                      <w:rFonts w:hint="default" w:ascii="Times New Roman" w:hAnsi="Times New Roman" w:cs="Times New Roman"/>
                      <w:i w:val="0"/>
                      <w:iCs w:val="0"/>
                      <w:color w:val="auto"/>
                      <w:kern w:val="0"/>
                      <w:sz w:val="21"/>
                      <w:szCs w:val="21"/>
                      <w:u w:val="none"/>
                      <w:lang w:val="en-US" w:eastAsia="zh-CN" w:bidi="ar"/>
                    </w:rPr>
                    <w:t>47</w:t>
                  </w: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6307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26.432 </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9BCDC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0.513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4CA09F">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0.513 </w:t>
                  </w:r>
                </w:p>
              </w:tc>
            </w:tr>
            <w:tr w14:paraId="444EF68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51DB23">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耕地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8A60E">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旱地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D3E37">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6C5F07">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C6DD0C">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12.153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CEC01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12.153 </w:t>
                  </w:r>
                </w:p>
              </w:tc>
            </w:tr>
            <w:tr w14:paraId="07E7F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4A4580">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住宅用地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182F4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农村宅基地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A48BC3">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AF3B02">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A9520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0.672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DE4921">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0.672 </w:t>
                  </w:r>
                </w:p>
              </w:tc>
            </w:tr>
            <w:tr w14:paraId="45A6BA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22841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工矿仓储用地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7319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工业用地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EA8075">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5C4713">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F2F12F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1.626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CC73B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1.626 </w:t>
                  </w:r>
                </w:p>
              </w:tc>
            </w:tr>
            <w:tr w14:paraId="68E98F2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A28E6E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交通运输用地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196F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农村道路</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876280">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0.0046 </w:t>
                  </w: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A1B7A">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0.427 </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7A2E57">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2.072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4CE0D">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2.072 </w:t>
                  </w:r>
                </w:p>
              </w:tc>
            </w:tr>
            <w:tr w14:paraId="109D6D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544B51">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水域及水利设施用地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604777F">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坑塘水面</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4C4C97">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E54CEB4">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13DCB8">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0.244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7ECB32">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0.244 </w:t>
                  </w:r>
                </w:p>
              </w:tc>
            </w:tr>
            <w:tr w14:paraId="575573A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9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D7B0A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其他土地</w:t>
                  </w:r>
                </w:p>
              </w:tc>
              <w:tc>
                <w:tcPr>
                  <w:tcW w:w="7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C91E1D">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设施农用地</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5FE70A">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5047A4C">
                  <w:pPr>
                    <w:jc w:val="center"/>
                    <w:rPr>
                      <w:rFonts w:hint="default" w:ascii="Times New Roman" w:hAnsi="Times New Roman" w:eastAsia="宋体" w:cs="Times New Roman"/>
                      <w:i w:val="0"/>
                      <w:iCs w:val="0"/>
                      <w:color w:val="auto"/>
                      <w:kern w:val="2"/>
                      <w:sz w:val="21"/>
                      <w:szCs w:val="21"/>
                      <w:u w:val="none"/>
                      <w:lang w:val="en-US" w:eastAsia="zh-CN" w:bidi="ar-SA"/>
                    </w:rPr>
                  </w:pP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FA9A4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7.130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CBB553">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7.130 </w:t>
                  </w:r>
                </w:p>
              </w:tc>
            </w:tr>
            <w:tr w14:paraId="2238EAD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7" w:hRule="atLeast"/>
                <w:jc w:val="center"/>
              </w:trPr>
              <w:tc>
                <w:tcPr>
                  <w:tcW w:w="1687"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1822A">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合计</w:t>
                  </w:r>
                </w:p>
              </w:tc>
              <w:tc>
                <w:tcPr>
                  <w:tcW w:w="7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DCCDD5">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 xml:space="preserve"> 1.077</w:t>
                  </w:r>
                  <w:r>
                    <w:rPr>
                      <w:rFonts w:hint="default" w:ascii="Times New Roman" w:hAnsi="Times New Roman" w:cs="Times New Roman"/>
                      <w:i w:val="0"/>
                      <w:iCs w:val="0"/>
                      <w:color w:val="auto"/>
                      <w:kern w:val="0"/>
                      <w:sz w:val="21"/>
                      <w:szCs w:val="21"/>
                      <w:u w:val="none"/>
                      <w:lang w:val="en-US" w:eastAsia="zh-CN" w:bidi="ar"/>
                    </w:rPr>
                    <w:t>1</w:t>
                  </w:r>
                </w:p>
              </w:tc>
              <w:tc>
                <w:tcPr>
                  <w:tcW w:w="83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B74239">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100.000 </w:t>
                  </w:r>
                </w:p>
              </w:tc>
              <w:tc>
                <w:tcPr>
                  <w:tcW w:w="8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CDA9A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u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 xml:space="preserve">100.000 </w:t>
                  </w:r>
                </w:p>
              </w:tc>
              <w:tc>
                <w:tcPr>
                  <w:tcW w:w="80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1DDCF8">
                  <w:pPr>
                    <w:keepNext w:val="0"/>
                    <w:keepLines w:val="0"/>
                    <w:widowControl/>
                    <w:suppressLineNumbers w:val="0"/>
                    <w:jc w:val="center"/>
                    <w:textAlignment w:val="center"/>
                    <w:rPr>
                      <w:rFonts w:hint="default" w:ascii="Times New Roman" w:hAnsi="Times New Roman" w:eastAsia="宋体" w:cs="Times New Roman"/>
                      <w:i w:val="0"/>
                      <w:iCs w:val="0"/>
                      <w:color w:val="auto"/>
                      <w:sz w:val="21"/>
                      <w:szCs w:val="21"/>
                      <w:u w:val="none"/>
                    </w:rPr>
                  </w:pPr>
                  <w:r>
                    <w:rPr>
                      <w:rFonts w:hint="default" w:ascii="Times New Roman" w:hAnsi="Times New Roman" w:eastAsia="宋体" w:cs="Times New Roman"/>
                      <w:i w:val="0"/>
                      <w:iCs w:val="0"/>
                      <w:color w:val="auto"/>
                      <w:kern w:val="0"/>
                      <w:sz w:val="21"/>
                      <w:szCs w:val="21"/>
                      <w:u w:val="none"/>
                      <w:lang w:val="en-US" w:eastAsia="zh-CN" w:bidi="ar"/>
                    </w:rPr>
                    <w:t>100.000</w:t>
                  </w:r>
                </w:p>
              </w:tc>
            </w:tr>
          </w:tbl>
          <w:p w14:paraId="1083D895">
            <w:pPr>
              <w:pStyle w:val="5"/>
              <w:spacing w:before="0" w:after="0" w:line="500" w:lineRule="exact"/>
              <w:ind w:right="0" w:firstLine="480" w:firstLineChars="200"/>
              <w:rPr>
                <w:color w:val="auto"/>
                <w:sz w:val="24"/>
                <w:szCs w:val="24"/>
              </w:rPr>
            </w:pPr>
            <w:r>
              <w:rPr>
                <w:color w:val="auto"/>
                <w:sz w:val="24"/>
                <w:szCs w:val="24"/>
              </w:rPr>
              <w:t>由土地利用现状统计结果可知，项目区</w:t>
            </w:r>
            <w:r>
              <w:rPr>
                <w:rFonts w:hint="eastAsia"/>
                <w:color w:val="auto"/>
                <w:sz w:val="24"/>
                <w:szCs w:val="24"/>
              </w:rPr>
              <w:t>土地利用类型主要为乔木林地、天然草地、</w:t>
            </w:r>
            <w:r>
              <w:rPr>
                <w:rFonts w:hint="eastAsia"/>
                <w:color w:val="auto"/>
                <w:sz w:val="24"/>
                <w:szCs w:val="24"/>
                <w:lang w:val="en-US" w:eastAsia="zh-CN"/>
              </w:rPr>
              <w:t>其他草地和</w:t>
            </w:r>
            <w:r>
              <w:rPr>
                <w:rFonts w:hint="eastAsia"/>
                <w:color w:val="auto"/>
                <w:sz w:val="24"/>
                <w:szCs w:val="24"/>
              </w:rPr>
              <w:t>农村道路。</w:t>
            </w:r>
          </w:p>
          <w:p w14:paraId="7AAA885B">
            <w:pPr>
              <w:spacing w:line="500" w:lineRule="exact"/>
              <w:ind w:firstLine="480" w:firstLineChars="200"/>
              <w:rPr>
                <w:color w:val="auto"/>
                <w:sz w:val="24"/>
              </w:rPr>
            </w:pPr>
            <w:r>
              <w:rPr>
                <w:color w:val="auto"/>
                <w:kern w:val="0"/>
                <w:sz w:val="24"/>
              </w:rPr>
              <w:t>评价区土地利用类型以</w:t>
            </w:r>
            <w:r>
              <w:rPr>
                <w:rFonts w:hint="eastAsia"/>
                <w:color w:val="auto"/>
                <w:kern w:val="0"/>
                <w:sz w:val="24"/>
                <w:lang w:val="en-US" w:eastAsia="zh-CN"/>
              </w:rPr>
              <w:t>天然牧草地</w:t>
            </w:r>
            <w:r>
              <w:rPr>
                <w:color w:val="auto"/>
                <w:kern w:val="0"/>
                <w:sz w:val="24"/>
              </w:rPr>
              <w:t>为主，面积为54.</w:t>
            </w:r>
            <w:r>
              <w:rPr>
                <w:rFonts w:hint="eastAsia"/>
                <w:color w:val="auto"/>
                <w:kern w:val="0"/>
                <w:sz w:val="24"/>
                <w:lang w:val="en-US" w:eastAsia="zh-CN"/>
              </w:rPr>
              <w:t>581</w:t>
            </w:r>
            <w:r>
              <w:rPr>
                <w:rFonts w:hint="eastAsia"/>
                <w:color w:val="auto"/>
                <w:kern w:val="0"/>
                <w:sz w:val="24"/>
              </w:rPr>
              <w:t>h</w:t>
            </w:r>
            <w:r>
              <w:rPr>
                <w:color w:val="auto"/>
                <w:kern w:val="0"/>
                <w:sz w:val="24"/>
              </w:rPr>
              <w:t>m</w:t>
            </w:r>
            <w:r>
              <w:rPr>
                <w:color w:val="auto"/>
                <w:kern w:val="0"/>
                <w:sz w:val="24"/>
                <w:vertAlign w:val="superscript"/>
              </w:rPr>
              <w:t>2</w:t>
            </w:r>
            <w:r>
              <w:rPr>
                <w:color w:val="auto"/>
                <w:kern w:val="0"/>
                <w:sz w:val="24"/>
              </w:rPr>
              <w:t>，占评价区面积的</w:t>
            </w:r>
            <w:r>
              <w:rPr>
                <w:rFonts w:hint="eastAsia"/>
                <w:color w:val="auto"/>
                <w:kern w:val="0"/>
                <w:sz w:val="24"/>
                <w:lang w:val="en-US" w:eastAsia="zh-CN"/>
              </w:rPr>
              <w:t>54.581</w:t>
            </w:r>
            <w:r>
              <w:rPr>
                <w:color w:val="auto"/>
                <w:kern w:val="0"/>
                <w:sz w:val="24"/>
              </w:rPr>
              <w:t>%</w:t>
            </w:r>
            <w:r>
              <w:rPr>
                <w:rFonts w:hint="eastAsia"/>
                <w:color w:val="auto"/>
                <w:kern w:val="0"/>
                <w:sz w:val="24"/>
                <w:lang w:eastAsia="zh-CN"/>
              </w:rPr>
              <w:t>；</w:t>
            </w:r>
            <w:r>
              <w:rPr>
                <w:color w:val="auto"/>
                <w:kern w:val="0"/>
                <w:sz w:val="24"/>
              </w:rPr>
              <w:t>其次是乔木林地、旱地，分别占评价区面积的</w:t>
            </w:r>
            <w:r>
              <w:rPr>
                <w:rFonts w:hint="eastAsia"/>
                <w:color w:val="auto"/>
                <w:kern w:val="0"/>
                <w:sz w:val="24"/>
                <w:lang w:val="en-US" w:eastAsia="zh-CN"/>
              </w:rPr>
              <w:t>14.697</w:t>
            </w:r>
            <w:r>
              <w:rPr>
                <w:color w:val="auto"/>
                <w:sz w:val="24"/>
              </w:rPr>
              <w:t>%</w:t>
            </w:r>
            <w:r>
              <w:rPr>
                <w:rFonts w:hint="eastAsia"/>
                <w:color w:val="auto"/>
                <w:sz w:val="24"/>
              </w:rPr>
              <w:t>、12.</w:t>
            </w:r>
            <w:r>
              <w:rPr>
                <w:rFonts w:hint="eastAsia"/>
                <w:color w:val="auto"/>
                <w:sz w:val="24"/>
                <w:lang w:val="en-US" w:eastAsia="zh-CN"/>
              </w:rPr>
              <w:t>153</w:t>
            </w:r>
            <w:r>
              <w:rPr>
                <w:color w:val="auto"/>
                <w:sz w:val="24"/>
              </w:rPr>
              <w:t>%</w:t>
            </w:r>
            <w:r>
              <w:rPr>
                <w:rFonts w:hint="eastAsia"/>
                <w:color w:val="auto"/>
                <w:sz w:val="24"/>
              </w:rPr>
              <w:t>。</w:t>
            </w:r>
          </w:p>
          <w:p w14:paraId="5180B6DF">
            <w:pPr>
              <w:spacing w:line="500" w:lineRule="exact"/>
              <w:ind w:firstLine="480" w:firstLineChars="200"/>
              <w:rPr>
                <w:color w:val="auto"/>
                <w:kern w:val="0"/>
                <w:sz w:val="24"/>
              </w:rPr>
            </w:pPr>
            <w:r>
              <w:rPr>
                <w:rFonts w:hint="eastAsia"/>
                <w:color w:val="auto"/>
                <w:kern w:val="0"/>
                <w:sz w:val="24"/>
              </w:rPr>
              <w:t>（2）植被类型</w:t>
            </w:r>
          </w:p>
          <w:p w14:paraId="31527D01">
            <w:pPr>
              <w:spacing w:line="500" w:lineRule="exact"/>
              <w:ind w:firstLine="480" w:firstLineChars="200"/>
              <w:rPr>
                <w:color w:val="auto"/>
                <w:kern w:val="0"/>
                <w:sz w:val="24"/>
              </w:rPr>
            </w:pPr>
            <w:r>
              <w:rPr>
                <w:color w:val="auto"/>
                <w:kern w:val="0"/>
                <w:sz w:val="24"/>
              </w:rPr>
              <w:t>据资料收集、现场踏勘及遥感解译可知，主要植被类型以典型</w:t>
            </w:r>
            <w:r>
              <w:rPr>
                <w:rFonts w:hint="eastAsia"/>
                <w:color w:val="auto"/>
                <w:kern w:val="0"/>
                <w:sz w:val="24"/>
              </w:rPr>
              <w:t>草原</w:t>
            </w:r>
            <w:r>
              <w:rPr>
                <w:color w:val="auto"/>
                <w:kern w:val="0"/>
                <w:sz w:val="24"/>
              </w:rPr>
              <w:t>植被为主，优势种</w:t>
            </w:r>
            <w:r>
              <w:rPr>
                <w:rFonts w:hint="eastAsia"/>
                <w:color w:val="auto"/>
                <w:kern w:val="0"/>
                <w:sz w:val="24"/>
              </w:rPr>
              <w:t>为</w:t>
            </w:r>
            <w:r>
              <w:rPr>
                <w:color w:val="auto"/>
                <w:kern w:val="0"/>
                <w:sz w:val="24"/>
              </w:rPr>
              <w:t>本氏针茅群落，根据实地调查与资料记载，本区域无濒危植物。植被类型现状结果统计见表3</w:t>
            </w:r>
            <w:r>
              <w:rPr>
                <w:rFonts w:hint="eastAsia"/>
                <w:color w:val="auto"/>
                <w:kern w:val="0"/>
                <w:sz w:val="24"/>
              </w:rPr>
              <w:t>-2和附图5</w:t>
            </w:r>
            <w:r>
              <w:rPr>
                <w:color w:val="auto"/>
                <w:kern w:val="0"/>
                <w:sz w:val="24"/>
              </w:rPr>
              <w:t>。</w:t>
            </w:r>
          </w:p>
          <w:p w14:paraId="3B7EE7C0">
            <w:pPr>
              <w:pStyle w:val="5"/>
              <w:spacing w:before="0" w:after="0" w:line="500" w:lineRule="exact"/>
              <w:ind w:right="0"/>
              <w:jc w:val="center"/>
              <w:rPr>
                <w:b/>
                <w:bCs/>
                <w:color w:val="auto"/>
                <w:sz w:val="24"/>
                <w:szCs w:val="24"/>
              </w:rPr>
            </w:pPr>
            <w:r>
              <w:rPr>
                <w:b/>
                <w:bCs/>
                <w:color w:val="auto"/>
                <w:sz w:val="24"/>
                <w:szCs w:val="24"/>
              </w:rPr>
              <w:t>表3</w:t>
            </w:r>
            <w:r>
              <w:rPr>
                <w:rFonts w:hint="eastAsia"/>
                <w:b/>
                <w:bCs/>
                <w:color w:val="auto"/>
                <w:sz w:val="24"/>
                <w:szCs w:val="24"/>
              </w:rPr>
              <w:t xml:space="preserve">-2   </w:t>
            </w:r>
            <w:r>
              <w:rPr>
                <w:b/>
                <w:bCs/>
                <w:color w:val="auto"/>
                <w:sz w:val="24"/>
                <w:szCs w:val="24"/>
              </w:rPr>
              <w:t>植被类型现状统计结果</w:t>
            </w:r>
          </w:p>
          <w:tbl>
            <w:tblPr>
              <w:tblStyle w:val="29"/>
              <w:tblW w:w="8310" w:type="dxa"/>
              <w:tblInd w:w="61" w:type="dxa"/>
              <w:tblLayout w:type="fixed"/>
              <w:tblCellMar>
                <w:top w:w="0" w:type="dxa"/>
                <w:left w:w="108" w:type="dxa"/>
                <w:bottom w:w="0" w:type="dxa"/>
                <w:right w:w="108" w:type="dxa"/>
              </w:tblCellMar>
            </w:tblPr>
            <w:tblGrid>
              <w:gridCol w:w="788"/>
              <w:gridCol w:w="1830"/>
              <w:gridCol w:w="1290"/>
              <w:gridCol w:w="1455"/>
              <w:gridCol w:w="1380"/>
              <w:gridCol w:w="1567"/>
            </w:tblGrid>
            <w:tr w14:paraId="1CB272A0">
              <w:tblPrEx>
                <w:tblCellMar>
                  <w:top w:w="0" w:type="dxa"/>
                  <w:left w:w="108" w:type="dxa"/>
                  <w:bottom w:w="0" w:type="dxa"/>
                  <w:right w:w="108" w:type="dxa"/>
                </w:tblCellMar>
              </w:tblPrEx>
              <w:tc>
                <w:tcPr>
                  <w:tcW w:w="2618" w:type="dxa"/>
                  <w:gridSpan w:val="2"/>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BBF2FA">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植被类型</w:t>
                  </w:r>
                </w:p>
              </w:tc>
              <w:tc>
                <w:tcPr>
                  <w:tcW w:w="2745"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E6AB7C">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项目范围</w:t>
                  </w:r>
                </w:p>
              </w:tc>
              <w:tc>
                <w:tcPr>
                  <w:tcW w:w="2947"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4773DF">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评价范围（外扩500m)</w:t>
                  </w:r>
                </w:p>
              </w:tc>
            </w:tr>
            <w:tr w14:paraId="45E42DF4">
              <w:tblPrEx>
                <w:tblCellMar>
                  <w:top w:w="0" w:type="dxa"/>
                  <w:left w:w="108" w:type="dxa"/>
                  <w:bottom w:w="0" w:type="dxa"/>
                  <w:right w:w="108" w:type="dxa"/>
                </w:tblCellMar>
              </w:tblPrEx>
              <w:tc>
                <w:tcPr>
                  <w:tcW w:w="2618" w:type="dxa"/>
                  <w:gridSpan w:val="2"/>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C5C2D5">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57E1CE0">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面积（hm</w:t>
                  </w:r>
                  <w:r>
                    <w:rPr>
                      <w:rStyle w:val="69"/>
                      <w:rFonts w:hint="default" w:ascii="Times New Roman" w:hAnsi="Times New Roman" w:cs="Times New Roman"/>
                      <w:color w:val="auto"/>
                      <w:sz w:val="21"/>
                      <w:szCs w:val="21"/>
                      <w:vertAlign w:val="superscript"/>
                    </w:rPr>
                    <w:t>2</w:t>
                  </w:r>
                  <w:r>
                    <w:rPr>
                      <w:rStyle w:val="69"/>
                      <w:rFonts w:hint="default" w:ascii="Times New Roman" w:hAnsi="Times New Roman" w:cs="Times New Roman"/>
                      <w:color w:val="auto"/>
                      <w:sz w:val="21"/>
                      <w:szCs w:val="21"/>
                    </w:rPr>
                    <w:t>）</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B35760">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百分比（%）</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F77EE1">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面积（hm</w:t>
                  </w:r>
                  <w:r>
                    <w:rPr>
                      <w:rStyle w:val="69"/>
                      <w:rFonts w:hint="default" w:ascii="Times New Roman" w:hAnsi="Times New Roman" w:cs="Times New Roman"/>
                      <w:color w:val="auto"/>
                      <w:sz w:val="21"/>
                      <w:szCs w:val="21"/>
                      <w:vertAlign w:val="superscript"/>
                    </w:rPr>
                    <w:t>2</w:t>
                  </w:r>
                  <w:r>
                    <w:rPr>
                      <w:rStyle w:val="69"/>
                      <w:rFonts w:hint="default" w:ascii="Times New Roman" w:hAnsi="Times New Roman" w:cs="Times New Roman"/>
                      <w:color w:val="auto"/>
                      <w:sz w:val="21"/>
                      <w:szCs w:val="21"/>
                    </w:rPr>
                    <w:t>）</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67C443">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百分比（%）</w:t>
                  </w:r>
                </w:p>
              </w:tc>
            </w:tr>
            <w:tr w14:paraId="43990F1E">
              <w:tblPrEx>
                <w:tblCellMar>
                  <w:top w:w="0" w:type="dxa"/>
                  <w:left w:w="108" w:type="dxa"/>
                  <w:bottom w:w="0" w:type="dxa"/>
                  <w:right w:w="108" w:type="dxa"/>
                </w:tblCellMar>
              </w:tblPrEx>
              <w:tc>
                <w:tcPr>
                  <w:tcW w:w="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B03BA36">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乔木</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FF0321">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杨树群落</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6ECC8">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5DDAF5">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D5C65">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3.055</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3D3853">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3.055</w:t>
                  </w:r>
                </w:p>
              </w:tc>
            </w:tr>
            <w:tr w14:paraId="741F1A20">
              <w:tblPrEx>
                <w:tblCellMar>
                  <w:top w:w="0" w:type="dxa"/>
                  <w:left w:w="108" w:type="dxa"/>
                  <w:bottom w:w="0" w:type="dxa"/>
                  <w:right w:w="108" w:type="dxa"/>
                </w:tblCellMar>
              </w:tblPrEx>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C52CE7">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11DCF5">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樟子松群落</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3365EE">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DCAA45">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154409">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3.981</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D43A9E">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3.981</w:t>
                  </w:r>
                </w:p>
              </w:tc>
            </w:tr>
            <w:tr w14:paraId="2523B666">
              <w:tblPrEx>
                <w:tblCellMar>
                  <w:top w:w="0" w:type="dxa"/>
                  <w:left w:w="108" w:type="dxa"/>
                  <w:bottom w:w="0" w:type="dxa"/>
                  <w:right w:w="108" w:type="dxa"/>
                </w:tblCellMar>
              </w:tblPrEx>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68B2C3">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1763C7">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山杏群落</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1153CC">
                  <w:pPr>
                    <w:keepNext w:val="0"/>
                    <w:keepLines w:val="0"/>
                    <w:pageBreakBefore w:val="0"/>
                    <w:widowControl/>
                    <w:kinsoku/>
                    <w:wordWrap/>
                    <w:overflowPunct/>
                    <w:topLinePunct w:val="0"/>
                    <w:autoSpaceDE/>
                    <w:autoSpaceDN/>
                    <w:bidi w:val="0"/>
                    <w:adjustRightInd/>
                    <w:snapToGrid/>
                    <w:jc w:val="center"/>
                    <w:textAlignment w:val="center"/>
                    <w:rPr>
                      <w:rStyle w:val="69"/>
                      <w:rFonts w:hint="default" w:ascii="Times New Roman" w:hAnsi="Times New Roman" w:eastAsia="宋体" w:cs="Times New Roman"/>
                      <w:color w:val="auto"/>
                      <w:sz w:val="21"/>
                      <w:szCs w:val="21"/>
                      <w:lang w:val="en-US" w:eastAsia="zh-CN"/>
                    </w:rPr>
                  </w:pPr>
                  <w:r>
                    <w:rPr>
                      <w:rStyle w:val="69"/>
                      <w:rFonts w:hint="default" w:ascii="Times New Roman" w:hAnsi="Times New Roman" w:cs="Times New Roman"/>
                      <w:color w:val="auto"/>
                      <w:sz w:val="21"/>
                      <w:szCs w:val="21"/>
                      <w:lang w:val="en-US" w:eastAsia="zh-CN"/>
                    </w:rPr>
                    <w:t>0.7084</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0ED9E0">
                  <w:pPr>
                    <w:keepNext w:val="0"/>
                    <w:keepLines w:val="0"/>
                    <w:pageBreakBefore w:val="0"/>
                    <w:widowControl/>
                    <w:kinsoku/>
                    <w:wordWrap/>
                    <w:overflowPunct/>
                    <w:topLinePunct w:val="0"/>
                    <w:autoSpaceDE/>
                    <w:autoSpaceDN/>
                    <w:bidi w:val="0"/>
                    <w:adjustRightInd/>
                    <w:snapToGrid/>
                    <w:jc w:val="center"/>
                    <w:textAlignment w:val="center"/>
                    <w:rPr>
                      <w:color w:val="auto"/>
                      <w:kern w:val="0"/>
                      <w:szCs w:val="21"/>
                    </w:rPr>
                  </w:pPr>
                  <w:r>
                    <w:rPr>
                      <w:rFonts w:hint="eastAsia"/>
                      <w:color w:val="auto"/>
                      <w:kern w:val="0"/>
                      <w:szCs w:val="21"/>
                      <w:lang w:val="en-US" w:eastAsia="zh-CN"/>
                    </w:rPr>
                    <w:t>65.769</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6C7ACE">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8.153</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16E40">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8.153</w:t>
                  </w:r>
                </w:p>
              </w:tc>
            </w:tr>
            <w:tr w14:paraId="6A4AD3D8">
              <w:tblPrEx>
                <w:tblCellMar>
                  <w:top w:w="0" w:type="dxa"/>
                  <w:left w:w="108" w:type="dxa"/>
                  <w:bottom w:w="0" w:type="dxa"/>
                  <w:right w:w="108" w:type="dxa"/>
                </w:tblCellMar>
              </w:tblPrEx>
              <w:tc>
                <w:tcPr>
                  <w:tcW w:w="7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D8C1E2">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灌木</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0D32F64">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柠条锦鸡儿群落</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59135B">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454F17">
                  <w:pPr>
                    <w:keepNext w:val="0"/>
                    <w:keepLines w:val="0"/>
                    <w:pageBreakBefore w:val="0"/>
                    <w:widowControl/>
                    <w:kinsoku/>
                    <w:wordWrap/>
                    <w:overflowPunct/>
                    <w:topLinePunct w:val="0"/>
                    <w:autoSpaceDE/>
                    <w:autoSpaceDN/>
                    <w:bidi w:val="0"/>
                    <w:adjustRightInd/>
                    <w:snapToGrid/>
                    <w:jc w:val="center"/>
                    <w:textAlignment w:val="center"/>
                    <w:rPr>
                      <w:color w:val="auto"/>
                      <w:kern w:val="0"/>
                      <w:szCs w:val="21"/>
                    </w:rPr>
                  </w:pPr>
                  <w:r>
                    <w:rPr>
                      <w:rFonts w:hint="eastAsia"/>
                      <w:color w:val="auto"/>
                      <w:kern w:val="0"/>
                      <w:szCs w:val="21"/>
                    </w:rPr>
                    <w:t>/</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5B1A4F">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6.312</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F3B9DC4">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6.312</w:t>
                  </w:r>
                </w:p>
              </w:tc>
            </w:tr>
            <w:tr w14:paraId="0217B9E9">
              <w:tblPrEx>
                <w:tblCellMar>
                  <w:top w:w="0" w:type="dxa"/>
                  <w:left w:w="108" w:type="dxa"/>
                  <w:bottom w:w="0" w:type="dxa"/>
                  <w:right w:w="108" w:type="dxa"/>
                </w:tblCellMar>
              </w:tblPrEx>
              <w:tc>
                <w:tcPr>
                  <w:tcW w:w="788" w:type="dxa"/>
                  <w:vMerge w:val="restart"/>
                  <w:tcBorders>
                    <w:top w:val="single" w:color="000000" w:sz="4" w:space="0"/>
                    <w:left w:val="single" w:color="000000" w:sz="4" w:space="0"/>
                    <w:right w:val="single" w:color="000000" w:sz="4" w:space="0"/>
                  </w:tcBorders>
                  <w:shd w:val="clear" w:color="auto" w:fill="auto"/>
                  <w:noWrap/>
                  <w:vAlign w:val="center"/>
                </w:tcPr>
                <w:p w14:paraId="3225C949">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草本</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D62611">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本氏针茅群落</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2E3DCE">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0.079</w:t>
                  </w:r>
                  <w:r>
                    <w:rPr>
                      <w:rFonts w:hint="eastAsia" w:ascii="Times New Roman" w:hAnsi="Times New Roman" w:eastAsia="宋体" w:cs="Times New Roman"/>
                      <w:i w:val="0"/>
                      <w:iCs w:val="0"/>
                      <w:color w:val="auto"/>
                      <w:kern w:val="0"/>
                      <w:sz w:val="21"/>
                      <w:szCs w:val="21"/>
                      <w:u w:val="none"/>
                      <w:lang w:val="en-US" w:eastAsia="zh-CN" w:bidi="ar"/>
                    </w:rPr>
                    <w:t>4</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67B8F1">
                  <w:pPr>
                    <w:keepNext w:val="0"/>
                    <w:keepLines w:val="0"/>
                    <w:pageBreakBefore w:val="0"/>
                    <w:widowControl/>
                    <w:suppressLineNumbers w:val="0"/>
                    <w:kinsoku/>
                    <w:wordWrap/>
                    <w:overflowPunct/>
                    <w:topLinePunct w:val="0"/>
                    <w:autoSpaceDE/>
                    <w:autoSpaceDN/>
                    <w:bidi w:val="0"/>
                    <w:adjustRightInd/>
                    <w:snapToGrid/>
                    <w:jc w:val="center"/>
                    <w:textAlignment w:val="center"/>
                    <w:rPr>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7.372</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F2080">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54.089</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CF8FAE">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54.089</w:t>
                  </w:r>
                </w:p>
              </w:tc>
            </w:tr>
            <w:tr w14:paraId="178D4A42">
              <w:tblPrEx>
                <w:tblCellMar>
                  <w:top w:w="0" w:type="dxa"/>
                  <w:left w:w="108" w:type="dxa"/>
                  <w:bottom w:w="0" w:type="dxa"/>
                  <w:right w:w="108" w:type="dxa"/>
                </w:tblCellMar>
              </w:tblPrEx>
              <w:tc>
                <w:tcPr>
                  <w:tcW w:w="788" w:type="dxa"/>
                  <w:vMerge w:val="continue"/>
                  <w:tcBorders>
                    <w:left w:val="single" w:color="000000" w:sz="4" w:space="0"/>
                    <w:bottom w:val="single" w:color="000000" w:sz="4" w:space="0"/>
                    <w:right w:val="single" w:color="000000" w:sz="4" w:space="0"/>
                  </w:tcBorders>
                  <w:shd w:val="clear" w:color="auto" w:fill="auto"/>
                  <w:noWrap/>
                  <w:vAlign w:val="center"/>
                </w:tcPr>
                <w:p w14:paraId="5645D71F">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459BC8">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杂类草群落</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113056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color w:val="auto"/>
                      <w:kern w:val="0"/>
                      <w:sz w:val="21"/>
                      <w:szCs w:val="21"/>
                      <w:lang w:val="en-US"/>
                    </w:rPr>
                  </w:pPr>
                  <w:r>
                    <w:rPr>
                      <w:rFonts w:hint="default" w:ascii="Times New Roman" w:hAnsi="Times New Roman" w:eastAsia="宋体" w:cs="Times New Roman"/>
                      <w:i w:val="0"/>
                      <w:iCs w:val="0"/>
                      <w:color w:val="auto"/>
                      <w:kern w:val="0"/>
                      <w:sz w:val="21"/>
                      <w:szCs w:val="21"/>
                      <w:u w:val="none"/>
                      <w:lang w:val="en-US" w:eastAsia="zh-CN" w:bidi="ar"/>
                    </w:rPr>
                    <w:t>0.28</w:t>
                  </w:r>
                  <w:r>
                    <w:rPr>
                      <w:rFonts w:hint="eastAsia" w:ascii="Times New Roman" w:hAnsi="Times New Roman" w:eastAsia="宋体" w:cs="Times New Roman"/>
                      <w:i w:val="0"/>
                      <w:iCs w:val="0"/>
                      <w:color w:val="auto"/>
                      <w:kern w:val="0"/>
                      <w:sz w:val="21"/>
                      <w:szCs w:val="21"/>
                      <w:u w:val="none"/>
                      <w:lang w:val="en-US" w:eastAsia="zh-CN" w:bidi="ar"/>
                    </w:rPr>
                    <w:t>47</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CFB809">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26.432</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D8DC45">
                  <w:pPr>
                    <w:keepNext w:val="0"/>
                    <w:keepLines w:val="0"/>
                    <w:pageBreakBefore w:val="0"/>
                    <w:widowControl/>
                    <w:suppressLineNumbers w:val="0"/>
                    <w:kinsoku/>
                    <w:wordWrap/>
                    <w:overflowPunct/>
                    <w:topLinePunct w:val="0"/>
                    <w:autoSpaceDE/>
                    <w:autoSpaceDN/>
                    <w:bidi w:val="0"/>
                    <w:adjustRightInd/>
                    <w:snapToGrid/>
                    <w:jc w:val="center"/>
                    <w:textAlignment w:val="center"/>
                    <w:rPr>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0.513</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63A1A4">
                  <w:pPr>
                    <w:keepNext w:val="0"/>
                    <w:keepLines w:val="0"/>
                    <w:pageBreakBefore w:val="0"/>
                    <w:widowControl/>
                    <w:suppressLineNumbers w:val="0"/>
                    <w:kinsoku/>
                    <w:wordWrap/>
                    <w:overflowPunct/>
                    <w:topLinePunct w:val="0"/>
                    <w:autoSpaceDE/>
                    <w:autoSpaceDN/>
                    <w:bidi w:val="0"/>
                    <w:adjustRightInd/>
                    <w:snapToGrid/>
                    <w:jc w:val="center"/>
                    <w:textAlignment w:val="center"/>
                    <w:rPr>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0.513</w:t>
                  </w:r>
                </w:p>
              </w:tc>
            </w:tr>
            <w:tr w14:paraId="3C1CC60B">
              <w:tblPrEx>
                <w:tblCellMar>
                  <w:top w:w="0" w:type="dxa"/>
                  <w:left w:w="108" w:type="dxa"/>
                  <w:bottom w:w="0" w:type="dxa"/>
                  <w:right w:w="108" w:type="dxa"/>
                </w:tblCellMar>
              </w:tblPrEx>
              <w:tc>
                <w:tcPr>
                  <w:tcW w:w="78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D27492">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农田</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DF9C53">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旱地</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BE65D0">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AC591D">
                  <w:pPr>
                    <w:keepNext w:val="0"/>
                    <w:keepLines w:val="0"/>
                    <w:pageBreakBefore w:val="0"/>
                    <w:kinsoku/>
                    <w:wordWrap/>
                    <w:overflowPunct/>
                    <w:topLinePunct w:val="0"/>
                    <w:autoSpaceDE/>
                    <w:autoSpaceDN/>
                    <w:bidi w:val="0"/>
                    <w:adjustRightInd/>
                    <w:snapToGrid/>
                    <w:jc w:val="center"/>
                    <w:rPr>
                      <w:color w:val="auto"/>
                      <w:kern w:val="0"/>
                      <w:sz w:val="21"/>
                      <w:szCs w:val="21"/>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4CA86A">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12.153</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1ACBF91">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12.153</w:t>
                  </w:r>
                </w:p>
              </w:tc>
            </w:tr>
            <w:tr w14:paraId="6CE734BD">
              <w:tblPrEx>
                <w:tblCellMar>
                  <w:top w:w="0" w:type="dxa"/>
                  <w:left w:w="108" w:type="dxa"/>
                  <w:bottom w:w="0" w:type="dxa"/>
                  <w:right w:w="108" w:type="dxa"/>
                </w:tblCellMar>
              </w:tblPrEx>
              <w:tc>
                <w:tcPr>
                  <w:tcW w:w="788"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11C61C">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非植被区</w:t>
                  </w: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7915B9">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居民点</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216DB0">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E71A9BA">
                  <w:pPr>
                    <w:keepNext w:val="0"/>
                    <w:keepLines w:val="0"/>
                    <w:pageBreakBefore w:val="0"/>
                    <w:kinsoku/>
                    <w:wordWrap/>
                    <w:overflowPunct/>
                    <w:topLinePunct w:val="0"/>
                    <w:autoSpaceDE/>
                    <w:autoSpaceDN/>
                    <w:bidi w:val="0"/>
                    <w:adjustRightInd/>
                    <w:snapToGrid/>
                    <w:jc w:val="center"/>
                    <w:rPr>
                      <w:color w:val="auto"/>
                      <w:kern w:val="0"/>
                      <w:sz w:val="21"/>
                      <w:szCs w:val="21"/>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6D2868">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0.672</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0A30F9">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0.672</w:t>
                  </w:r>
                </w:p>
              </w:tc>
            </w:tr>
            <w:tr w14:paraId="54F4AA2E">
              <w:tblPrEx>
                <w:tblCellMar>
                  <w:top w:w="0" w:type="dxa"/>
                  <w:left w:w="108" w:type="dxa"/>
                  <w:bottom w:w="0" w:type="dxa"/>
                  <w:right w:w="108" w:type="dxa"/>
                </w:tblCellMar>
              </w:tblPrEx>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95928">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36A9F">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坑塘水面</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244E64">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858241">
                  <w:pPr>
                    <w:keepNext w:val="0"/>
                    <w:keepLines w:val="0"/>
                    <w:pageBreakBefore w:val="0"/>
                    <w:kinsoku/>
                    <w:wordWrap/>
                    <w:overflowPunct/>
                    <w:topLinePunct w:val="0"/>
                    <w:autoSpaceDE/>
                    <w:autoSpaceDN/>
                    <w:bidi w:val="0"/>
                    <w:adjustRightInd/>
                    <w:snapToGrid/>
                    <w:jc w:val="center"/>
                    <w:rPr>
                      <w:color w:val="auto"/>
                      <w:kern w:val="0"/>
                      <w:sz w:val="21"/>
                      <w:szCs w:val="21"/>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ADB51F">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0.244</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352274">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0.244</w:t>
                  </w:r>
                </w:p>
              </w:tc>
            </w:tr>
            <w:tr w14:paraId="384E97F3">
              <w:tblPrEx>
                <w:tblCellMar>
                  <w:top w:w="0" w:type="dxa"/>
                  <w:left w:w="108" w:type="dxa"/>
                  <w:bottom w:w="0" w:type="dxa"/>
                  <w:right w:w="108" w:type="dxa"/>
                </w:tblCellMar>
              </w:tblPrEx>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E5F0C2">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8D60F4">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工业用地</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ACBD31">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1F2A31">
                  <w:pPr>
                    <w:keepNext w:val="0"/>
                    <w:keepLines w:val="0"/>
                    <w:pageBreakBefore w:val="0"/>
                    <w:kinsoku/>
                    <w:wordWrap/>
                    <w:overflowPunct/>
                    <w:topLinePunct w:val="0"/>
                    <w:autoSpaceDE/>
                    <w:autoSpaceDN/>
                    <w:bidi w:val="0"/>
                    <w:adjustRightInd/>
                    <w:snapToGrid/>
                    <w:jc w:val="center"/>
                    <w:rPr>
                      <w:color w:val="auto"/>
                      <w:kern w:val="0"/>
                      <w:sz w:val="21"/>
                      <w:szCs w:val="21"/>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4AAC21">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1.626</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1422C">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1.626</w:t>
                  </w:r>
                </w:p>
              </w:tc>
            </w:tr>
            <w:tr w14:paraId="738591F1">
              <w:tblPrEx>
                <w:tblCellMar>
                  <w:top w:w="0" w:type="dxa"/>
                  <w:left w:w="108" w:type="dxa"/>
                  <w:bottom w:w="0" w:type="dxa"/>
                  <w:right w:w="108" w:type="dxa"/>
                </w:tblCellMar>
              </w:tblPrEx>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2A2AF3">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806687">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农村道路</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DA6FF5">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0.0046</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ACEAE1">
                  <w:pPr>
                    <w:keepNext w:val="0"/>
                    <w:keepLines w:val="0"/>
                    <w:pageBreakBefore w:val="0"/>
                    <w:widowControl/>
                    <w:suppressLineNumbers w:val="0"/>
                    <w:kinsoku/>
                    <w:wordWrap/>
                    <w:overflowPunct/>
                    <w:topLinePunct w:val="0"/>
                    <w:autoSpaceDE/>
                    <w:autoSpaceDN/>
                    <w:bidi w:val="0"/>
                    <w:adjustRightInd/>
                    <w:snapToGrid/>
                    <w:jc w:val="center"/>
                    <w:textAlignment w:val="center"/>
                    <w:rPr>
                      <w:color w:val="auto"/>
                      <w:kern w:val="0"/>
                      <w:sz w:val="21"/>
                      <w:szCs w:val="21"/>
                    </w:rPr>
                  </w:pPr>
                  <w:r>
                    <w:rPr>
                      <w:rFonts w:hint="default" w:ascii="Times New Roman" w:hAnsi="Times New Roman" w:eastAsia="宋体" w:cs="Times New Roman"/>
                      <w:i w:val="0"/>
                      <w:iCs w:val="0"/>
                      <w:color w:val="auto"/>
                      <w:kern w:val="0"/>
                      <w:sz w:val="21"/>
                      <w:szCs w:val="21"/>
                      <w:u w:val="none"/>
                      <w:lang w:val="en-US" w:eastAsia="zh-CN" w:bidi="ar"/>
                    </w:rPr>
                    <w:t>0.427</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EED889">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2.072</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3A3BF3F">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2.072</w:t>
                  </w:r>
                </w:p>
              </w:tc>
            </w:tr>
            <w:tr w14:paraId="401260CA">
              <w:tblPrEx>
                <w:tblCellMar>
                  <w:top w:w="0" w:type="dxa"/>
                  <w:left w:w="108" w:type="dxa"/>
                  <w:bottom w:w="0" w:type="dxa"/>
                  <w:right w:w="108" w:type="dxa"/>
                </w:tblCellMar>
              </w:tblPrEx>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F621E">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285DA4">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设施农用地</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D56CA2">
                  <w:pPr>
                    <w:keepNext w:val="0"/>
                    <w:keepLines w:val="0"/>
                    <w:pageBreakBefore w:val="0"/>
                    <w:kinsoku/>
                    <w:wordWrap/>
                    <w:overflowPunct/>
                    <w:topLinePunct w:val="0"/>
                    <w:autoSpaceDE/>
                    <w:autoSpaceDN/>
                    <w:bidi w:val="0"/>
                    <w:adjustRightInd/>
                    <w:snapToGrid/>
                    <w:jc w:val="center"/>
                    <w:rPr>
                      <w:rStyle w:val="69"/>
                      <w:rFonts w:hint="default" w:ascii="Times New Roman" w:hAnsi="Times New Roman" w:cs="Times New Roman"/>
                      <w:color w:val="auto"/>
                      <w:sz w:val="21"/>
                      <w:szCs w:val="21"/>
                    </w:rPr>
                  </w:pP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4BE1869">
                  <w:pPr>
                    <w:keepNext w:val="0"/>
                    <w:keepLines w:val="0"/>
                    <w:pageBreakBefore w:val="0"/>
                    <w:kinsoku/>
                    <w:wordWrap/>
                    <w:overflowPunct/>
                    <w:topLinePunct w:val="0"/>
                    <w:autoSpaceDE/>
                    <w:autoSpaceDN/>
                    <w:bidi w:val="0"/>
                    <w:adjustRightInd/>
                    <w:snapToGrid/>
                    <w:jc w:val="center"/>
                    <w:rPr>
                      <w:color w:val="auto"/>
                      <w:kern w:val="0"/>
                      <w:sz w:val="21"/>
                      <w:szCs w:val="21"/>
                    </w:rPr>
                  </w:pP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3268EA">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7.130</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574A1DB">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7.130</w:t>
                  </w:r>
                </w:p>
              </w:tc>
            </w:tr>
            <w:tr w14:paraId="5E5F8232">
              <w:tblPrEx>
                <w:tblCellMar>
                  <w:top w:w="0" w:type="dxa"/>
                  <w:left w:w="108" w:type="dxa"/>
                  <w:bottom w:w="0" w:type="dxa"/>
                  <w:right w:w="108" w:type="dxa"/>
                </w:tblCellMar>
              </w:tblPrEx>
              <w:tc>
                <w:tcPr>
                  <w:tcW w:w="788"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EE9F3F">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p>
              </w:tc>
              <w:tc>
                <w:tcPr>
                  <w:tcW w:w="183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17B5DB">
                  <w:pPr>
                    <w:keepNext w:val="0"/>
                    <w:keepLines w:val="0"/>
                    <w:pageBreakBefore w:val="0"/>
                    <w:widowControl/>
                    <w:kinsoku/>
                    <w:wordWrap/>
                    <w:overflowPunct/>
                    <w:topLinePunct w:val="0"/>
                    <w:autoSpaceDE/>
                    <w:autoSpaceDN/>
                    <w:bidi w:val="0"/>
                    <w:adjustRightInd/>
                    <w:snapToGrid/>
                    <w:spacing w:line="320" w:lineRule="exact"/>
                    <w:jc w:val="center"/>
                    <w:textAlignment w:val="center"/>
                    <w:rPr>
                      <w:rStyle w:val="69"/>
                      <w:rFonts w:hint="default" w:ascii="Times New Roman" w:hAnsi="Times New Roman" w:cs="Times New Roman"/>
                      <w:color w:val="auto"/>
                      <w:sz w:val="21"/>
                      <w:szCs w:val="21"/>
                    </w:rPr>
                  </w:pPr>
                  <w:r>
                    <w:rPr>
                      <w:rStyle w:val="69"/>
                      <w:rFonts w:hint="default" w:ascii="Times New Roman" w:hAnsi="Times New Roman" w:cs="Times New Roman"/>
                      <w:color w:val="auto"/>
                      <w:sz w:val="21"/>
                      <w:szCs w:val="21"/>
                    </w:rPr>
                    <w:t>合计</w:t>
                  </w:r>
                </w:p>
              </w:tc>
              <w:tc>
                <w:tcPr>
                  <w:tcW w:w="129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E8C47B">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1.077</w:t>
                  </w:r>
                  <w:r>
                    <w:rPr>
                      <w:rFonts w:hint="eastAsia" w:ascii="Times New Roman" w:hAnsi="Times New Roman" w:eastAsia="宋体" w:cs="Times New Roman"/>
                      <w:i w:val="0"/>
                      <w:iCs w:val="0"/>
                      <w:color w:val="auto"/>
                      <w:kern w:val="0"/>
                      <w:sz w:val="21"/>
                      <w:szCs w:val="21"/>
                      <w:u w:val="none"/>
                      <w:lang w:val="en-US" w:eastAsia="zh-CN" w:bidi="ar"/>
                    </w:rPr>
                    <w:t>1</w:t>
                  </w:r>
                </w:p>
              </w:tc>
              <w:tc>
                <w:tcPr>
                  <w:tcW w:w="145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C9F141">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100.000</w:t>
                  </w:r>
                </w:p>
              </w:tc>
              <w:tc>
                <w:tcPr>
                  <w:tcW w:w="13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F0FE68">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100.000</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558E83">
                  <w:pPr>
                    <w:keepNext w:val="0"/>
                    <w:keepLines w:val="0"/>
                    <w:pageBreakBefore w:val="0"/>
                    <w:widowControl/>
                    <w:suppressLineNumbers w:val="0"/>
                    <w:kinsoku/>
                    <w:wordWrap/>
                    <w:overflowPunct/>
                    <w:topLinePunct w:val="0"/>
                    <w:autoSpaceDE/>
                    <w:autoSpaceDN/>
                    <w:bidi w:val="0"/>
                    <w:adjustRightInd/>
                    <w:snapToGrid/>
                    <w:jc w:val="center"/>
                    <w:textAlignment w:val="center"/>
                    <w:rPr>
                      <w:rStyle w:val="69"/>
                      <w:rFonts w:hint="default" w:ascii="Times New Roman" w:hAnsi="Times New Roman"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100.000</w:t>
                  </w:r>
                </w:p>
              </w:tc>
            </w:tr>
          </w:tbl>
          <w:p w14:paraId="7B22C1AE">
            <w:pPr>
              <w:pStyle w:val="28"/>
              <w:spacing w:after="0" w:line="500" w:lineRule="exact"/>
              <w:ind w:left="0" w:leftChars="0" w:firstLine="480" w:firstLineChars="200"/>
              <w:rPr>
                <w:color w:val="auto"/>
                <w:sz w:val="24"/>
              </w:rPr>
            </w:pPr>
            <w:r>
              <w:rPr>
                <w:color w:val="auto"/>
                <w:sz w:val="24"/>
              </w:rPr>
              <w:t>统计结果显示，项目区用地范围内植被类型主要为山杏群落、</w:t>
            </w:r>
            <w:r>
              <w:rPr>
                <w:rFonts w:hint="eastAsia"/>
                <w:color w:val="auto"/>
                <w:sz w:val="24"/>
                <w:lang w:val="en-US" w:eastAsia="zh-CN"/>
              </w:rPr>
              <w:t>杂草类群落和</w:t>
            </w:r>
            <w:r>
              <w:rPr>
                <w:rFonts w:hint="eastAsia"/>
                <w:color w:val="auto"/>
                <w:sz w:val="24"/>
              </w:rPr>
              <w:t>本氏针茅群落</w:t>
            </w:r>
            <w:r>
              <w:rPr>
                <w:color w:val="auto"/>
                <w:sz w:val="24"/>
              </w:rPr>
              <w:t>等。</w:t>
            </w:r>
          </w:p>
          <w:p w14:paraId="1F5F4A15">
            <w:pPr>
              <w:pStyle w:val="28"/>
              <w:spacing w:after="0" w:line="500" w:lineRule="exact"/>
              <w:ind w:left="0" w:leftChars="0" w:firstLine="480" w:firstLineChars="200"/>
              <w:rPr>
                <w:color w:val="auto"/>
                <w:sz w:val="24"/>
              </w:rPr>
            </w:pPr>
            <w:r>
              <w:rPr>
                <w:color w:val="auto"/>
                <w:sz w:val="24"/>
              </w:rPr>
              <w:t>评价区主要植被类型</w:t>
            </w:r>
            <w:r>
              <w:rPr>
                <w:rFonts w:hint="eastAsia"/>
                <w:color w:val="auto"/>
                <w:sz w:val="24"/>
              </w:rPr>
              <w:t>主要</w:t>
            </w:r>
            <w:r>
              <w:rPr>
                <w:color w:val="auto"/>
                <w:sz w:val="24"/>
              </w:rPr>
              <w:t>为本氏针茅群落，占评价区面积的</w:t>
            </w:r>
            <w:r>
              <w:rPr>
                <w:rFonts w:hint="eastAsia"/>
                <w:color w:val="auto"/>
                <w:sz w:val="24"/>
                <w:lang w:val="en-US" w:eastAsia="zh-CN"/>
              </w:rPr>
              <w:t>54.089</w:t>
            </w:r>
            <w:r>
              <w:rPr>
                <w:color w:val="auto"/>
                <w:sz w:val="24"/>
              </w:rPr>
              <w:t>%；</w:t>
            </w:r>
            <w:r>
              <w:rPr>
                <w:rFonts w:hint="eastAsia"/>
                <w:color w:val="auto"/>
                <w:sz w:val="24"/>
              </w:rPr>
              <w:t>其次</w:t>
            </w:r>
            <w:r>
              <w:rPr>
                <w:color w:val="auto"/>
                <w:kern w:val="0"/>
                <w:sz w:val="24"/>
              </w:rPr>
              <w:t>是旱地</w:t>
            </w:r>
            <w:r>
              <w:rPr>
                <w:rFonts w:hint="eastAsia"/>
                <w:color w:val="auto"/>
                <w:kern w:val="0"/>
                <w:sz w:val="24"/>
              </w:rPr>
              <w:t>和山杏群落</w:t>
            </w:r>
            <w:r>
              <w:rPr>
                <w:color w:val="auto"/>
                <w:kern w:val="0"/>
                <w:sz w:val="24"/>
              </w:rPr>
              <w:t>，分别占评价区面积的</w:t>
            </w:r>
            <w:r>
              <w:rPr>
                <w:rFonts w:hint="eastAsia"/>
                <w:color w:val="auto"/>
                <w:kern w:val="0"/>
                <w:sz w:val="24"/>
              </w:rPr>
              <w:t>12.</w:t>
            </w:r>
            <w:r>
              <w:rPr>
                <w:rFonts w:hint="eastAsia"/>
                <w:color w:val="auto"/>
                <w:kern w:val="0"/>
                <w:sz w:val="24"/>
                <w:lang w:val="en-US" w:eastAsia="zh-CN"/>
              </w:rPr>
              <w:t>153</w:t>
            </w:r>
            <w:r>
              <w:rPr>
                <w:color w:val="auto"/>
                <w:sz w:val="24"/>
              </w:rPr>
              <w:t>%</w:t>
            </w:r>
            <w:r>
              <w:rPr>
                <w:rFonts w:hint="eastAsia"/>
                <w:color w:val="auto"/>
                <w:sz w:val="24"/>
              </w:rPr>
              <w:t>、</w:t>
            </w:r>
            <w:r>
              <w:rPr>
                <w:rFonts w:hint="eastAsia"/>
                <w:color w:val="auto"/>
                <w:sz w:val="24"/>
                <w:lang w:val="en-US" w:eastAsia="zh-CN"/>
              </w:rPr>
              <w:t>8.153</w:t>
            </w:r>
            <w:r>
              <w:rPr>
                <w:color w:val="auto"/>
                <w:sz w:val="24"/>
              </w:rPr>
              <w:t>%</w:t>
            </w:r>
            <w:r>
              <w:rPr>
                <w:rFonts w:hint="eastAsia"/>
                <w:color w:val="auto"/>
                <w:sz w:val="24"/>
              </w:rPr>
              <w:t>。</w:t>
            </w:r>
          </w:p>
          <w:p w14:paraId="61D5F690">
            <w:pPr>
              <w:pStyle w:val="28"/>
              <w:spacing w:after="0" w:line="500" w:lineRule="exact"/>
              <w:ind w:left="0" w:leftChars="0" w:firstLine="480" w:firstLineChars="200"/>
              <w:rPr>
                <w:color w:val="auto"/>
                <w:sz w:val="24"/>
              </w:rPr>
            </w:pPr>
            <w:r>
              <w:rPr>
                <w:rFonts w:hint="eastAsia"/>
                <w:color w:val="auto"/>
                <w:sz w:val="24"/>
              </w:rPr>
              <w:t>（3）植被覆盖度</w:t>
            </w:r>
          </w:p>
          <w:p w14:paraId="7F369A84">
            <w:pPr>
              <w:pStyle w:val="28"/>
              <w:spacing w:after="0" w:line="500" w:lineRule="exact"/>
              <w:ind w:left="0" w:leftChars="0" w:firstLine="480" w:firstLineChars="200"/>
              <w:rPr>
                <w:color w:val="auto"/>
                <w:sz w:val="24"/>
              </w:rPr>
            </w:pPr>
            <w:r>
              <w:rPr>
                <w:rFonts w:hint="eastAsia"/>
                <w:color w:val="auto"/>
                <w:sz w:val="24"/>
              </w:rPr>
              <w:t>评价范围植被覆盖度以10-30%为主，占比</w:t>
            </w:r>
            <w:r>
              <w:rPr>
                <w:rFonts w:hint="eastAsia"/>
                <w:color w:val="auto"/>
                <w:sz w:val="24"/>
                <w:lang w:val="en-US" w:eastAsia="zh-CN"/>
              </w:rPr>
              <w:t>66.755</w:t>
            </w:r>
            <w:r>
              <w:rPr>
                <w:rFonts w:hint="eastAsia"/>
                <w:color w:val="auto"/>
                <w:sz w:val="24"/>
              </w:rPr>
              <w:t>%。评价区植被覆盖度类型见表3-3和附图6。</w:t>
            </w:r>
          </w:p>
          <w:p w14:paraId="024447C1">
            <w:pPr>
              <w:pStyle w:val="5"/>
              <w:spacing w:before="0" w:after="0" w:line="500" w:lineRule="exact"/>
              <w:ind w:right="0"/>
              <w:jc w:val="center"/>
              <w:rPr>
                <w:b/>
                <w:bCs/>
                <w:color w:val="auto"/>
                <w:sz w:val="24"/>
                <w:szCs w:val="24"/>
              </w:rPr>
            </w:pPr>
            <w:r>
              <w:rPr>
                <w:b/>
                <w:bCs/>
                <w:color w:val="auto"/>
                <w:sz w:val="24"/>
                <w:szCs w:val="24"/>
              </w:rPr>
              <w:t>表3</w:t>
            </w:r>
            <w:r>
              <w:rPr>
                <w:rFonts w:hint="eastAsia"/>
                <w:b/>
                <w:bCs/>
                <w:color w:val="auto"/>
                <w:sz w:val="24"/>
                <w:szCs w:val="24"/>
              </w:rPr>
              <w:t xml:space="preserve">-3   </w:t>
            </w:r>
            <w:r>
              <w:rPr>
                <w:b/>
                <w:bCs/>
                <w:color w:val="auto"/>
                <w:sz w:val="24"/>
                <w:szCs w:val="24"/>
              </w:rPr>
              <w:t>植被</w:t>
            </w:r>
            <w:r>
              <w:rPr>
                <w:rFonts w:hint="eastAsia"/>
                <w:b/>
                <w:bCs/>
                <w:color w:val="auto"/>
                <w:sz w:val="24"/>
                <w:szCs w:val="24"/>
              </w:rPr>
              <w:t>覆盖度</w:t>
            </w:r>
            <w:r>
              <w:rPr>
                <w:b/>
                <w:bCs/>
                <w:color w:val="auto"/>
                <w:sz w:val="24"/>
                <w:szCs w:val="24"/>
              </w:rPr>
              <w:t>统计结果</w:t>
            </w:r>
          </w:p>
          <w:tbl>
            <w:tblPr>
              <w:tblStyle w:val="29"/>
              <w:tblW w:w="4950" w:type="pct"/>
              <w:tblInd w:w="0" w:type="dxa"/>
              <w:tblLayout w:type="fixed"/>
              <w:tblCellMar>
                <w:top w:w="0" w:type="dxa"/>
                <w:left w:w="108" w:type="dxa"/>
                <w:bottom w:w="0" w:type="dxa"/>
                <w:right w:w="108" w:type="dxa"/>
              </w:tblCellMar>
            </w:tblPr>
            <w:tblGrid>
              <w:gridCol w:w="1344"/>
              <w:gridCol w:w="1754"/>
              <w:gridCol w:w="1540"/>
              <w:gridCol w:w="1739"/>
              <w:gridCol w:w="2006"/>
            </w:tblGrid>
            <w:tr w14:paraId="43E804C2">
              <w:tblPrEx>
                <w:tblCellMar>
                  <w:top w:w="0" w:type="dxa"/>
                  <w:left w:w="108" w:type="dxa"/>
                  <w:bottom w:w="0" w:type="dxa"/>
                  <w:right w:w="108" w:type="dxa"/>
                </w:tblCellMar>
              </w:tblPrEx>
              <w:trPr>
                <w:trHeight w:val="317" w:hRule="atLeast"/>
              </w:trPr>
              <w:tc>
                <w:tcPr>
                  <w:tcW w:w="132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99D6F1">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植被覆盖度（%）</w:t>
                  </w:r>
                </w:p>
              </w:tc>
              <w:tc>
                <w:tcPr>
                  <w:tcW w:w="3240"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7C6697">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项目范围</w:t>
                  </w:r>
                </w:p>
              </w:tc>
              <w:tc>
                <w:tcPr>
                  <w:tcW w:w="3683"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5ABE17E0">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评价范围（外扩500m)</w:t>
                  </w:r>
                </w:p>
              </w:tc>
            </w:tr>
            <w:tr w14:paraId="5991F1F8">
              <w:tblPrEx>
                <w:tblCellMar>
                  <w:top w:w="0" w:type="dxa"/>
                  <w:left w:w="108" w:type="dxa"/>
                  <w:bottom w:w="0" w:type="dxa"/>
                  <w:right w:w="108" w:type="dxa"/>
                </w:tblCellMar>
              </w:tblPrEx>
              <w:trPr>
                <w:trHeight w:val="317" w:hRule="atLeast"/>
              </w:trPr>
              <w:tc>
                <w:tcPr>
                  <w:tcW w:w="132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9F8545">
                  <w:pPr>
                    <w:keepNext w:val="0"/>
                    <w:keepLines w:val="0"/>
                    <w:pageBreakBefore w:val="0"/>
                    <w:widowControl/>
                    <w:kinsoku/>
                    <w:wordWrap/>
                    <w:overflowPunct/>
                    <w:topLinePunct w:val="0"/>
                    <w:autoSpaceDE/>
                    <w:autoSpaceDN/>
                    <w:bidi w:val="0"/>
                    <w:adjustRightInd/>
                    <w:snapToGrid/>
                    <w:spacing w:line="320" w:lineRule="exact"/>
                    <w:jc w:val="center"/>
                    <w:rPr>
                      <w:color w:val="auto"/>
                      <w:szCs w:val="21"/>
                    </w:rPr>
                  </w:pP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6D31B9">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面积（hm</w:t>
                  </w:r>
                  <w:r>
                    <w:rPr>
                      <w:color w:val="auto"/>
                      <w:kern w:val="0"/>
                      <w:szCs w:val="21"/>
                      <w:vertAlign w:val="superscript"/>
                    </w:rPr>
                    <w:t>2</w:t>
                  </w:r>
                  <w:r>
                    <w:rPr>
                      <w:color w:val="auto"/>
                      <w:kern w:val="0"/>
                      <w:szCs w:val="21"/>
                    </w:rPr>
                    <w:t>）</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7E3BA5">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百分比（%）</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6D488">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面积（hm</w:t>
                  </w:r>
                  <w:r>
                    <w:rPr>
                      <w:color w:val="auto"/>
                      <w:kern w:val="0"/>
                      <w:szCs w:val="21"/>
                      <w:vertAlign w:val="superscript"/>
                    </w:rPr>
                    <w:t>2</w:t>
                  </w:r>
                  <w:r>
                    <w:rPr>
                      <w:color w:val="auto"/>
                      <w:kern w:val="0"/>
                      <w:szCs w:val="21"/>
                    </w:rPr>
                    <w:t>）</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D3F3EE">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百分比（%）</w:t>
                  </w:r>
                </w:p>
              </w:tc>
            </w:tr>
            <w:tr w14:paraId="5BA0AF35">
              <w:tblPrEx>
                <w:tblCellMar>
                  <w:top w:w="0" w:type="dxa"/>
                  <w:left w:w="108" w:type="dxa"/>
                  <w:bottom w:w="0" w:type="dxa"/>
                  <w:right w:w="108" w:type="dxa"/>
                </w:tblCellMar>
              </w:tblPrEx>
              <w:trPr>
                <w:trHeight w:val="317" w:hRule="atLeast"/>
              </w:trPr>
              <w:tc>
                <w:tcPr>
                  <w:tcW w:w="13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DF8C85">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50-70</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98A915">
                  <w:pPr>
                    <w:keepNext w:val="0"/>
                    <w:keepLines w:val="0"/>
                    <w:pageBreakBefore w:val="0"/>
                    <w:widowControl/>
                    <w:kinsoku/>
                    <w:wordWrap/>
                    <w:overflowPunct/>
                    <w:topLinePunct w:val="0"/>
                    <w:autoSpaceDE/>
                    <w:autoSpaceDN/>
                    <w:bidi w:val="0"/>
                    <w:adjustRightInd/>
                    <w:snapToGrid/>
                    <w:spacing w:line="320" w:lineRule="exact"/>
                    <w:jc w:val="center"/>
                    <w:rPr>
                      <w:color w:val="auto"/>
                      <w:szCs w:val="21"/>
                    </w:rPr>
                  </w:pPr>
                  <w:r>
                    <w:rPr>
                      <w:rFonts w:hint="eastAsia"/>
                      <w:color w:val="auto"/>
                      <w:szCs w:val="21"/>
                    </w:rPr>
                    <w:t>/</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E1D5CE3">
                  <w:pPr>
                    <w:keepNext w:val="0"/>
                    <w:keepLines w:val="0"/>
                    <w:pageBreakBefore w:val="0"/>
                    <w:widowControl/>
                    <w:kinsoku/>
                    <w:wordWrap/>
                    <w:overflowPunct/>
                    <w:topLinePunct w:val="0"/>
                    <w:autoSpaceDE/>
                    <w:autoSpaceDN/>
                    <w:bidi w:val="0"/>
                    <w:adjustRightInd/>
                    <w:snapToGrid/>
                    <w:spacing w:line="320" w:lineRule="exact"/>
                    <w:jc w:val="center"/>
                    <w:rPr>
                      <w:color w:val="auto"/>
                      <w:szCs w:val="21"/>
                    </w:rPr>
                  </w:pPr>
                  <w:r>
                    <w:rPr>
                      <w:rFonts w:hint="eastAsia"/>
                      <w:color w:val="auto"/>
                      <w:szCs w:val="21"/>
                    </w:rPr>
                    <w:t>/</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0526B2E">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eastAsia="宋体"/>
                      <w:color w:val="auto"/>
                      <w:szCs w:val="21"/>
                      <w:lang w:val="en-US" w:eastAsia="zh-CN"/>
                    </w:rPr>
                  </w:pPr>
                  <w:r>
                    <w:rPr>
                      <w:rFonts w:hint="eastAsia"/>
                      <w:color w:val="auto"/>
                      <w:kern w:val="0"/>
                      <w:szCs w:val="21"/>
                      <w:lang w:val="en-US" w:eastAsia="zh-CN"/>
                    </w:rPr>
                    <w:t>7.036</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B71EE0">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rFonts w:hint="eastAsia"/>
                      <w:color w:val="auto"/>
                      <w:kern w:val="0"/>
                      <w:szCs w:val="21"/>
                      <w:lang w:val="en-US" w:eastAsia="zh-CN"/>
                    </w:rPr>
                    <w:t>7.036</w:t>
                  </w:r>
                </w:p>
              </w:tc>
            </w:tr>
            <w:tr w14:paraId="48651CB2">
              <w:tblPrEx>
                <w:tblCellMar>
                  <w:top w:w="0" w:type="dxa"/>
                  <w:left w:w="108" w:type="dxa"/>
                  <w:bottom w:w="0" w:type="dxa"/>
                  <w:right w:w="108" w:type="dxa"/>
                </w:tblCellMar>
              </w:tblPrEx>
              <w:trPr>
                <w:trHeight w:val="317" w:hRule="atLeast"/>
              </w:trPr>
              <w:tc>
                <w:tcPr>
                  <w:tcW w:w="13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1BEFF3">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30-50</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92A3EFD">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 xml:space="preserve">0.090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3C281EA">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kern w:val="0"/>
                      <w:szCs w:val="21"/>
                    </w:rPr>
                  </w:pPr>
                  <w:r>
                    <w:rPr>
                      <w:rFonts w:hint="eastAsia"/>
                      <w:color w:val="auto"/>
                      <w:kern w:val="0"/>
                      <w:szCs w:val="21"/>
                    </w:rPr>
                    <w:t>8.356</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90159F">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eastAsia="宋体"/>
                      <w:color w:val="auto"/>
                      <w:szCs w:val="21"/>
                      <w:lang w:val="en-US" w:eastAsia="zh-CN"/>
                    </w:rPr>
                  </w:pPr>
                  <w:r>
                    <w:rPr>
                      <w:rFonts w:hint="eastAsia"/>
                      <w:color w:val="auto"/>
                      <w:szCs w:val="21"/>
                      <w:lang w:val="en-US" w:eastAsia="zh-CN"/>
                    </w:rPr>
                    <w:t>14.465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E4D0757">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rFonts w:hint="eastAsia"/>
                      <w:color w:val="auto"/>
                      <w:szCs w:val="21"/>
                      <w:lang w:val="en-US" w:eastAsia="zh-CN"/>
                    </w:rPr>
                    <w:t>14.465</w:t>
                  </w:r>
                </w:p>
              </w:tc>
            </w:tr>
            <w:tr w14:paraId="4CD97D74">
              <w:tblPrEx>
                <w:tblCellMar>
                  <w:top w:w="0" w:type="dxa"/>
                  <w:left w:w="108" w:type="dxa"/>
                  <w:bottom w:w="0" w:type="dxa"/>
                  <w:right w:w="108" w:type="dxa"/>
                </w:tblCellMar>
              </w:tblPrEx>
              <w:trPr>
                <w:trHeight w:val="317" w:hRule="atLeast"/>
              </w:trPr>
              <w:tc>
                <w:tcPr>
                  <w:tcW w:w="13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DE25F6">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10-30</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EA6E85D">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 xml:space="preserve">0.800 </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539AFA">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kern w:val="0"/>
                      <w:szCs w:val="21"/>
                    </w:rPr>
                  </w:pPr>
                  <w:r>
                    <w:rPr>
                      <w:rFonts w:hint="eastAsia"/>
                      <w:color w:val="auto"/>
                      <w:kern w:val="0"/>
                      <w:szCs w:val="21"/>
                    </w:rPr>
                    <w:t>74.274</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716589">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eastAsia="宋体"/>
                      <w:color w:val="auto"/>
                      <w:szCs w:val="21"/>
                      <w:lang w:val="en-US" w:eastAsia="zh-CN"/>
                    </w:rPr>
                  </w:pPr>
                  <w:r>
                    <w:rPr>
                      <w:rFonts w:hint="eastAsia"/>
                      <w:color w:val="auto"/>
                      <w:szCs w:val="21"/>
                      <w:lang w:val="en-US" w:eastAsia="zh-CN"/>
                    </w:rPr>
                    <w:t>66.755</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5FA819">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rFonts w:hint="eastAsia"/>
                      <w:color w:val="auto"/>
                      <w:szCs w:val="21"/>
                      <w:lang w:val="en-US" w:eastAsia="zh-CN"/>
                    </w:rPr>
                    <w:t>66.755</w:t>
                  </w:r>
                </w:p>
              </w:tc>
            </w:tr>
            <w:tr w14:paraId="0A893A16">
              <w:tblPrEx>
                <w:tblCellMar>
                  <w:top w:w="0" w:type="dxa"/>
                  <w:left w:w="108" w:type="dxa"/>
                  <w:bottom w:w="0" w:type="dxa"/>
                  <w:right w:w="108" w:type="dxa"/>
                </w:tblCellMar>
              </w:tblPrEx>
              <w:trPr>
                <w:trHeight w:val="317" w:hRule="atLeast"/>
              </w:trPr>
              <w:tc>
                <w:tcPr>
                  <w:tcW w:w="13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F48321">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≤10</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A42E57">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0.187</w:t>
                  </w:r>
                  <w:r>
                    <w:rPr>
                      <w:rFonts w:hint="eastAsia"/>
                      <w:color w:val="auto"/>
                      <w:kern w:val="0"/>
                      <w:szCs w:val="21"/>
                    </w:rPr>
                    <w:t>1</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D1135F">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kern w:val="0"/>
                      <w:szCs w:val="21"/>
                    </w:rPr>
                  </w:pPr>
                  <w:r>
                    <w:rPr>
                      <w:rFonts w:hint="eastAsia"/>
                      <w:color w:val="auto"/>
                      <w:kern w:val="0"/>
                      <w:szCs w:val="21"/>
                    </w:rPr>
                    <w:t>17.371</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0168790">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eastAsia="宋体"/>
                      <w:color w:val="auto"/>
                      <w:szCs w:val="21"/>
                      <w:lang w:val="en-US" w:eastAsia="zh-CN"/>
                    </w:rPr>
                  </w:pPr>
                  <w:r>
                    <w:rPr>
                      <w:rFonts w:hint="eastAsia"/>
                      <w:color w:val="auto"/>
                      <w:szCs w:val="21"/>
                      <w:lang w:val="en-US" w:eastAsia="zh-CN"/>
                    </w:rPr>
                    <w:t>11.744</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032496">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rFonts w:hint="eastAsia"/>
                      <w:color w:val="auto"/>
                      <w:szCs w:val="21"/>
                      <w:lang w:val="en-US" w:eastAsia="zh-CN"/>
                    </w:rPr>
                    <w:t>11.744</w:t>
                  </w:r>
                </w:p>
              </w:tc>
            </w:tr>
            <w:tr w14:paraId="19008A93">
              <w:tblPrEx>
                <w:tblCellMar>
                  <w:top w:w="0" w:type="dxa"/>
                  <w:left w:w="108" w:type="dxa"/>
                  <w:bottom w:w="0" w:type="dxa"/>
                  <w:right w:w="108" w:type="dxa"/>
                </w:tblCellMar>
              </w:tblPrEx>
              <w:trPr>
                <w:trHeight w:val="317" w:hRule="atLeast"/>
              </w:trPr>
              <w:tc>
                <w:tcPr>
                  <w:tcW w:w="132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887337E">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合计</w:t>
                  </w:r>
                </w:p>
              </w:tc>
              <w:tc>
                <w:tcPr>
                  <w:tcW w:w="172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35D555A">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1.077</w:t>
                  </w:r>
                  <w:r>
                    <w:rPr>
                      <w:rFonts w:hint="eastAsia"/>
                      <w:color w:val="auto"/>
                      <w:kern w:val="0"/>
                      <w:szCs w:val="21"/>
                    </w:rPr>
                    <w:t>1</w:t>
                  </w:r>
                </w:p>
              </w:tc>
              <w:tc>
                <w:tcPr>
                  <w:tcW w:w="151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287277">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 xml:space="preserve">100.000 </w:t>
                  </w:r>
                </w:p>
              </w:tc>
              <w:tc>
                <w:tcPr>
                  <w:tcW w:w="171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FD1A24">
                  <w:pPr>
                    <w:keepNext w:val="0"/>
                    <w:keepLines w:val="0"/>
                    <w:pageBreakBefore w:val="0"/>
                    <w:widowControl/>
                    <w:kinsoku/>
                    <w:wordWrap/>
                    <w:overflowPunct/>
                    <w:topLinePunct w:val="0"/>
                    <w:autoSpaceDE/>
                    <w:autoSpaceDN/>
                    <w:bidi w:val="0"/>
                    <w:adjustRightInd/>
                    <w:snapToGrid/>
                    <w:spacing w:line="320" w:lineRule="exact"/>
                    <w:jc w:val="center"/>
                    <w:textAlignment w:val="center"/>
                    <w:rPr>
                      <w:rFonts w:hint="default" w:eastAsia="宋体"/>
                      <w:color w:val="auto"/>
                      <w:szCs w:val="21"/>
                      <w:lang w:val="en-US" w:eastAsia="zh-CN"/>
                    </w:rPr>
                  </w:pPr>
                  <w:r>
                    <w:rPr>
                      <w:rFonts w:hint="eastAsia"/>
                      <w:color w:val="auto"/>
                      <w:szCs w:val="21"/>
                      <w:lang w:val="en-US" w:eastAsia="zh-CN"/>
                    </w:rPr>
                    <w:t>100.000</w:t>
                  </w:r>
                </w:p>
              </w:tc>
              <w:tc>
                <w:tcPr>
                  <w:tcW w:w="19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EF0D6D">
                  <w:pPr>
                    <w:keepNext w:val="0"/>
                    <w:keepLines w:val="0"/>
                    <w:pageBreakBefore w:val="0"/>
                    <w:widowControl/>
                    <w:kinsoku/>
                    <w:wordWrap/>
                    <w:overflowPunct/>
                    <w:topLinePunct w:val="0"/>
                    <w:autoSpaceDE/>
                    <w:autoSpaceDN/>
                    <w:bidi w:val="0"/>
                    <w:adjustRightInd/>
                    <w:snapToGrid/>
                    <w:spacing w:line="320" w:lineRule="exact"/>
                    <w:jc w:val="center"/>
                    <w:textAlignment w:val="center"/>
                    <w:rPr>
                      <w:color w:val="auto"/>
                      <w:szCs w:val="21"/>
                    </w:rPr>
                  </w:pPr>
                  <w:r>
                    <w:rPr>
                      <w:color w:val="auto"/>
                      <w:kern w:val="0"/>
                      <w:szCs w:val="21"/>
                    </w:rPr>
                    <w:t xml:space="preserve">100.000 </w:t>
                  </w:r>
                </w:p>
              </w:tc>
            </w:tr>
          </w:tbl>
          <w:p w14:paraId="06ED7EC3">
            <w:pPr>
              <w:spacing w:line="500" w:lineRule="exact"/>
              <w:ind w:firstLine="482" w:firstLineChars="200"/>
              <w:rPr>
                <w:b/>
                <w:bCs/>
                <w:color w:val="auto"/>
                <w:sz w:val="24"/>
              </w:rPr>
            </w:pPr>
            <w:r>
              <w:rPr>
                <w:rFonts w:hint="eastAsia"/>
                <w:b/>
                <w:bCs/>
                <w:color w:val="auto"/>
                <w:sz w:val="24"/>
              </w:rPr>
              <w:t>二、</w:t>
            </w:r>
            <w:r>
              <w:rPr>
                <w:b/>
                <w:bCs/>
                <w:color w:val="auto"/>
                <w:sz w:val="24"/>
              </w:rPr>
              <w:t>大气环境质量现状评价</w:t>
            </w:r>
          </w:p>
          <w:p w14:paraId="140AD3DE">
            <w:pPr>
              <w:adjustRightInd w:val="0"/>
              <w:snapToGrid w:val="0"/>
              <w:spacing w:line="500" w:lineRule="exact"/>
              <w:ind w:firstLine="480" w:firstLineChars="200"/>
              <w:jc w:val="left"/>
              <w:rPr>
                <w:color w:val="auto"/>
                <w:sz w:val="24"/>
              </w:rPr>
            </w:pPr>
            <w:r>
              <w:rPr>
                <w:color w:val="auto"/>
                <w:sz w:val="24"/>
              </w:rPr>
              <w:t>1</w:t>
            </w:r>
            <w:r>
              <w:rPr>
                <w:rFonts w:hint="eastAsia"/>
                <w:color w:val="auto"/>
                <w:sz w:val="24"/>
              </w:rPr>
              <w:t>、</w:t>
            </w:r>
            <w:r>
              <w:rPr>
                <w:color w:val="auto"/>
                <w:sz w:val="24"/>
              </w:rPr>
              <w:t>大气环境质量达标区判定</w:t>
            </w:r>
          </w:p>
          <w:p w14:paraId="4AD550A1">
            <w:pPr>
              <w:adjustRightInd w:val="0"/>
              <w:snapToGrid w:val="0"/>
              <w:spacing w:line="500" w:lineRule="exact"/>
              <w:ind w:firstLine="480" w:firstLineChars="200"/>
              <w:rPr>
                <w:color w:val="auto"/>
                <w:sz w:val="24"/>
              </w:rPr>
            </w:pPr>
            <w:r>
              <w:rPr>
                <w:color w:val="auto"/>
                <w:sz w:val="24"/>
              </w:rPr>
              <w:t>本项目位于内蒙古自治区鄂尔多斯市东胜区，项目所在地环境空气质量为2类功能区，因此该地区环境空气质量执行《环境空气质量标准》</w:t>
            </w:r>
            <w:r>
              <w:rPr>
                <w:rFonts w:hint="eastAsia"/>
                <w:color w:val="auto"/>
                <w:sz w:val="24"/>
              </w:rPr>
              <w:t>（</w:t>
            </w:r>
            <w:r>
              <w:rPr>
                <w:color w:val="auto"/>
                <w:sz w:val="24"/>
              </w:rPr>
              <w:t>GB3095-2012</w:t>
            </w:r>
            <w:r>
              <w:rPr>
                <w:rFonts w:hint="eastAsia"/>
                <w:color w:val="auto"/>
                <w:sz w:val="24"/>
              </w:rPr>
              <w:t>）</w:t>
            </w:r>
            <w:r>
              <w:rPr>
                <w:color w:val="auto"/>
                <w:sz w:val="24"/>
              </w:rPr>
              <w:t>中的</w:t>
            </w:r>
            <w:r>
              <w:rPr>
                <w:rFonts w:hint="eastAsia"/>
                <w:color w:val="auto"/>
                <w:sz w:val="24"/>
              </w:rPr>
              <w:t>二</w:t>
            </w:r>
            <w:r>
              <w:rPr>
                <w:color w:val="auto"/>
                <w:sz w:val="24"/>
              </w:rPr>
              <w:t>级标准。</w:t>
            </w:r>
          </w:p>
          <w:p w14:paraId="5C7A5C6A">
            <w:pPr>
              <w:adjustRightInd w:val="0"/>
              <w:snapToGrid w:val="0"/>
              <w:spacing w:line="500" w:lineRule="exact"/>
              <w:ind w:firstLine="480" w:firstLineChars="200"/>
              <w:rPr>
                <w:color w:val="auto"/>
                <w:sz w:val="24"/>
                <w:highlight w:val="yellow"/>
              </w:rPr>
            </w:pPr>
            <w:r>
              <w:rPr>
                <w:color w:val="auto"/>
                <w:sz w:val="24"/>
              </w:rPr>
              <w:t>2024年6月内蒙古自治区生态环境厅发布了《2023年内蒙古自治区生态环境状况公报》，报告指出“2023年，全区12盟市中，除乌海市，其他 11个盟市环境空气质量均达标”。</w:t>
            </w:r>
            <w:r>
              <w:rPr>
                <w:bCs/>
                <w:color w:val="auto"/>
                <w:sz w:val="24"/>
                <w:highlight w:val="none"/>
              </w:rPr>
              <w:t>鄂尔多斯市中心城区六项基本污染物平均浓度均低于《环境空气质量标准》（GB3095-2012）及其修改单二级标准浓度限值要求。</w:t>
            </w:r>
          </w:p>
          <w:p w14:paraId="62EBB386">
            <w:pPr>
              <w:pStyle w:val="28"/>
              <w:spacing w:after="0" w:line="500" w:lineRule="exact"/>
              <w:ind w:left="0" w:leftChars="0" w:firstLine="480" w:firstLineChars="200"/>
              <w:rPr>
                <w:color w:val="auto"/>
                <w:sz w:val="24"/>
              </w:rPr>
            </w:pPr>
            <w:r>
              <w:rPr>
                <w:rFonts w:hint="eastAsia"/>
                <w:color w:val="auto"/>
                <w:sz w:val="24"/>
              </w:rPr>
              <w:t>2、</w:t>
            </w:r>
            <w:r>
              <w:rPr>
                <w:color w:val="auto"/>
                <w:sz w:val="24"/>
              </w:rPr>
              <w:t>特征污染物</w:t>
            </w:r>
          </w:p>
          <w:p w14:paraId="301D6115">
            <w:pPr>
              <w:spacing w:line="500" w:lineRule="exact"/>
              <w:ind w:firstLine="480" w:firstLineChars="200"/>
              <w:rPr>
                <w:color w:val="auto"/>
                <w:sz w:val="24"/>
              </w:rPr>
            </w:pPr>
            <w:r>
              <w:rPr>
                <w:color w:val="auto"/>
                <w:sz w:val="24"/>
              </w:rPr>
              <w:t>本项目运营过程中排放的特征污染物主要是颗粒物，本次评价</w:t>
            </w:r>
            <w:r>
              <w:rPr>
                <w:rFonts w:hint="eastAsia"/>
                <w:color w:val="auto"/>
                <w:sz w:val="24"/>
                <w:lang w:val="en-US" w:eastAsia="zh-CN"/>
              </w:rPr>
              <w:t>由</w:t>
            </w:r>
            <w:r>
              <w:rPr>
                <w:color w:val="auto"/>
                <w:sz w:val="24"/>
              </w:rPr>
              <w:t>建设单位委托</w:t>
            </w:r>
            <w:r>
              <w:rPr>
                <w:rFonts w:hint="eastAsia" w:ascii="宋体" w:hAnsi="宋体" w:cs="宋体"/>
                <w:color w:val="auto"/>
                <w:sz w:val="24"/>
              </w:rPr>
              <w:t>内蒙古同创环境检测有限公司</w:t>
            </w:r>
            <w:r>
              <w:rPr>
                <w:color w:val="auto"/>
                <w:sz w:val="24"/>
              </w:rPr>
              <w:t>于202</w:t>
            </w:r>
            <w:r>
              <w:rPr>
                <w:rFonts w:hint="eastAsia"/>
                <w:color w:val="auto"/>
                <w:sz w:val="24"/>
              </w:rPr>
              <w:t>4</w:t>
            </w:r>
            <w:r>
              <w:rPr>
                <w:color w:val="auto"/>
                <w:sz w:val="24"/>
              </w:rPr>
              <w:t>年</w:t>
            </w:r>
            <w:r>
              <w:rPr>
                <w:rFonts w:hint="eastAsia"/>
                <w:color w:val="auto"/>
                <w:sz w:val="24"/>
              </w:rPr>
              <w:t>7</w:t>
            </w:r>
            <w:r>
              <w:rPr>
                <w:color w:val="auto"/>
                <w:sz w:val="24"/>
              </w:rPr>
              <w:t>月</w:t>
            </w:r>
            <w:r>
              <w:rPr>
                <w:rFonts w:hint="eastAsia"/>
                <w:color w:val="auto"/>
                <w:sz w:val="24"/>
              </w:rPr>
              <w:t>12</w:t>
            </w:r>
            <w:r>
              <w:rPr>
                <w:color w:val="auto"/>
                <w:sz w:val="24"/>
              </w:rPr>
              <w:t>日至202</w:t>
            </w:r>
            <w:r>
              <w:rPr>
                <w:rFonts w:hint="eastAsia"/>
                <w:color w:val="auto"/>
                <w:sz w:val="24"/>
              </w:rPr>
              <w:t>4</w:t>
            </w:r>
            <w:r>
              <w:rPr>
                <w:color w:val="auto"/>
                <w:sz w:val="24"/>
              </w:rPr>
              <w:t>年</w:t>
            </w:r>
            <w:r>
              <w:rPr>
                <w:rFonts w:hint="eastAsia"/>
                <w:color w:val="auto"/>
                <w:sz w:val="24"/>
              </w:rPr>
              <w:t>7</w:t>
            </w:r>
            <w:r>
              <w:rPr>
                <w:color w:val="auto"/>
                <w:sz w:val="24"/>
              </w:rPr>
              <w:t>月</w:t>
            </w:r>
            <w:r>
              <w:rPr>
                <w:rFonts w:hint="eastAsia"/>
                <w:color w:val="auto"/>
                <w:sz w:val="24"/>
              </w:rPr>
              <w:t>14</w:t>
            </w:r>
            <w:r>
              <w:rPr>
                <w:color w:val="auto"/>
                <w:sz w:val="24"/>
              </w:rPr>
              <w:t>日对项目厂址下风向特征污染物TSP进行现状监测</w:t>
            </w:r>
            <w:r>
              <w:rPr>
                <w:rFonts w:hint="eastAsia"/>
                <w:color w:val="auto"/>
                <w:sz w:val="24"/>
                <w:lang w:eastAsia="zh-CN"/>
              </w:rPr>
              <w:t>（</w:t>
            </w:r>
            <w:r>
              <w:rPr>
                <w:rFonts w:hint="eastAsia"/>
                <w:color w:val="auto"/>
                <w:sz w:val="24"/>
                <w:lang w:val="en-US" w:eastAsia="zh-CN"/>
              </w:rPr>
              <w:t>监测报告见附件18</w:t>
            </w:r>
            <w:r>
              <w:rPr>
                <w:rFonts w:hint="eastAsia"/>
                <w:color w:val="auto"/>
                <w:sz w:val="24"/>
                <w:lang w:eastAsia="zh-CN"/>
              </w:rPr>
              <w:t>）</w:t>
            </w:r>
            <w:r>
              <w:rPr>
                <w:color w:val="auto"/>
                <w:sz w:val="24"/>
              </w:rPr>
              <w:t>。监测点布设及监测项目情况见表3-</w:t>
            </w:r>
            <w:r>
              <w:rPr>
                <w:rFonts w:hint="eastAsia"/>
                <w:color w:val="auto"/>
                <w:sz w:val="24"/>
              </w:rPr>
              <w:t>5</w:t>
            </w:r>
            <w:r>
              <w:rPr>
                <w:color w:val="auto"/>
                <w:sz w:val="24"/>
              </w:rPr>
              <w:t>，监测结果见表3-</w:t>
            </w:r>
            <w:r>
              <w:rPr>
                <w:rFonts w:hint="eastAsia"/>
                <w:color w:val="auto"/>
                <w:sz w:val="24"/>
              </w:rPr>
              <w:t>6</w:t>
            </w:r>
            <w:r>
              <w:rPr>
                <w:color w:val="auto"/>
                <w:sz w:val="24"/>
              </w:rPr>
              <w:t>。</w:t>
            </w:r>
          </w:p>
          <w:p w14:paraId="09BE4828">
            <w:pPr>
              <w:spacing w:line="500" w:lineRule="exact"/>
              <w:ind w:firstLine="2168" w:firstLineChars="900"/>
              <w:rPr>
                <w:b/>
                <w:bCs/>
                <w:color w:val="auto"/>
                <w:sz w:val="24"/>
              </w:rPr>
            </w:pPr>
            <w:r>
              <w:rPr>
                <w:b/>
                <w:bCs/>
                <w:color w:val="auto"/>
                <w:sz w:val="24"/>
              </w:rPr>
              <w:t>表3-</w:t>
            </w:r>
            <w:r>
              <w:rPr>
                <w:rFonts w:hint="eastAsia"/>
                <w:b/>
                <w:bCs/>
                <w:color w:val="auto"/>
                <w:sz w:val="24"/>
              </w:rPr>
              <w:t>5</w:t>
            </w:r>
            <w:r>
              <w:rPr>
                <w:b/>
                <w:bCs/>
                <w:color w:val="auto"/>
                <w:sz w:val="24"/>
              </w:rPr>
              <w:t xml:space="preserve">   现状监测点布设情况</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383"/>
              <w:gridCol w:w="1538"/>
              <w:gridCol w:w="1348"/>
              <w:gridCol w:w="1174"/>
              <w:gridCol w:w="1221"/>
              <w:gridCol w:w="1140"/>
            </w:tblGrid>
            <w:tr w14:paraId="551D9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 w:type="dxa"/>
                  <w:vMerge w:val="restart"/>
                  <w:vAlign w:val="center"/>
                </w:tcPr>
                <w:p w14:paraId="085554A8">
                  <w:pPr>
                    <w:spacing w:line="360" w:lineRule="exact"/>
                    <w:jc w:val="center"/>
                    <w:rPr>
                      <w:color w:val="auto"/>
                      <w:szCs w:val="21"/>
                    </w:rPr>
                  </w:pPr>
                  <w:r>
                    <w:rPr>
                      <w:color w:val="auto"/>
                      <w:szCs w:val="21"/>
                    </w:rPr>
                    <w:t>序号</w:t>
                  </w:r>
                </w:p>
              </w:tc>
              <w:tc>
                <w:tcPr>
                  <w:tcW w:w="1362" w:type="dxa"/>
                  <w:vMerge w:val="restart"/>
                  <w:vAlign w:val="center"/>
                </w:tcPr>
                <w:p w14:paraId="00CA716F">
                  <w:pPr>
                    <w:spacing w:line="360" w:lineRule="exact"/>
                    <w:jc w:val="center"/>
                    <w:rPr>
                      <w:color w:val="auto"/>
                      <w:szCs w:val="21"/>
                    </w:rPr>
                  </w:pPr>
                  <w:r>
                    <w:rPr>
                      <w:color w:val="auto"/>
                      <w:szCs w:val="21"/>
                    </w:rPr>
                    <w:t>点位名称</w:t>
                  </w:r>
                </w:p>
              </w:tc>
              <w:tc>
                <w:tcPr>
                  <w:tcW w:w="2843" w:type="dxa"/>
                  <w:gridSpan w:val="2"/>
                  <w:vAlign w:val="center"/>
                </w:tcPr>
                <w:p w14:paraId="2EA14D46">
                  <w:pPr>
                    <w:spacing w:line="360" w:lineRule="exact"/>
                    <w:jc w:val="center"/>
                    <w:rPr>
                      <w:color w:val="auto"/>
                      <w:szCs w:val="21"/>
                    </w:rPr>
                  </w:pPr>
                  <w:r>
                    <w:rPr>
                      <w:color w:val="auto"/>
                      <w:szCs w:val="21"/>
                    </w:rPr>
                    <w:t>坐标</w:t>
                  </w:r>
                </w:p>
              </w:tc>
              <w:tc>
                <w:tcPr>
                  <w:tcW w:w="2360" w:type="dxa"/>
                  <w:gridSpan w:val="2"/>
                  <w:vAlign w:val="center"/>
                </w:tcPr>
                <w:p w14:paraId="4371DA11">
                  <w:pPr>
                    <w:spacing w:line="360" w:lineRule="exact"/>
                    <w:jc w:val="center"/>
                    <w:rPr>
                      <w:color w:val="auto"/>
                      <w:szCs w:val="21"/>
                    </w:rPr>
                  </w:pPr>
                  <w:r>
                    <w:rPr>
                      <w:color w:val="auto"/>
                      <w:szCs w:val="21"/>
                    </w:rPr>
                    <w:t>与本项目厂址位置关系</w:t>
                  </w:r>
                </w:p>
              </w:tc>
              <w:tc>
                <w:tcPr>
                  <w:tcW w:w="1123" w:type="dxa"/>
                  <w:vMerge w:val="restart"/>
                  <w:vAlign w:val="center"/>
                </w:tcPr>
                <w:p w14:paraId="73DBC0F2">
                  <w:pPr>
                    <w:spacing w:line="360" w:lineRule="exact"/>
                    <w:jc w:val="center"/>
                    <w:rPr>
                      <w:color w:val="auto"/>
                      <w:szCs w:val="21"/>
                    </w:rPr>
                  </w:pPr>
                  <w:r>
                    <w:rPr>
                      <w:color w:val="auto"/>
                      <w:szCs w:val="21"/>
                    </w:rPr>
                    <w:t>监测内容</w:t>
                  </w:r>
                </w:p>
              </w:tc>
            </w:tr>
            <w:tr w14:paraId="23FF4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 w:type="dxa"/>
                  <w:vMerge w:val="continue"/>
                  <w:vAlign w:val="center"/>
                </w:tcPr>
                <w:p w14:paraId="48C32A97">
                  <w:pPr>
                    <w:spacing w:line="360" w:lineRule="exact"/>
                    <w:jc w:val="center"/>
                    <w:rPr>
                      <w:color w:val="auto"/>
                      <w:szCs w:val="21"/>
                    </w:rPr>
                  </w:pPr>
                </w:p>
              </w:tc>
              <w:tc>
                <w:tcPr>
                  <w:tcW w:w="1362" w:type="dxa"/>
                  <w:vMerge w:val="continue"/>
                  <w:vAlign w:val="center"/>
                </w:tcPr>
                <w:p w14:paraId="5D6B2B0D">
                  <w:pPr>
                    <w:spacing w:line="360" w:lineRule="exact"/>
                    <w:jc w:val="center"/>
                    <w:rPr>
                      <w:color w:val="auto"/>
                      <w:szCs w:val="21"/>
                    </w:rPr>
                  </w:pPr>
                </w:p>
              </w:tc>
              <w:tc>
                <w:tcPr>
                  <w:tcW w:w="1515" w:type="dxa"/>
                  <w:vAlign w:val="center"/>
                </w:tcPr>
                <w:p w14:paraId="604DB566">
                  <w:pPr>
                    <w:spacing w:line="360" w:lineRule="exact"/>
                    <w:jc w:val="center"/>
                    <w:rPr>
                      <w:color w:val="auto"/>
                      <w:szCs w:val="21"/>
                    </w:rPr>
                  </w:pPr>
                  <w:r>
                    <w:rPr>
                      <w:color w:val="auto"/>
                      <w:szCs w:val="21"/>
                    </w:rPr>
                    <w:t>经度（E）</w:t>
                  </w:r>
                </w:p>
              </w:tc>
              <w:tc>
                <w:tcPr>
                  <w:tcW w:w="1328" w:type="dxa"/>
                  <w:vAlign w:val="center"/>
                </w:tcPr>
                <w:p w14:paraId="1FC3E4DD">
                  <w:pPr>
                    <w:spacing w:line="360" w:lineRule="exact"/>
                    <w:jc w:val="center"/>
                    <w:rPr>
                      <w:color w:val="auto"/>
                      <w:szCs w:val="21"/>
                    </w:rPr>
                  </w:pPr>
                  <w:r>
                    <w:rPr>
                      <w:color w:val="auto"/>
                      <w:szCs w:val="21"/>
                    </w:rPr>
                    <w:t>纬度（N）</w:t>
                  </w:r>
                </w:p>
              </w:tc>
              <w:tc>
                <w:tcPr>
                  <w:tcW w:w="1157" w:type="dxa"/>
                  <w:vAlign w:val="center"/>
                </w:tcPr>
                <w:p w14:paraId="7490DC39">
                  <w:pPr>
                    <w:spacing w:line="360" w:lineRule="exact"/>
                    <w:jc w:val="center"/>
                    <w:rPr>
                      <w:color w:val="auto"/>
                      <w:szCs w:val="21"/>
                    </w:rPr>
                  </w:pPr>
                  <w:r>
                    <w:rPr>
                      <w:color w:val="auto"/>
                      <w:szCs w:val="21"/>
                    </w:rPr>
                    <w:t>方位</w:t>
                  </w:r>
                </w:p>
              </w:tc>
              <w:tc>
                <w:tcPr>
                  <w:tcW w:w="1203" w:type="dxa"/>
                  <w:vAlign w:val="center"/>
                </w:tcPr>
                <w:p w14:paraId="308FFBCE">
                  <w:pPr>
                    <w:spacing w:line="360" w:lineRule="exact"/>
                    <w:jc w:val="center"/>
                    <w:rPr>
                      <w:color w:val="auto"/>
                      <w:szCs w:val="21"/>
                    </w:rPr>
                  </w:pPr>
                  <w:r>
                    <w:rPr>
                      <w:color w:val="auto"/>
                      <w:szCs w:val="21"/>
                    </w:rPr>
                    <w:t>距离</w:t>
                  </w:r>
                </w:p>
              </w:tc>
              <w:tc>
                <w:tcPr>
                  <w:tcW w:w="1123" w:type="dxa"/>
                  <w:vMerge w:val="continue"/>
                  <w:vAlign w:val="center"/>
                </w:tcPr>
                <w:p w14:paraId="1FDD3FFF">
                  <w:pPr>
                    <w:spacing w:line="360" w:lineRule="exact"/>
                    <w:jc w:val="center"/>
                    <w:rPr>
                      <w:color w:val="auto"/>
                      <w:szCs w:val="21"/>
                    </w:rPr>
                  </w:pPr>
                </w:p>
              </w:tc>
            </w:tr>
            <w:tr w14:paraId="12699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5" w:type="dxa"/>
                  <w:vAlign w:val="center"/>
                </w:tcPr>
                <w:p w14:paraId="15A7AF4C">
                  <w:pPr>
                    <w:spacing w:line="360" w:lineRule="exact"/>
                    <w:jc w:val="center"/>
                    <w:rPr>
                      <w:color w:val="auto"/>
                      <w:szCs w:val="21"/>
                    </w:rPr>
                  </w:pPr>
                  <w:r>
                    <w:rPr>
                      <w:color w:val="auto"/>
                      <w:szCs w:val="21"/>
                    </w:rPr>
                    <w:t>1</w:t>
                  </w:r>
                </w:p>
              </w:tc>
              <w:tc>
                <w:tcPr>
                  <w:tcW w:w="1362" w:type="dxa"/>
                  <w:vAlign w:val="center"/>
                </w:tcPr>
                <w:p w14:paraId="0AFD16D0">
                  <w:pPr>
                    <w:spacing w:line="360" w:lineRule="exact"/>
                    <w:jc w:val="center"/>
                    <w:rPr>
                      <w:color w:val="auto"/>
                      <w:szCs w:val="21"/>
                    </w:rPr>
                  </w:pPr>
                  <w:r>
                    <w:rPr>
                      <w:color w:val="auto"/>
                      <w:szCs w:val="21"/>
                    </w:rPr>
                    <w:t>项目厂址</w:t>
                  </w:r>
                  <w:r>
                    <w:rPr>
                      <w:rFonts w:hint="eastAsia"/>
                      <w:color w:val="auto"/>
                      <w:szCs w:val="21"/>
                    </w:rPr>
                    <w:t>下风向10m处</w:t>
                  </w:r>
                </w:p>
              </w:tc>
              <w:tc>
                <w:tcPr>
                  <w:tcW w:w="1515" w:type="dxa"/>
                  <w:vAlign w:val="center"/>
                </w:tcPr>
                <w:p w14:paraId="029DA008">
                  <w:pPr>
                    <w:spacing w:line="360" w:lineRule="exact"/>
                    <w:jc w:val="center"/>
                    <w:rPr>
                      <w:color w:val="auto"/>
                      <w:szCs w:val="21"/>
                    </w:rPr>
                  </w:pPr>
                  <w:r>
                    <w:rPr>
                      <w:rFonts w:eastAsia="Times New Roman"/>
                      <w:bCs/>
                      <w:color w:val="auto"/>
                      <w:szCs w:val="21"/>
                    </w:rPr>
                    <w:t>1</w:t>
                  </w:r>
                  <w:r>
                    <w:rPr>
                      <w:rFonts w:hint="eastAsia"/>
                      <w:bCs/>
                      <w:color w:val="auto"/>
                      <w:szCs w:val="21"/>
                    </w:rPr>
                    <w:t>10</w:t>
                  </w:r>
                  <w:r>
                    <w:rPr>
                      <w:rFonts w:eastAsia="Times New Roman"/>
                      <w:bCs/>
                      <w:color w:val="auto"/>
                      <w:szCs w:val="21"/>
                    </w:rPr>
                    <w:t>°</w:t>
                  </w:r>
                  <w:r>
                    <w:rPr>
                      <w:rFonts w:hint="eastAsia"/>
                      <w:bCs/>
                      <w:color w:val="auto"/>
                      <w:szCs w:val="21"/>
                    </w:rPr>
                    <w:t>1</w:t>
                  </w:r>
                  <w:r>
                    <w:rPr>
                      <w:rFonts w:eastAsia="Times New Roman"/>
                      <w:bCs/>
                      <w:color w:val="auto"/>
                      <w:szCs w:val="21"/>
                    </w:rPr>
                    <w:t>'</w:t>
                  </w:r>
                  <w:r>
                    <w:rPr>
                      <w:rFonts w:hint="eastAsia"/>
                      <w:bCs/>
                      <w:color w:val="auto"/>
                      <w:szCs w:val="21"/>
                    </w:rPr>
                    <w:t>32.99</w:t>
                  </w:r>
                  <w:r>
                    <w:rPr>
                      <w:rFonts w:eastAsia="Times New Roman"/>
                      <w:bCs/>
                      <w:color w:val="auto"/>
                      <w:szCs w:val="21"/>
                    </w:rPr>
                    <w:t>"</w:t>
                  </w:r>
                </w:p>
              </w:tc>
              <w:tc>
                <w:tcPr>
                  <w:tcW w:w="1328" w:type="dxa"/>
                  <w:vAlign w:val="center"/>
                </w:tcPr>
                <w:p w14:paraId="7BA22D58">
                  <w:pPr>
                    <w:spacing w:line="360" w:lineRule="exact"/>
                    <w:jc w:val="center"/>
                    <w:rPr>
                      <w:color w:val="auto"/>
                      <w:szCs w:val="21"/>
                    </w:rPr>
                  </w:pPr>
                  <w:r>
                    <w:rPr>
                      <w:rFonts w:eastAsia="Times New Roman"/>
                      <w:bCs/>
                      <w:color w:val="auto"/>
                      <w:szCs w:val="21"/>
                    </w:rPr>
                    <w:t>39°</w:t>
                  </w:r>
                  <w:r>
                    <w:rPr>
                      <w:rFonts w:hint="eastAsia"/>
                      <w:bCs/>
                      <w:color w:val="auto"/>
                      <w:szCs w:val="21"/>
                    </w:rPr>
                    <w:t>44</w:t>
                  </w:r>
                  <w:r>
                    <w:rPr>
                      <w:rFonts w:eastAsia="Times New Roman"/>
                      <w:bCs/>
                      <w:color w:val="auto"/>
                      <w:szCs w:val="21"/>
                    </w:rPr>
                    <w:t>'</w:t>
                  </w:r>
                  <w:r>
                    <w:rPr>
                      <w:rFonts w:hint="eastAsia"/>
                      <w:bCs/>
                      <w:color w:val="auto"/>
                      <w:szCs w:val="21"/>
                    </w:rPr>
                    <w:t>54.40</w:t>
                  </w:r>
                  <w:r>
                    <w:rPr>
                      <w:rFonts w:eastAsia="Times New Roman"/>
                      <w:bCs/>
                      <w:color w:val="auto"/>
                      <w:szCs w:val="21"/>
                    </w:rPr>
                    <w:t>"</w:t>
                  </w:r>
                </w:p>
              </w:tc>
              <w:tc>
                <w:tcPr>
                  <w:tcW w:w="1157" w:type="dxa"/>
                  <w:vAlign w:val="center"/>
                </w:tcPr>
                <w:p w14:paraId="31CBA056">
                  <w:pPr>
                    <w:spacing w:line="360" w:lineRule="exact"/>
                    <w:jc w:val="center"/>
                    <w:rPr>
                      <w:color w:val="auto"/>
                      <w:szCs w:val="21"/>
                    </w:rPr>
                  </w:pPr>
                  <w:r>
                    <w:rPr>
                      <w:rFonts w:hint="eastAsia"/>
                      <w:color w:val="auto"/>
                      <w:szCs w:val="21"/>
                    </w:rPr>
                    <w:t>N</w:t>
                  </w:r>
                </w:p>
              </w:tc>
              <w:tc>
                <w:tcPr>
                  <w:tcW w:w="1203" w:type="dxa"/>
                  <w:vAlign w:val="center"/>
                </w:tcPr>
                <w:p w14:paraId="62B4C101">
                  <w:pPr>
                    <w:spacing w:line="360" w:lineRule="exact"/>
                    <w:jc w:val="center"/>
                    <w:rPr>
                      <w:color w:val="auto"/>
                      <w:szCs w:val="21"/>
                    </w:rPr>
                  </w:pPr>
                  <w:r>
                    <w:rPr>
                      <w:rFonts w:hint="eastAsia"/>
                      <w:color w:val="auto"/>
                      <w:szCs w:val="21"/>
                    </w:rPr>
                    <w:t>10</w:t>
                  </w:r>
                </w:p>
              </w:tc>
              <w:tc>
                <w:tcPr>
                  <w:tcW w:w="1123" w:type="dxa"/>
                  <w:vAlign w:val="center"/>
                </w:tcPr>
                <w:p w14:paraId="11CCBBD2">
                  <w:pPr>
                    <w:spacing w:line="360" w:lineRule="exact"/>
                    <w:jc w:val="center"/>
                    <w:rPr>
                      <w:color w:val="auto"/>
                      <w:szCs w:val="21"/>
                    </w:rPr>
                  </w:pPr>
                  <w:r>
                    <w:rPr>
                      <w:color w:val="auto"/>
                      <w:szCs w:val="21"/>
                    </w:rPr>
                    <w:t>TSP</w:t>
                  </w:r>
                </w:p>
              </w:tc>
            </w:tr>
          </w:tbl>
          <w:p w14:paraId="21DB7C54">
            <w:pPr>
              <w:pStyle w:val="14"/>
              <w:tabs>
                <w:tab w:val="left" w:pos="0"/>
              </w:tabs>
              <w:spacing w:line="500" w:lineRule="exact"/>
              <w:ind w:firstLine="2262" w:firstLineChars="939"/>
              <w:rPr>
                <w:b/>
                <w:bCs/>
                <w:color w:val="auto"/>
                <w:sz w:val="24"/>
              </w:rPr>
            </w:pPr>
            <w:r>
              <w:rPr>
                <w:b/>
                <w:bCs/>
                <w:color w:val="auto"/>
                <w:sz w:val="24"/>
              </w:rPr>
              <w:t>表3-</w:t>
            </w:r>
            <w:r>
              <w:rPr>
                <w:rFonts w:hint="eastAsia"/>
                <w:b/>
                <w:bCs/>
                <w:color w:val="auto"/>
                <w:sz w:val="24"/>
              </w:rPr>
              <w:t>6</w:t>
            </w:r>
            <w:r>
              <w:rPr>
                <w:b/>
                <w:bCs/>
                <w:color w:val="auto"/>
                <w:sz w:val="24"/>
              </w:rPr>
              <w:t xml:space="preserve">    环境空气现状监测结果</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3"/>
              <w:gridCol w:w="1075"/>
              <w:gridCol w:w="1580"/>
              <w:gridCol w:w="1146"/>
              <w:gridCol w:w="1015"/>
              <w:gridCol w:w="1015"/>
              <w:gridCol w:w="1171"/>
            </w:tblGrid>
            <w:tr w14:paraId="1EB88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Align w:val="center"/>
                </w:tcPr>
                <w:p w14:paraId="73FB2913">
                  <w:pPr>
                    <w:pStyle w:val="28"/>
                    <w:spacing w:after="0" w:line="320" w:lineRule="exact"/>
                    <w:ind w:left="0" w:leftChars="0" w:firstLine="0"/>
                    <w:jc w:val="center"/>
                    <w:rPr>
                      <w:color w:val="auto"/>
                      <w:szCs w:val="21"/>
                    </w:rPr>
                  </w:pPr>
                  <w:r>
                    <w:rPr>
                      <w:color w:val="auto"/>
                      <w:szCs w:val="21"/>
                    </w:rPr>
                    <w:t>监测时间</w:t>
                  </w:r>
                </w:p>
              </w:tc>
              <w:tc>
                <w:tcPr>
                  <w:tcW w:w="635" w:type="pct"/>
                  <w:vAlign w:val="center"/>
                </w:tcPr>
                <w:p w14:paraId="53276AEA">
                  <w:pPr>
                    <w:pStyle w:val="28"/>
                    <w:spacing w:after="0" w:line="320" w:lineRule="exact"/>
                    <w:ind w:left="0" w:leftChars="0" w:firstLine="0"/>
                    <w:jc w:val="center"/>
                    <w:rPr>
                      <w:color w:val="auto"/>
                      <w:szCs w:val="21"/>
                    </w:rPr>
                  </w:pPr>
                  <w:r>
                    <w:rPr>
                      <w:color w:val="auto"/>
                      <w:szCs w:val="21"/>
                    </w:rPr>
                    <w:t>污染物</w:t>
                  </w:r>
                </w:p>
              </w:tc>
              <w:tc>
                <w:tcPr>
                  <w:tcW w:w="934" w:type="pct"/>
                  <w:vAlign w:val="center"/>
                </w:tcPr>
                <w:p w14:paraId="1EFD41F4">
                  <w:pPr>
                    <w:pStyle w:val="28"/>
                    <w:spacing w:after="0" w:line="320" w:lineRule="exact"/>
                    <w:ind w:left="0" w:leftChars="0" w:firstLine="0"/>
                    <w:jc w:val="center"/>
                    <w:rPr>
                      <w:color w:val="auto"/>
                      <w:szCs w:val="21"/>
                    </w:rPr>
                  </w:pPr>
                  <w:r>
                    <w:rPr>
                      <w:color w:val="auto"/>
                      <w:szCs w:val="21"/>
                    </w:rPr>
                    <w:t>监测浓度（μg/m</w:t>
                  </w:r>
                  <w:r>
                    <w:rPr>
                      <w:color w:val="auto"/>
                      <w:szCs w:val="21"/>
                      <w:vertAlign w:val="superscript"/>
                    </w:rPr>
                    <w:t>3</w:t>
                  </w:r>
                  <w:r>
                    <w:rPr>
                      <w:color w:val="auto"/>
                      <w:szCs w:val="21"/>
                    </w:rPr>
                    <w:t>）</w:t>
                  </w:r>
                </w:p>
              </w:tc>
              <w:tc>
                <w:tcPr>
                  <w:tcW w:w="677" w:type="pct"/>
                  <w:vAlign w:val="center"/>
                </w:tcPr>
                <w:p w14:paraId="24C6CA9A">
                  <w:pPr>
                    <w:pStyle w:val="28"/>
                    <w:spacing w:after="0" w:line="320" w:lineRule="exact"/>
                    <w:ind w:left="0" w:leftChars="0" w:firstLine="0"/>
                    <w:jc w:val="center"/>
                    <w:rPr>
                      <w:color w:val="auto"/>
                      <w:szCs w:val="21"/>
                    </w:rPr>
                  </w:pPr>
                  <w:r>
                    <w:rPr>
                      <w:color w:val="auto"/>
                      <w:szCs w:val="21"/>
                    </w:rPr>
                    <w:t>标准值（μg/m</w:t>
                  </w:r>
                  <w:r>
                    <w:rPr>
                      <w:color w:val="auto"/>
                      <w:szCs w:val="21"/>
                      <w:vertAlign w:val="superscript"/>
                    </w:rPr>
                    <w:t>3</w:t>
                  </w:r>
                  <w:r>
                    <w:rPr>
                      <w:color w:val="auto"/>
                      <w:szCs w:val="21"/>
                    </w:rPr>
                    <w:t>）</w:t>
                  </w:r>
                </w:p>
              </w:tc>
              <w:tc>
                <w:tcPr>
                  <w:tcW w:w="600" w:type="pct"/>
                  <w:vAlign w:val="center"/>
                </w:tcPr>
                <w:p w14:paraId="04A9FA06">
                  <w:pPr>
                    <w:pStyle w:val="28"/>
                    <w:spacing w:after="0" w:line="320" w:lineRule="exact"/>
                    <w:ind w:left="0" w:leftChars="0" w:firstLine="0"/>
                    <w:jc w:val="center"/>
                    <w:rPr>
                      <w:color w:val="auto"/>
                      <w:szCs w:val="21"/>
                    </w:rPr>
                  </w:pPr>
                  <w:r>
                    <w:rPr>
                      <w:color w:val="auto"/>
                      <w:szCs w:val="21"/>
                    </w:rPr>
                    <w:t>占标率（%）</w:t>
                  </w:r>
                </w:p>
              </w:tc>
              <w:tc>
                <w:tcPr>
                  <w:tcW w:w="600" w:type="pct"/>
                  <w:vAlign w:val="center"/>
                </w:tcPr>
                <w:p w14:paraId="0B535664">
                  <w:pPr>
                    <w:pStyle w:val="28"/>
                    <w:spacing w:after="0" w:line="320" w:lineRule="exact"/>
                    <w:ind w:left="0" w:leftChars="0" w:firstLine="0"/>
                    <w:jc w:val="center"/>
                    <w:rPr>
                      <w:color w:val="auto"/>
                      <w:szCs w:val="21"/>
                    </w:rPr>
                  </w:pPr>
                  <w:r>
                    <w:rPr>
                      <w:color w:val="auto"/>
                      <w:szCs w:val="21"/>
                    </w:rPr>
                    <w:t>超标率（%）</w:t>
                  </w:r>
                </w:p>
              </w:tc>
              <w:tc>
                <w:tcPr>
                  <w:tcW w:w="692" w:type="pct"/>
                  <w:vAlign w:val="center"/>
                </w:tcPr>
                <w:p w14:paraId="1297AF1E">
                  <w:pPr>
                    <w:pStyle w:val="28"/>
                    <w:spacing w:after="0" w:line="320" w:lineRule="exact"/>
                    <w:ind w:left="0" w:leftChars="0" w:firstLine="0"/>
                    <w:jc w:val="center"/>
                    <w:rPr>
                      <w:color w:val="auto"/>
                      <w:szCs w:val="21"/>
                    </w:rPr>
                  </w:pPr>
                  <w:r>
                    <w:rPr>
                      <w:color w:val="auto"/>
                      <w:szCs w:val="21"/>
                    </w:rPr>
                    <w:t>达标</w:t>
                  </w:r>
                </w:p>
                <w:p w14:paraId="1094ED86">
                  <w:pPr>
                    <w:pStyle w:val="28"/>
                    <w:spacing w:after="0" w:line="320" w:lineRule="exact"/>
                    <w:ind w:left="0" w:leftChars="0" w:firstLine="0"/>
                    <w:jc w:val="center"/>
                    <w:rPr>
                      <w:color w:val="auto"/>
                      <w:szCs w:val="21"/>
                    </w:rPr>
                  </w:pPr>
                  <w:r>
                    <w:rPr>
                      <w:color w:val="auto"/>
                      <w:szCs w:val="21"/>
                    </w:rPr>
                    <w:t>情况</w:t>
                  </w:r>
                </w:p>
              </w:tc>
            </w:tr>
            <w:tr w14:paraId="21CC5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Align w:val="center"/>
                </w:tcPr>
                <w:p w14:paraId="36534365">
                  <w:pPr>
                    <w:pStyle w:val="28"/>
                    <w:spacing w:after="0" w:line="320" w:lineRule="exact"/>
                    <w:ind w:left="0" w:leftChars="0" w:firstLine="0"/>
                    <w:jc w:val="center"/>
                    <w:rPr>
                      <w:color w:val="auto"/>
                      <w:szCs w:val="21"/>
                    </w:rPr>
                  </w:pPr>
                  <w:r>
                    <w:rPr>
                      <w:color w:val="auto"/>
                      <w:szCs w:val="21"/>
                    </w:rPr>
                    <w:t>202</w:t>
                  </w:r>
                  <w:r>
                    <w:rPr>
                      <w:rFonts w:hint="eastAsia"/>
                      <w:color w:val="auto"/>
                      <w:szCs w:val="21"/>
                    </w:rPr>
                    <w:t>4.7.12</w:t>
                  </w:r>
                </w:p>
              </w:tc>
              <w:tc>
                <w:tcPr>
                  <w:tcW w:w="635" w:type="pct"/>
                  <w:vMerge w:val="restart"/>
                  <w:vAlign w:val="center"/>
                </w:tcPr>
                <w:p w14:paraId="43660FCC">
                  <w:pPr>
                    <w:pStyle w:val="28"/>
                    <w:spacing w:after="0" w:line="320" w:lineRule="exact"/>
                    <w:ind w:left="0" w:leftChars="0" w:firstLine="0"/>
                    <w:jc w:val="center"/>
                    <w:rPr>
                      <w:color w:val="auto"/>
                      <w:szCs w:val="21"/>
                    </w:rPr>
                  </w:pPr>
                  <w:r>
                    <w:rPr>
                      <w:color w:val="auto"/>
                      <w:szCs w:val="21"/>
                    </w:rPr>
                    <w:t>TSP</w:t>
                  </w:r>
                </w:p>
              </w:tc>
              <w:tc>
                <w:tcPr>
                  <w:tcW w:w="934" w:type="pct"/>
                  <w:vAlign w:val="center"/>
                </w:tcPr>
                <w:p w14:paraId="55B108A3">
                  <w:pPr>
                    <w:pStyle w:val="28"/>
                    <w:spacing w:after="0" w:line="320" w:lineRule="exact"/>
                    <w:ind w:left="0" w:leftChars="0" w:firstLine="0"/>
                    <w:jc w:val="center"/>
                    <w:rPr>
                      <w:color w:val="auto"/>
                      <w:szCs w:val="21"/>
                    </w:rPr>
                  </w:pPr>
                  <w:r>
                    <w:rPr>
                      <w:rFonts w:hint="eastAsia"/>
                      <w:color w:val="auto"/>
                      <w:szCs w:val="21"/>
                    </w:rPr>
                    <w:t>125</w:t>
                  </w:r>
                </w:p>
              </w:tc>
              <w:tc>
                <w:tcPr>
                  <w:tcW w:w="677" w:type="pct"/>
                  <w:vMerge w:val="restart"/>
                  <w:vAlign w:val="center"/>
                </w:tcPr>
                <w:p w14:paraId="20096BD5">
                  <w:pPr>
                    <w:pStyle w:val="28"/>
                    <w:spacing w:after="0" w:line="320" w:lineRule="exact"/>
                    <w:ind w:left="0" w:leftChars="0" w:firstLine="0"/>
                    <w:jc w:val="center"/>
                    <w:rPr>
                      <w:color w:val="auto"/>
                      <w:szCs w:val="21"/>
                    </w:rPr>
                  </w:pPr>
                  <w:r>
                    <w:rPr>
                      <w:color w:val="auto"/>
                      <w:szCs w:val="21"/>
                    </w:rPr>
                    <w:t>300</w:t>
                  </w:r>
                </w:p>
              </w:tc>
              <w:tc>
                <w:tcPr>
                  <w:tcW w:w="600" w:type="pct"/>
                  <w:vAlign w:val="center"/>
                </w:tcPr>
                <w:p w14:paraId="34E0784E">
                  <w:pPr>
                    <w:pStyle w:val="28"/>
                    <w:spacing w:after="0" w:line="320" w:lineRule="exact"/>
                    <w:ind w:left="0" w:leftChars="0" w:firstLine="0"/>
                    <w:jc w:val="center"/>
                    <w:rPr>
                      <w:color w:val="auto"/>
                      <w:szCs w:val="21"/>
                    </w:rPr>
                  </w:pPr>
                  <w:r>
                    <w:rPr>
                      <w:rFonts w:hint="eastAsia"/>
                      <w:color w:val="auto"/>
                      <w:szCs w:val="21"/>
                    </w:rPr>
                    <w:t>41.67</w:t>
                  </w:r>
                </w:p>
              </w:tc>
              <w:tc>
                <w:tcPr>
                  <w:tcW w:w="1006" w:type="dxa"/>
                  <w:vAlign w:val="center"/>
                </w:tcPr>
                <w:p w14:paraId="14C53A61">
                  <w:pPr>
                    <w:pStyle w:val="28"/>
                    <w:spacing w:after="0" w:line="320" w:lineRule="exact"/>
                    <w:ind w:left="0" w:leftChars="0" w:firstLine="0"/>
                    <w:jc w:val="center"/>
                    <w:rPr>
                      <w:color w:val="auto"/>
                      <w:szCs w:val="21"/>
                    </w:rPr>
                  </w:pPr>
                  <w:r>
                    <w:rPr>
                      <w:color w:val="auto"/>
                      <w:szCs w:val="21"/>
                    </w:rPr>
                    <w:t>0</w:t>
                  </w:r>
                </w:p>
              </w:tc>
              <w:tc>
                <w:tcPr>
                  <w:tcW w:w="692" w:type="pct"/>
                  <w:vAlign w:val="center"/>
                </w:tcPr>
                <w:p w14:paraId="0619C4AB">
                  <w:pPr>
                    <w:pStyle w:val="28"/>
                    <w:spacing w:after="0" w:line="320" w:lineRule="exact"/>
                    <w:ind w:left="0" w:leftChars="0" w:firstLine="0"/>
                    <w:jc w:val="center"/>
                    <w:rPr>
                      <w:color w:val="auto"/>
                      <w:szCs w:val="21"/>
                    </w:rPr>
                  </w:pPr>
                  <w:r>
                    <w:rPr>
                      <w:color w:val="auto"/>
                      <w:szCs w:val="21"/>
                    </w:rPr>
                    <w:t>达标</w:t>
                  </w:r>
                </w:p>
              </w:tc>
            </w:tr>
            <w:tr w14:paraId="7319C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Align w:val="center"/>
                </w:tcPr>
                <w:p w14:paraId="4C1FEC23">
                  <w:pPr>
                    <w:pStyle w:val="28"/>
                    <w:spacing w:after="0" w:line="320" w:lineRule="exact"/>
                    <w:ind w:left="0" w:leftChars="0" w:firstLine="0"/>
                    <w:jc w:val="center"/>
                    <w:rPr>
                      <w:color w:val="auto"/>
                      <w:szCs w:val="21"/>
                    </w:rPr>
                  </w:pPr>
                  <w:r>
                    <w:rPr>
                      <w:color w:val="auto"/>
                      <w:szCs w:val="21"/>
                    </w:rPr>
                    <w:t>202</w:t>
                  </w:r>
                  <w:r>
                    <w:rPr>
                      <w:rFonts w:hint="eastAsia"/>
                      <w:color w:val="auto"/>
                      <w:szCs w:val="21"/>
                    </w:rPr>
                    <w:t>4.7.13</w:t>
                  </w:r>
                </w:p>
              </w:tc>
              <w:tc>
                <w:tcPr>
                  <w:tcW w:w="635" w:type="pct"/>
                  <w:vMerge w:val="continue"/>
                  <w:vAlign w:val="center"/>
                </w:tcPr>
                <w:p w14:paraId="194E5AEE">
                  <w:pPr>
                    <w:pStyle w:val="28"/>
                    <w:spacing w:after="0" w:line="320" w:lineRule="exact"/>
                    <w:ind w:left="0" w:leftChars="0" w:firstLine="0"/>
                    <w:jc w:val="center"/>
                    <w:rPr>
                      <w:color w:val="auto"/>
                      <w:szCs w:val="21"/>
                    </w:rPr>
                  </w:pPr>
                </w:p>
              </w:tc>
              <w:tc>
                <w:tcPr>
                  <w:tcW w:w="934" w:type="pct"/>
                  <w:vAlign w:val="center"/>
                </w:tcPr>
                <w:p w14:paraId="1657E0E5">
                  <w:pPr>
                    <w:pStyle w:val="28"/>
                    <w:spacing w:after="0" w:line="320" w:lineRule="exact"/>
                    <w:ind w:left="0" w:leftChars="0" w:firstLine="0"/>
                    <w:jc w:val="center"/>
                    <w:rPr>
                      <w:color w:val="auto"/>
                      <w:szCs w:val="21"/>
                    </w:rPr>
                  </w:pPr>
                  <w:r>
                    <w:rPr>
                      <w:rFonts w:hint="eastAsia"/>
                      <w:color w:val="auto"/>
                      <w:szCs w:val="21"/>
                    </w:rPr>
                    <w:t>113</w:t>
                  </w:r>
                </w:p>
              </w:tc>
              <w:tc>
                <w:tcPr>
                  <w:tcW w:w="677" w:type="pct"/>
                  <w:vMerge w:val="continue"/>
                  <w:vAlign w:val="center"/>
                </w:tcPr>
                <w:p w14:paraId="2A5064F0">
                  <w:pPr>
                    <w:pStyle w:val="28"/>
                    <w:spacing w:after="0" w:line="320" w:lineRule="exact"/>
                    <w:ind w:left="0" w:leftChars="0" w:firstLine="0"/>
                    <w:jc w:val="center"/>
                    <w:rPr>
                      <w:color w:val="auto"/>
                      <w:szCs w:val="21"/>
                    </w:rPr>
                  </w:pPr>
                </w:p>
              </w:tc>
              <w:tc>
                <w:tcPr>
                  <w:tcW w:w="600" w:type="pct"/>
                  <w:vAlign w:val="center"/>
                </w:tcPr>
                <w:p w14:paraId="0C480DB2">
                  <w:pPr>
                    <w:pStyle w:val="28"/>
                    <w:spacing w:after="0" w:line="320" w:lineRule="exact"/>
                    <w:ind w:left="0" w:leftChars="0" w:firstLine="0"/>
                    <w:jc w:val="center"/>
                    <w:rPr>
                      <w:color w:val="auto"/>
                      <w:szCs w:val="21"/>
                    </w:rPr>
                  </w:pPr>
                  <w:r>
                    <w:rPr>
                      <w:rFonts w:hint="eastAsia"/>
                      <w:color w:val="auto"/>
                      <w:szCs w:val="21"/>
                    </w:rPr>
                    <w:t>37.67</w:t>
                  </w:r>
                </w:p>
              </w:tc>
              <w:tc>
                <w:tcPr>
                  <w:tcW w:w="1006" w:type="dxa"/>
                  <w:vAlign w:val="center"/>
                </w:tcPr>
                <w:p w14:paraId="16C634EC">
                  <w:pPr>
                    <w:pStyle w:val="28"/>
                    <w:spacing w:after="0" w:line="320" w:lineRule="exact"/>
                    <w:ind w:left="0" w:leftChars="0" w:firstLine="0"/>
                    <w:jc w:val="center"/>
                    <w:rPr>
                      <w:color w:val="auto"/>
                      <w:szCs w:val="21"/>
                    </w:rPr>
                  </w:pPr>
                  <w:r>
                    <w:rPr>
                      <w:color w:val="auto"/>
                      <w:szCs w:val="21"/>
                    </w:rPr>
                    <w:t>0</w:t>
                  </w:r>
                </w:p>
              </w:tc>
              <w:tc>
                <w:tcPr>
                  <w:tcW w:w="692" w:type="pct"/>
                  <w:vAlign w:val="center"/>
                </w:tcPr>
                <w:p w14:paraId="3BF4FBE0">
                  <w:pPr>
                    <w:pStyle w:val="28"/>
                    <w:spacing w:after="0" w:line="320" w:lineRule="exact"/>
                    <w:ind w:left="0" w:leftChars="0" w:firstLine="0"/>
                    <w:jc w:val="center"/>
                    <w:rPr>
                      <w:color w:val="auto"/>
                      <w:szCs w:val="21"/>
                    </w:rPr>
                  </w:pPr>
                  <w:r>
                    <w:rPr>
                      <w:color w:val="auto"/>
                      <w:szCs w:val="21"/>
                    </w:rPr>
                    <w:t>达标</w:t>
                  </w:r>
                </w:p>
              </w:tc>
            </w:tr>
            <w:tr w14:paraId="6F9B7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Align w:val="center"/>
                </w:tcPr>
                <w:p w14:paraId="1ED1E21F">
                  <w:pPr>
                    <w:pStyle w:val="28"/>
                    <w:spacing w:after="0" w:line="320" w:lineRule="exact"/>
                    <w:ind w:left="0" w:leftChars="0" w:firstLine="0"/>
                    <w:jc w:val="center"/>
                    <w:rPr>
                      <w:color w:val="auto"/>
                      <w:szCs w:val="21"/>
                    </w:rPr>
                  </w:pPr>
                  <w:r>
                    <w:rPr>
                      <w:color w:val="auto"/>
                      <w:szCs w:val="21"/>
                    </w:rPr>
                    <w:t>202</w:t>
                  </w:r>
                  <w:r>
                    <w:rPr>
                      <w:rFonts w:hint="eastAsia"/>
                      <w:color w:val="auto"/>
                      <w:szCs w:val="21"/>
                    </w:rPr>
                    <w:t>4.7.14</w:t>
                  </w:r>
                </w:p>
              </w:tc>
              <w:tc>
                <w:tcPr>
                  <w:tcW w:w="635" w:type="pct"/>
                  <w:vMerge w:val="continue"/>
                  <w:vAlign w:val="center"/>
                </w:tcPr>
                <w:p w14:paraId="569CEA90">
                  <w:pPr>
                    <w:pStyle w:val="28"/>
                    <w:spacing w:after="0" w:line="320" w:lineRule="exact"/>
                    <w:ind w:left="0" w:leftChars="0" w:firstLine="0"/>
                    <w:jc w:val="center"/>
                    <w:rPr>
                      <w:color w:val="auto"/>
                      <w:szCs w:val="21"/>
                    </w:rPr>
                  </w:pPr>
                </w:p>
              </w:tc>
              <w:tc>
                <w:tcPr>
                  <w:tcW w:w="934" w:type="pct"/>
                  <w:vAlign w:val="center"/>
                </w:tcPr>
                <w:p w14:paraId="3A1CA820">
                  <w:pPr>
                    <w:pStyle w:val="28"/>
                    <w:spacing w:after="0" w:line="320" w:lineRule="exact"/>
                    <w:ind w:left="0" w:leftChars="0" w:firstLine="0"/>
                    <w:jc w:val="center"/>
                    <w:rPr>
                      <w:color w:val="auto"/>
                      <w:szCs w:val="21"/>
                    </w:rPr>
                  </w:pPr>
                  <w:r>
                    <w:rPr>
                      <w:rFonts w:hint="eastAsia"/>
                      <w:color w:val="auto"/>
                      <w:szCs w:val="21"/>
                    </w:rPr>
                    <w:t>122</w:t>
                  </w:r>
                </w:p>
              </w:tc>
              <w:tc>
                <w:tcPr>
                  <w:tcW w:w="677" w:type="pct"/>
                  <w:vMerge w:val="continue"/>
                  <w:vAlign w:val="center"/>
                </w:tcPr>
                <w:p w14:paraId="38910F7A">
                  <w:pPr>
                    <w:pStyle w:val="28"/>
                    <w:spacing w:after="0" w:line="320" w:lineRule="exact"/>
                    <w:ind w:left="0" w:leftChars="0" w:firstLine="0"/>
                    <w:jc w:val="center"/>
                    <w:rPr>
                      <w:color w:val="auto"/>
                      <w:szCs w:val="21"/>
                    </w:rPr>
                  </w:pPr>
                </w:p>
              </w:tc>
              <w:tc>
                <w:tcPr>
                  <w:tcW w:w="600" w:type="pct"/>
                  <w:vAlign w:val="center"/>
                </w:tcPr>
                <w:p w14:paraId="254E56CC">
                  <w:pPr>
                    <w:pStyle w:val="28"/>
                    <w:spacing w:after="0" w:line="320" w:lineRule="exact"/>
                    <w:ind w:left="0" w:leftChars="0" w:firstLine="0"/>
                    <w:jc w:val="center"/>
                    <w:rPr>
                      <w:color w:val="auto"/>
                      <w:szCs w:val="21"/>
                    </w:rPr>
                  </w:pPr>
                  <w:r>
                    <w:rPr>
                      <w:rFonts w:hint="eastAsia"/>
                      <w:color w:val="auto"/>
                      <w:szCs w:val="21"/>
                    </w:rPr>
                    <w:t>40.67</w:t>
                  </w:r>
                </w:p>
              </w:tc>
              <w:tc>
                <w:tcPr>
                  <w:tcW w:w="1006" w:type="dxa"/>
                  <w:vAlign w:val="center"/>
                </w:tcPr>
                <w:p w14:paraId="533A77F6">
                  <w:pPr>
                    <w:pStyle w:val="28"/>
                    <w:spacing w:after="0" w:line="320" w:lineRule="exact"/>
                    <w:ind w:left="0" w:leftChars="0" w:firstLine="0"/>
                    <w:jc w:val="center"/>
                    <w:rPr>
                      <w:color w:val="auto"/>
                      <w:szCs w:val="21"/>
                    </w:rPr>
                  </w:pPr>
                  <w:r>
                    <w:rPr>
                      <w:color w:val="auto"/>
                      <w:szCs w:val="21"/>
                    </w:rPr>
                    <w:t>0</w:t>
                  </w:r>
                </w:p>
              </w:tc>
              <w:tc>
                <w:tcPr>
                  <w:tcW w:w="692" w:type="pct"/>
                  <w:vAlign w:val="center"/>
                </w:tcPr>
                <w:p w14:paraId="0AB9E34C">
                  <w:pPr>
                    <w:pStyle w:val="28"/>
                    <w:spacing w:after="0" w:line="320" w:lineRule="exact"/>
                    <w:ind w:left="0" w:leftChars="0" w:firstLine="0"/>
                    <w:jc w:val="center"/>
                    <w:rPr>
                      <w:color w:val="auto"/>
                      <w:szCs w:val="21"/>
                    </w:rPr>
                  </w:pPr>
                  <w:r>
                    <w:rPr>
                      <w:color w:val="auto"/>
                      <w:szCs w:val="21"/>
                    </w:rPr>
                    <w:t>达标</w:t>
                  </w:r>
                </w:p>
              </w:tc>
            </w:tr>
          </w:tbl>
          <w:p w14:paraId="65B5CE38">
            <w:pPr>
              <w:adjustRightInd w:val="0"/>
              <w:snapToGrid w:val="0"/>
              <w:spacing w:line="500" w:lineRule="exact"/>
              <w:ind w:firstLine="480" w:firstLineChars="200"/>
              <w:rPr>
                <w:b/>
                <w:bCs/>
                <w:color w:val="auto"/>
                <w:sz w:val="24"/>
              </w:rPr>
            </w:pPr>
            <w:r>
              <w:rPr>
                <w:color w:val="auto"/>
                <w:sz w:val="24"/>
              </w:rPr>
              <w:t>由以上分析可知，项目区域特征污染物TSP24h平均浓度值占标率范围为</w:t>
            </w:r>
            <w:r>
              <w:rPr>
                <w:rFonts w:hint="eastAsia"/>
                <w:color w:val="auto"/>
                <w:sz w:val="24"/>
                <w:lang w:val="en-US" w:eastAsia="zh-CN"/>
              </w:rPr>
              <w:t>37.67</w:t>
            </w:r>
            <w:r>
              <w:rPr>
                <w:color w:val="auto"/>
                <w:sz w:val="24"/>
              </w:rPr>
              <w:t>%～</w:t>
            </w:r>
            <w:r>
              <w:rPr>
                <w:rFonts w:hint="eastAsia"/>
                <w:color w:val="auto"/>
                <w:sz w:val="24"/>
                <w:lang w:val="en-US" w:eastAsia="zh-CN"/>
              </w:rPr>
              <w:t>41.67</w:t>
            </w:r>
            <w:r>
              <w:rPr>
                <w:color w:val="auto"/>
                <w:sz w:val="24"/>
              </w:rPr>
              <w:t>%，满足《环境空气质量标准》（GB3095－2012）及其修改单二级标准要求。</w:t>
            </w:r>
          </w:p>
          <w:p w14:paraId="7102A412">
            <w:pPr>
              <w:adjustRightInd w:val="0"/>
              <w:snapToGrid w:val="0"/>
              <w:spacing w:line="500" w:lineRule="exact"/>
              <w:ind w:firstLine="482" w:firstLineChars="200"/>
              <w:jc w:val="left"/>
              <w:rPr>
                <w:b/>
                <w:bCs/>
                <w:color w:val="auto"/>
                <w:sz w:val="24"/>
              </w:rPr>
            </w:pPr>
            <w:r>
              <w:rPr>
                <w:rFonts w:hint="eastAsia"/>
                <w:b/>
                <w:bCs/>
                <w:color w:val="auto"/>
                <w:sz w:val="24"/>
              </w:rPr>
              <w:t>三</w:t>
            </w:r>
            <w:r>
              <w:rPr>
                <w:b/>
                <w:bCs/>
                <w:color w:val="auto"/>
                <w:sz w:val="24"/>
              </w:rPr>
              <w:t>、声环境质量现状</w:t>
            </w:r>
          </w:p>
          <w:p w14:paraId="4A7CC4E4">
            <w:pPr>
              <w:adjustRightInd w:val="0"/>
              <w:snapToGrid w:val="0"/>
              <w:spacing w:line="500" w:lineRule="exact"/>
              <w:ind w:firstLine="480" w:firstLineChars="200"/>
              <w:rPr>
                <w:color w:val="auto"/>
                <w:sz w:val="24"/>
              </w:rPr>
            </w:pPr>
            <w:r>
              <w:rPr>
                <w:color w:val="auto"/>
                <w:sz w:val="24"/>
              </w:rPr>
              <w:t>项目风井场地周边</w:t>
            </w:r>
            <w:r>
              <w:rPr>
                <w:rFonts w:hint="eastAsia"/>
                <w:color w:val="auto"/>
                <w:sz w:val="24"/>
              </w:rPr>
              <w:t>5</w:t>
            </w:r>
            <w:r>
              <w:rPr>
                <w:color w:val="auto"/>
                <w:sz w:val="24"/>
              </w:rPr>
              <w:t>0m范围内不涉及敏感点</w:t>
            </w:r>
            <w:r>
              <w:rPr>
                <w:rFonts w:hint="eastAsia"/>
                <w:color w:val="auto"/>
                <w:sz w:val="24"/>
              </w:rPr>
              <w:t>，</w:t>
            </w:r>
            <w:r>
              <w:rPr>
                <w:color w:val="auto"/>
                <w:sz w:val="24"/>
              </w:rPr>
              <w:t>因此本次评价不进行声环境质量现状监测。</w:t>
            </w:r>
          </w:p>
          <w:p w14:paraId="16B62A9D">
            <w:pPr>
              <w:adjustRightInd w:val="0"/>
              <w:snapToGrid w:val="0"/>
              <w:spacing w:line="500" w:lineRule="exact"/>
              <w:ind w:firstLine="482" w:firstLineChars="200"/>
              <w:jc w:val="left"/>
              <w:rPr>
                <w:b/>
                <w:bCs/>
                <w:color w:val="auto"/>
                <w:sz w:val="24"/>
              </w:rPr>
            </w:pPr>
            <w:r>
              <w:rPr>
                <w:rFonts w:hint="eastAsia"/>
                <w:b/>
                <w:bCs/>
                <w:color w:val="auto"/>
                <w:sz w:val="24"/>
              </w:rPr>
              <w:t>四、地下水、土壤环境</w:t>
            </w:r>
            <w:r>
              <w:rPr>
                <w:b/>
                <w:bCs/>
                <w:color w:val="auto"/>
                <w:sz w:val="24"/>
              </w:rPr>
              <w:t>质量现状</w:t>
            </w:r>
          </w:p>
          <w:p w14:paraId="3D3CFC5C">
            <w:pPr>
              <w:adjustRightInd w:val="0"/>
              <w:snapToGrid w:val="0"/>
              <w:spacing w:line="500" w:lineRule="exact"/>
              <w:ind w:firstLine="480" w:firstLineChars="200"/>
              <w:rPr>
                <w:color w:val="auto"/>
                <w:sz w:val="24"/>
              </w:rPr>
            </w:pPr>
            <w:r>
              <w:rPr>
                <w:rFonts w:hint="eastAsia"/>
                <w:color w:val="auto"/>
                <w:sz w:val="24"/>
              </w:rPr>
              <w:t>根据《建设项目环境影响报告表编制技术指南》</w:t>
            </w:r>
            <w:r>
              <w:rPr>
                <w:rFonts w:hint="eastAsia"/>
                <w:color w:val="auto"/>
                <w:sz w:val="24"/>
                <w:lang w:eastAsia="zh-CN"/>
              </w:rPr>
              <w:t>，</w:t>
            </w:r>
            <w:r>
              <w:rPr>
                <w:rFonts w:hint="eastAsia"/>
                <w:color w:val="auto"/>
                <w:sz w:val="24"/>
              </w:rPr>
              <w:t>原则上可不开展地下水环境质量现状调查。</w:t>
            </w:r>
          </w:p>
          <w:p w14:paraId="503C72FC">
            <w:pPr>
              <w:adjustRightInd w:val="0"/>
              <w:snapToGrid w:val="0"/>
              <w:spacing w:line="500" w:lineRule="exact"/>
              <w:ind w:firstLine="480" w:firstLineChars="200"/>
              <w:rPr>
                <w:color w:val="auto"/>
                <w:spacing w:val="-2"/>
                <w:sz w:val="24"/>
              </w:rPr>
            </w:pPr>
            <w:r>
              <w:rPr>
                <w:rFonts w:hint="eastAsia"/>
                <w:color w:val="auto"/>
                <w:sz w:val="24"/>
              </w:rPr>
              <w:t>经调查，本项目厂界外500m范围内无地下水集中式饮用水水源和热水、矿泉水、温泉等特殊地下水资源，因此本项目无地下水环境保护目标。项目经采取严格的防渗措施</w:t>
            </w:r>
            <w:r>
              <w:rPr>
                <w:rFonts w:hint="eastAsia"/>
                <w:color w:val="auto"/>
                <w:sz w:val="24"/>
                <w:lang w:val="en-US" w:eastAsia="zh-CN"/>
              </w:rPr>
              <w:t>后</w:t>
            </w:r>
            <w:r>
              <w:rPr>
                <w:rFonts w:hint="eastAsia"/>
                <w:color w:val="auto"/>
                <w:sz w:val="24"/>
              </w:rPr>
              <w:t>，不会对区域地下水环境造成影响。综合考虑，本次评价不开展地下水环境质量现状调查。</w:t>
            </w:r>
          </w:p>
        </w:tc>
      </w:tr>
      <w:tr w14:paraId="25625B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8" w:type="pct"/>
            <w:vAlign w:val="center"/>
          </w:tcPr>
          <w:p w14:paraId="658E3821">
            <w:pPr>
              <w:adjustRightInd w:val="0"/>
              <w:snapToGrid w:val="0"/>
              <w:jc w:val="center"/>
              <w:rPr>
                <w:rFonts w:ascii="宋体" w:hAnsi="宋体" w:cs="宋体"/>
                <w:color w:val="auto"/>
                <w:kern w:val="0"/>
                <w:sz w:val="24"/>
              </w:rPr>
            </w:pPr>
            <w:bookmarkStart w:id="11" w:name="OLE_LINK10"/>
            <w:bookmarkStart w:id="12" w:name="OLE_LINK11"/>
            <w:r>
              <w:rPr>
                <w:rFonts w:hint="eastAsia" w:ascii="宋体" w:hAnsi="宋体"/>
                <w:bCs/>
                <w:color w:val="auto"/>
                <w:sz w:val="24"/>
              </w:rPr>
              <w:t>与项目有关的原有环境污染和生态破坏问题</w:t>
            </w:r>
            <w:bookmarkEnd w:id="11"/>
            <w:bookmarkEnd w:id="12"/>
          </w:p>
        </w:tc>
        <w:tc>
          <w:tcPr>
            <w:tcW w:w="4751" w:type="pct"/>
            <w:vAlign w:val="center"/>
          </w:tcPr>
          <w:p w14:paraId="08220D57">
            <w:pPr>
              <w:keepNext w:val="0"/>
              <w:keepLines w:val="0"/>
              <w:pageBreakBefore w:val="0"/>
              <w:widowControl/>
              <w:kinsoku/>
              <w:wordWrap/>
              <w:overflowPunct/>
              <w:topLinePunct w:val="0"/>
              <w:autoSpaceDE/>
              <w:autoSpaceDN/>
              <w:bidi w:val="0"/>
              <w:spacing w:line="500" w:lineRule="exact"/>
              <w:ind w:firstLine="482" w:firstLineChars="200"/>
              <w:textAlignment w:val="auto"/>
              <w:rPr>
                <w:rFonts w:hint="eastAsia"/>
                <w:b/>
                <w:bCs/>
                <w:color w:val="auto"/>
                <w:sz w:val="24"/>
                <w:lang w:val="en-US" w:eastAsia="zh-CN"/>
              </w:rPr>
            </w:pPr>
            <w:r>
              <w:rPr>
                <w:rFonts w:hint="eastAsia"/>
                <w:b/>
                <w:bCs/>
                <w:color w:val="auto"/>
                <w:sz w:val="24"/>
                <w:lang w:val="en-US" w:eastAsia="zh-CN"/>
              </w:rPr>
              <w:t>一、项目现有工程概况</w:t>
            </w:r>
          </w:p>
          <w:p w14:paraId="36AF42EA">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color w:val="auto"/>
                <w:sz w:val="24"/>
                <w:lang w:val="en-US" w:eastAsia="zh-CN"/>
              </w:rPr>
            </w:pPr>
            <w:r>
              <w:rPr>
                <w:rFonts w:hint="eastAsia"/>
                <w:color w:val="auto"/>
                <w:sz w:val="24"/>
                <w:lang w:val="en-US" w:eastAsia="zh-CN"/>
              </w:rPr>
              <w:t>1、现有工程环保手续履行情况</w:t>
            </w:r>
          </w:p>
          <w:p w14:paraId="6407F0CE">
            <w:pPr>
              <w:pStyle w:val="54"/>
              <w:keepNext w:val="0"/>
              <w:keepLines w:val="0"/>
              <w:pageBreakBefore w:val="0"/>
              <w:kinsoku/>
              <w:wordWrap/>
              <w:overflowPunct/>
              <w:topLinePunct w:val="0"/>
              <w:autoSpaceDE/>
              <w:autoSpaceDN/>
              <w:bidi w:val="0"/>
              <w:spacing w:line="500" w:lineRule="exact"/>
              <w:ind w:firstLine="480"/>
              <w:textAlignment w:val="auto"/>
              <w:rPr>
                <w:rFonts w:hint="default" w:ascii="Times New Roman" w:hAnsi="Times New Roman" w:eastAsia="宋体" w:cs="Times New Roman"/>
                <w:color w:val="auto"/>
                <w:kern w:val="0"/>
                <w:szCs w:val="24"/>
              </w:rPr>
            </w:pPr>
            <w:r>
              <w:rPr>
                <w:rFonts w:hint="default" w:ascii="Times New Roman" w:hAnsi="Times New Roman" w:eastAsia="宋体" w:cs="Times New Roman"/>
                <w:color w:val="auto"/>
              </w:rPr>
              <w:t>20</w:t>
            </w:r>
            <w:r>
              <w:rPr>
                <w:rFonts w:hint="default" w:ascii="Times New Roman" w:hAnsi="Times New Roman" w:eastAsia="宋体" w:cs="Times New Roman"/>
                <w:color w:val="auto"/>
                <w:lang w:val="en-US" w:eastAsia="zh-CN"/>
              </w:rPr>
              <w:t>06</w:t>
            </w:r>
            <w:r>
              <w:rPr>
                <w:rFonts w:hint="default" w:ascii="Times New Roman" w:hAnsi="Times New Roman" w:eastAsia="宋体" w:cs="Times New Roman"/>
                <w:color w:val="auto"/>
              </w:rPr>
              <w:t>年</w:t>
            </w:r>
            <w:r>
              <w:rPr>
                <w:rFonts w:hint="default" w:ascii="Times New Roman" w:hAnsi="Times New Roman" w:eastAsia="宋体" w:cs="Times New Roman"/>
                <w:color w:val="auto"/>
                <w:lang w:val="en-US" w:eastAsia="zh-CN"/>
              </w:rPr>
              <w:t>6</w:t>
            </w:r>
            <w:r>
              <w:rPr>
                <w:rFonts w:hint="default" w:ascii="Times New Roman" w:hAnsi="Times New Roman" w:eastAsia="宋体" w:cs="Times New Roman"/>
                <w:color w:val="auto"/>
              </w:rPr>
              <w:t>月</w:t>
            </w:r>
            <w:r>
              <w:rPr>
                <w:rFonts w:hint="default" w:ascii="Times New Roman" w:hAnsi="Times New Roman" w:eastAsia="宋体" w:cs="Times New Roman"/>
                <w:color w:val="auto"/>
                <w:lang w:val="en-US" w:eastAsia="zh-CN"/>
              </w:rPr>
              <w:t>21</w:t>
            </w:r>
            <w:r>
              <w:rPr>
                <w:rFonts w:hint="default" w:ascii="Times New Roman" w:hAnsi="Times New Roman" w:eastAsia="宋体" w:cs="Times New Roman"/>
                <w:color w:val="auto"/>
              </w:rPr>
              <w:t>日，原</w:t>
            </w:r>
            <w:r>
              <w:rPr>
                <w:rFonts w:hint="default" w:ascii="Times New Roman" w:hAnsi="Times New Roman" w:eastAsia="宋体" w:cs="Times New Roman"/>
                <w:color w:val="auto"/>
                <w:lang w:val="en-US" w:eastAsia="zh-CN"/>
              </w:rPr>
              <w:t>国家环境保护总局</w:t>
            </w:r>
            <w:r>
              <w:rPr>
                <w:rFonts w:hint="default" w:ascii="Times New Roman" w:hAnsi="Times New Roman" w:eastAsia="宋体" w:cs="Times New Roman"/>
                <w:color w:val="auto"/>
              </w:rPr>
              <w:t>以“环审﹝20</w:t>
            </w:r>
            <w:r>
              <w:rPr>
                <w:rFonts w:hint="default" w:ascii="Times New Roman" w:hAnsi="Times New Roman" w:eastAsia="宋体" w:cs="Times New Roman"/>
                <w:color w:val="auto"/>
                <w:lang w:val="en-US" w:eastAsia="zh-CN"/>
              </w:rPr>
              <w:t>06</w:t>
            </w:r>
            <w:r>
              <w:rPr>
                <w:rFonts w:hint="default" w:ascii="Times New Roman" w:hAnsi="Times New Roman" w:eastAsia="宋体" w:cs="Times New Roman"/>
                <w:color w:val="auto"/>
              </w:rPr>
              <w:t>﹞</w:t>
            </w:r>
            <w:r>
              <w:rPr>
                <w:rFonts w:hint="default" w:ascii="Times New Roman" w:hAnsi="Times New Roman" w:eastAsia="宋体" w:cs="Times New Roman"/>
                <w:color w:val="auto"/>
                <w:lang w:val="en-US" w:eastAsia="zh-CN"/>
              </w:rPr>
              <w:t>294</w:t>
            </w:r>
            <w:r>
              <w:rPr>
                <w:rFonts w:hint="default" w:ascii="Times New Roman" w:hAnsi="Times New Roman" w:eastAsia="宋体" w:cs="Times New Roman"/>
                <w:color w:val="auto"/>
              </w:rPr>
              <w:t xml:space="preserve"> 号”文对《</w:t>
            </w:r>
            <w:r>
              <w:rPr>
                <w:rFonts w:hint="default" w:ascii="Times New Roman" w:hAnsi="Times New Roman" w:eastAsia="宋体" w:cs="Times New Roman"/>
                <w:color w:val="auto"/>
                <w:lang w:val="en-US" w:eastAsia="zh-CN"/>
              </w:rPr>
              <w:t>神华集团包头矿业有限责任公司李家壕煤矿建设项目</w:t>
            </w:r>
            <w:r>
              <w:rPr>
                <w:rFonts w:hint="default" w:ascii="Times New Roman" w:hAnsi="Times New Roman" w:eastAsia="宋体" w:cs="Times New Roman"/>
                <w:color w:val="auto"/>
              </w:rPr>
              <w:t>环境影响报告书》进行了批复。</w:t>
            </w:r>
            <w:r>
              <w:rPr>
                <w:rFonts w:hint="default" w:ascii="Times New Roman" w:hAnsi="Times New Roman" w:eastAsia="宋体" w:cs="Times New Roman"/>
                <w:color w:val="auto"/>
                <w:kern w:val="0"/>
                <w:szCs w:val="24"/>
              </w:rPr>
              <w:t>201</w:t>
            </w:r>
            <w:r>
              <w:rPr>
                <w:rFonts w:hint="default" w:ascii="Times New Roman" w:hAnsi="Times New Roman" w:eastAsia="宋体" w:cs="Times New Roman"/>
                <w:color w:val="auto"/>
                <w:kern w:val="0"/>
                <w:szCs w:val="24"/>
                <w:lang w:val="en-US" w:eastAsia="zh-CN"/>
              </w:rPr>
              <w:t>6</w:t>
            </w:r>
            <w:r>
              <w:rPr>
                <w:rFonts w:hint="default" w:ascii="Times New Roman" w:hAnsi="Times New Roman" w:eastAsia="宋体" w:cs="Times New Roman"/>
                <w:color w:val="auto"/>
                <w:kern w:val="0"/>
                <w:szCs w:val="24"/>
              </w:rPr>
              <w:t>年</w:t>
            </w:r>
            <w:r>
              <w:rPr>
                <w:rFonts w:hint="default" w:ascii="Times New Roman" w:hAnsi="Times New Roman" w:eastAsia="宋体" w:cs="Times New Roman"/>
                <w:color w:val="auto"/>
                <w:kern w:val="0"/>
                <w:szCs w:val="24"/>
                <w:lang w:val="en-US" w:eastAsia="zh-CN"/>
              </w:rPr>
              <w:t>6</w:t>
            </w:r>
            <w:r>
              <w:rPr>
                <w:rFonts w:hint="default" w:ascii="Times New Roman" w:hAnsi="Times New Roman" w:eastAsia="宋体" w:cs="Times New Roman"/>
                <w:color w:val="auto"/>
                <w:kern w:val="0"/>
                <w:szCs w:val="24"/>
              </w:rPr>
              <w:t>月1</w:t>
            </w:r>
            <w:r>
              <w:rPr>
                <w:rFonts w:hint="default" w:ascii="Times New Roman" w:hAnsi="Times New Roman" w:eastAsia="宋体" w:cs="Times New Roman"/>
                <w:color w:val="auto"/>
                <w:kern w:val="0"/>
                <w:szCs w:val="24"/>
                <w:lang w:val="en-US" w:eastAsia="zh-CN"/>
              </w:rPr>
              <w:t>4</w:t>
            </w:r>
            <w:r>
              <w:rPr>
                <w:rFonts w:hint="default" w:ascii="Times New Roman" w:hAnsi="Times New Roman" w:eastAsia="宋体" w:cs="Times New Roman"/>
                <w:color w:val="auto"/>
                <w:kern w:val="0"/>
                <w:szCs w:val="24"/>
              </w:rPr>
              <w:t>日，原</w:t>
            </w:r>
            <w:r>
              <w:rPr>
                <w:rFonts w:hint="default" w:ascii="Times New Roman" w:hAnsi="Times New Roman" w:eastAsia="宋体" w:cs="Times New Roman"/>
                <w:color w:val="auto"/>
                <w:kern w:val="0"/>
                <w:szCs w:val="24"/>
                <w:lang w:val="en-US" w:eastAsia="zh-CN"/>
              </w:rPr>
              <w:t>环境保护部</w:t>
            </w:r>
            <w:r>
              <w:rPr>
                <w:rFonts w:hint="default" w:ascii="Times New Roman" w:hAnsi="Times New Roman" w:eastAsia="宋体" w:cs="Times New Roman"/>
                <w:color w:val="auto"/>
                <w:kern w:val="0"/>
                <w:szCs w:val="24"/>
              </w:rPr>
              <w:t>以“环验﹝201</w:t>
            </w:r>
            <w:r>
              <w:rPr>
                <w:rFonts w:hint="default" w:ascii="Times New Roman" w:hAnsi="Times New Roman" w:eastAsia="宋体" w:cs="Times New Roman"/>
                <w:color w:val="auto"/>
                <w:kern w:val="0"/>
                <w:szCs w:val="24"/>
                <w:lang w:val="en-US" w:eastAsia="zh-CN"/>
              </w:rPr>
              <w:t>6</w:t>
            </w:r>
            <w:r>
              <w:rPr>
                <w:rFonts w:hint="default" w:ascii="Times New Roman" w:hAnsi="Times New Roman" w:eastAsia="宋体" w:cs="Times New Roman"/>
                <w:color w:val="auto"/>
                <w:kern w:val="0"/>
                <w:szCs w:val="24"/>
              </w:rPr>
              <w:t>﹞</w:t>
            </w:r>
            <w:r>
              <w:rPr>
                <w:rFonts w:hint="default" w:ascii="Times New Roman" w:hAnsi="Times New Roman" w:eastAsia="宋体" w:cs="Times New Roman"/>
                <w:color w:val="auto"/>
                <w:kern w:val="0"/>
                <w:szCs w:val="24"/>
                <w:lang w:val="en-US" w:eastAsia="zh-CN"/>
              </w:rPr>
              <w:t>55</w:t>
            </w:r>
            <w:r>
              <w:rPr>
                <w:rFonts w:hint="default" w:ascii="Times New Roman" w:hAnsi="Times New Roman" w:eastAsia="宋体" w:cs="Times New Roman"/>
                <w:color w:val="auto"/>
                <w:kern w:val="0"/>
                <w:szCs w:val="24"/>
              </w:rPr>
              <w:t>号”文对《</w:t>
            </w:r>
            <w:r>
              <w:rPr>
                <w:rFonts w:hint="default" w:ascii="Times New Roman" w:hAnsi="Times New Roman" w:eastAsia="宋体" w:cs="Times New Roman"/>
                <w:color w:val="auto"/>
                <w:lang w:val="en-US" w:eastAsia="zh-CN"/>
              </w:rPr>
              <w:t>神华集团包头矿业有限责任公司李家壕煤矿建设项目</w:t>
            </w:r>
            <w:r>
              <w:rPr>
                <w:rFonts w:hint="eastAsia" w:ascii="Times New Roman" w:hAnsi="Times New Roman" w:eastAsia="宋体" w:cs="Times New Roman"/>
                <w:color w:val="auto"/>
                <w:lang w:val="en-US" w:eastAsia="zh-CN"/>
              </w:rPr>
              <w:t>竣工环境保护</w:t>
            </w:r>
            <w:r>
              <w:rPr>
                <w:rFonts w:hint="default" w:ascii="Times New Roman" w:hAnsi="Times New Roman" w:eastAsia="宋体" w:cs="Times New Roman"/>
                <w:color w:val="auto"/>
                <w:kern w:val="0"/>
                <w:szCs w:val="24"/>
              </w:rPr>
              <w:t>验收</w:t>
            </w:r>
            <w:r>
              <w:rPr>
                <w:rFonts w:hint="eastAsia" w:ascii="Times New Roman" w:hAnsi="Times New Roman" w:eastAsia="宋体" w:cs="Times New Roman"/>
                <w:color w:val="auto"/>
                <w:kern w:val="0"/>
                <w:szCs w:val="24"/>
                <w:lang w:val="en-US" w:eastAsia="zh-CN"/>
              </w:rPr>
              <w:t>调查</w:t>
            </w:r>
            <w:r>
              <w:rPr>
                <w:rFonts w:hint="default" w:ascii="Times New Roman" w:hAnsi="Times New Roman" w:eastAsia="宋体" w:cs="Times New Roman"/>
                <w:color w:val="auto"/>
                <w:kern w:val="0"/>
                <w:szCs w:val="24"/>
              </w:rPr>
              <w:t>报告》出具验收意见。</w:t>
            </w:r>
          </w:p>
          <w:p w14:paraId="60ACEEF2">
            <w:pPr>
              <w:pStyle w:val="54"/>
              <w:keepNext w:val="0"/>
              <w:keepLines w:val="0"/>
              <w:pageBreakBefore w:val="0"/>
              <w:kinsoku/>
              <w:wordWrap/>
              <w:overflowPunct/>
              <w:topLinePunct w:val="0"/>
              <w:autoSpaceDE/>
              <w:autoSpaceDN/>
              <w:bidi w:val="0"/>
              <w:spacing w:line="500" w:lineRule="exact"/>
              <w:ind w:firstLine="480"/>
              <w:textAlignment w:val="auto"/>
              <w:rPr>
                <w:rFonts w:hint="default" w:ascii="Times New Roman" w:hAnsi="Times New Roman" w:eastAsia="宋体" w:cs="Times New Roman"/>
                <w:color w:val="auto"/>
                <w:kern w:val="0"/>
                <w:szCs w:val="24"/>
                <w:highlight w:val="none"/>
                <w:lang w:val="en-US" w:eastAsia="zh-CN"/>
              </w:rPr>
            </w:pPr>
            <w:r>
              <w:rPr>
                <w:rFonts w:hint="eastAsia" w:ascii="Times New Roman" w:hAnsi="Times New Roman" w:eastAsia="宋体" w:cs="Times New Roman"/>
                <w:color w:val="auto"/>
                <w:kern w:val="0"/>
                <w:szCs w:val="24"/>
                <w:highlight w:val="none"/>
                <w:lang w:val="en-US" w:eastAsia="zh-CN"/>
              </w:rPr>
              <w:t>2019年9月11日，鄂尔多斯市生态环境局以</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kern w:val="0"/>
                <w:szCs w:val="24"/>
                <w:highlight w:val="none"/>
                <w:lang w:val="en-US" w:eastAsia="zh-CN"/>
              </w:rPr>
              <w:t>鄂环审字</w:t>
            </w:r>
            <w:r>
              <w:rPr>
                <w:rFonts w:hint="default" w:ascii="Times New Roman" w:hAnsi="Times New Roman" w:eastAsia="宋体" w:cs="Times New Roman"/>
                <w:color w:val="auto"/>
                <w:highlight w:val="none"/>
              </w:rPr>
              <w:t>﹝20</w:t>
            </w:r>
            <w:r>
              <w:rPr>
                <w:rFonts w:hint="eastAsia" w:ascii="Times New Roman" w:hAnsi="Times New Roman" w:eastAsia="宋体" w:cs="Times New Roman"/>
                <w:color w:val="auto"/>
                <w:highlight w:val="none"/>
                <w:lang w:val="en-US" w:eastAsia="zh-CN"/>
              </w:rPr>
              <w:t>19</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6</w:t>
            </w:r>
            <w:r>
              <w:rPr>
                <w:rFonts w:hint="default" w:ascii="Times New Roman" w:hAnsi="Times New Roman" w:eastAsia="宋体" w:cs="Times New Roman"/>
                <w:color w:val="auto"/>
                <w:highlight w:val="none"/>
              </w:rPr>
              <w:t>号”</w:t>
            </w:r>
            <w:r>
              <w:rPr>
                <w:rFonts w:hint="eastAsia" w:ascii="Times New Roman" w:hAnsi="Times New Roman" w:eastAsia="宋体" w:cs="Times New Roman"/>
                <w:color w:val="auto"/>
                <w:highlight w:val="none"/>
                <w:lang w:val="en-US" w:eastAsia="zh-CN"/>
              </w:rPr>
              <w:t>文对《李家壕煤矿危废库工程环境影响报告表》进行了批复（附件19）。2020年5月25日，</w:t>
            </w:r>
            <w:r>
              <w:rPr>
                <w:rFonts w:hint="eastAsia" w:ascii="Times New Roman" w:hAnsi="Times New Roman" w:eastAsia="宋体" w:cs="Times New Roman"/>
                <w:color w:val="auto"/>
                <w:kern w:val="0"/>
                <w:szCs w:val="24"/>
                <w:highlight w:val="none"/>
                <w:lang w:val="en-US" w:eastAsia="zh-CN"/>
              </w:rPr>
              <w:t>鄂尔多斯市生态环境局以</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kern w:val="0"/>
                <w:szCs w:val="24"/>
                <w:highlight w:val="none"/>
                <w:lang w:val="en-US" w:eastAsia="zh-CN"/>
              </w:rPr>
              <w:t>鄂环监字</w:t>
            </w:r>
            <w:r>
              <w:rPr>
                <w:rFonts w:hint="default" w:ascii="Times New Roman" w:hAnsi="Times New Roman" w:eastAsia="宋体" w:cs="Times New Roman"/>
                <w:color w:val="auto"/>
                <w:highlight w:val="none"/>
              </w:rPr>
              <w:t>﹝20</w:t>
            </w:r>
            <w:r>
              <w:rPr>
                <w:rFonts w:hint="eastAsia"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rPr>
              <w:t>﹞</w:t>
            </w:r>
            <w:r>
              <w:rPr>
                <w:rFonts w:hint="eastAsia" w:ascii="Times New Roman" w:hAnsi="Times New Roman" w:eastAsia="宋体" w:cs="Times New Roman"/>
                <w:color w:val="auto"/>
                <w:highlight w:val="none"/>
                <w:lang w:val="en-US" w:eastAsia="zh-CN"/>
              </w:rPr>
              <w:t>15</w:t>
            </w:r>
            <w:r>
              <w:rPr>
                <w:rFonts w:hint="default" w:ascii="Times New Roman" w:hAnsi="Times New Roman" w:eastAsia="宋体" w:cs="Times New Roman"/>
                <w:color w:val="auto"/>
                <w:highlight w:val="none"/>
              </w:rPr>
              <w:t>号”</w:t>
            </w:r>
            <w:r>
              <w:rPr>
                <w:rFonts w:hint="eastAsia" w:ascii="Times New Roman" w:hAnsi="Times New Roman" w:eastAsia="宋体" w:cs="Times New Roman"/>
                <w:color w:val="auto"/>
                <w:highlight w:val="none"/>
                <w:lang w:val="en-US" w:eastAsia="zh-CN"/>
              </w:rPr>
              <w:t>文对《李家壕煤矿危废库工程固体废物污染防治设施竣工环境保护验收》出具了验收意见（附件20）。</w:t>
            </w:r>
          </w:p>
          <w:p w14:paraId="6686159F">
            <w:pPr>
              <w:pStyle w:val="54"/>
              <w:keepNext w:val="0"/>
              <w:keepLines w:val="0"/>
              <w:pageBreakBefore w:val="0"/>
              <w:kinsoku/>
              <w:wordWrap/>
              <w:overflowPunct/>
              <w:topLinePunct w:val="0"/>
              <w:autoSpaceDE/>
              <w:autoSpaceDN/>
              <w:bidi w:val="0"/>
              <w:spacing w:line="500" w:lineRule="exact"/>
              <w:ind w:firstLine="480"/>
              <w:textAlignment w:val="auto"/>
              <w:rPr>
                <w:rFonts w:hint="eastAsia" w:ascii="Times New Roman" w:hAnsi="Times New Roman" w:eastAsia="宋体" w:cs="Times New Roman"/>
                <w:color w:val="auto"/>
                <w:kern w:val="0"/>
                <w:szCs w:val="24"/>
              </w:rPr>
            </w:pPr>
            <w:r>
              <w:rPr>
                <w:rFonts w:hint="eastAsia" w:ascii="Times New Roman" w:hAnsi="Times New Roman" w:eastAsia="宋体" w:cs="Times New Roman"/>
                <w:color w:val="auto"/>
                <w:kern w:val="0"/>
                <w:szCs w:val="24"/>
              </w:rPr>
              <w:t>2022年</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rPr>
              <w:t>李家壕煤矿委托中煤科工集团武汉设计研究院有限公司编制了《国能包头能源有限责任公司李家壕煤矿二水平开拓延深初步设计变更》。2023年4月</w:t>
            </w:r>
            <w:r>
              <w:rPr>
                <w:rFonts w:hint="eastAsia" w:ascii="Times New Roman" w:hAnsi="Times New Roman" w:eastAsia="宋体" w:cs="Times New Roman"/>
                <w:color w:val="auto"/>
                <w:kern w:val="0"/>
                <w:szCs w:val="24"/>
                <w:lang w:eastAsia="zh-CN"/>
              </w:rPr>
              <w:t>，</w:t>
            </w:r>
            <w:r>
              <w:rPr>
                <w:rFonts w:hint="eastAsia" w:ascii="Times New Roman" w:hAnsi="Times New Roman" w:eastAsia="宋体" w:cs="Times New Roman"/>
                <w:color w:val="auto"/>
                <w:kern w:val="0"/>
                <w:szCs w:val="24"/>
              </w:rPr>
              <w:t>国能包头能源有限责任公司以包能发〔2023〕65号文件对李家壕煤矿二水平开拓延深项目竣工验收予以批复。</w:t>
            </w:r>
          </w:p>
          <w:p w14:paraId="5ED19C7D">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eastAsia"/>
                <w:color w:val="auto"/>
                <w:sz w:val="24"/>
                <w:lang w:val="en-US" w:eastAsia="zh-CN"/>
              </w:rPr>
            </w:pPr>
            <w:r>
              <w:rPr>
                <w:rFonts w:hint="eastAsia"/>
                <w:color w:val="auto"/>
                <w:sz w:val="24"/>
                <w:lang w:val="en-US" w:eastAsia="zh-CN"/>
              </w:rPr>
              <w:t>2024年9月，李家壕煤矿申请了排污许可证（附件21），证书编号为91150602570641619 N001U。</w:t>
            </w:r>
          </w:p>
          <w:p w14:paraId="03C07BBF">
            <w:pPr>
              <w:keepNext w:val="0"/>
              <w:keepLines w:val="0"/>
              <w:pageBreakBefore w:val="0"/>
              <w:kinsoku/>
              <w:wordWrap/>
              <w:overflowPunct/>
              <w:topLinePunct w:val="0"/>
              <w:autoSpaceDE/>
              <w:autoSpaceDN/>
              <w:bidi w:val="0"/>
              <w:adjustRightInd w:val="0"/>
              <w:snapToGrid w:val="0"/>
              <w:spacing w:line="500" w:lineRule="exact"/>
              <w:ind w:firstLine="482" w:firstLineChars="200"/>
              <w:textAlignment w:val="auto"/>
              <w:rPr>
                <w:rFonts w:hint="default"/>
                <w:b/>
                <w:bCs/>
                <w:color w:val="auto"/>
                <w:sz w:val="24"/>
                <w:lang w:val="en-US" w:eastAsia="zh-CN"/>
              </w:rPr>
            </w:pPr>
            <w:r>
              <w:rPr>
                <w:rFonts w:hint="eastAsia"/>
                <w:b/>
                <w:bCs/>
                <w:color w:val="auto"/>
                <w:sz w:val="24"/>
                <w:lang w:val="en-US" w:eastAsia="zh-CN"/>
              </w:rPr>
              <w:t>二、现有工程污染物排放情况</w:t>
            </w:r>
          </w:p>
          <w:p w14:paraId="2E9D34D8">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color w:val="auto"/>
                <w:sz w:val="24"/>
                <w:lang w:val="en-US" w:eastAsia="zh-CN"/>
              </w:rPr>
            </w:pPr>
            <w:r>
              <w:rPr>
                <w:rFonts w:hint="eastAsia"/>
                <w:color w:val="auto"/>
                <w:sz w:val="24"/>
                <w:lang w:val="en-US" w:eastAsia="zh-CN"/>
              </w:rPr>
              <w:t>（1）废气</w:t>
            </w:r>
          </w:p>
          <w:p w14:paraId="289E659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eastAsia"/>
                <w:color w:val="auto"/>
                <w:sz w:val="24"/>
                <w:lang w:val="en-US" w:eastAsia="zh-CN"/>
              </w:rPr>
            </w:pPr>
            <w:r>
              <w:rPr>
                <w:rFonts w:hint="eastAsia"/>
                <w:color w:val="auto"/>
                <w:sz w:val="24"/>
                <w:lang w:val="en-US" w:eastAsia="zh-CN"/>
              </w:rPr>
              <w:t>现有风井场地仅有2台风机，由于该煤矿井下建立有防尘洒水系统，对煤流的各转载点设有喷雾洒水装置，输送机巷和主要通风巷等处均设置净化水幕，作业时开启；粉尘积聚处定期清理、并撒布岩粉。采取上述措施后可以有效抑制井下粉尘产生，因此通过风机向大气中排放的粉尘量很小。</w:t>
            </w:r>
          </w:p>
          <w:p w14:paraId="1D898C5E">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color w:val="auto"/>
                <w:sz w:val="24"/>
                <w:lang w:val="en-US" w:eastAsia="zh-CN"/>
              </w:rPr>
            </w:pPr>
            <w:r>
              <w:rPr>
                <w:rFonts w:hint="eastAsia"/>
                <w:color w:val="auto"/>
                <w:sz w:val="24"/>
                <w:lang w:val="en-US" w:eastAsia="zh-CN"/>
              </w:rPr>
              <w:t>（2）废水</w:t>
            </w:r>
          </w:p>
          <w:p w14:paraId="3CCCEBD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color w:val="auto"/>
                <w:sz w:val="24"/>
                <w:lang w:val="en-US" w:eastAsia="zh-CN"/>
              </w:rPr>
            </w:pPr>
            <w:r>
              <w:rPr>
                <w:rFonts w:hint="eastAsia"/>
                <w:color w:val="auto"/>
                <w:sz w:val="24"/>
                <w:lang w:val="en-US" w:eastAsia="zh-CN"/>
              </w:rPr>
              <w:t>生活污水经煤矿生活污水处理站处理，处理后回用于选煤厂生产补充水，不外排。</w:t>
            </w:r>
          </w:p>
          <w:p w14:paraId="03A3B979">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default"/>
                <w:color w:val="auto"/>
                <w:sz w:val="24"/>
                <w:lang w:val="en-US" w:eastAsia="zh-CN"/>
              </w:rPr>
            </w:pPr>
            <w:r>
              <w:rPr>
                <w:rFonts w:hint="eastAsia"/>
                <w:color w:val="auto"/>
                <w:sz w:val="24"/>
                <w:lang w:val="en-US" w:eastAsia="zh-CN"/>
              </w:rPr>
              <w:t>（3）噪声</w:t>
            </w:r>
          </w:p>
          <w:p w14:paraId="235F13C2">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eastAsia"/>
                <w:color w:val="auto"/>
                <w:sz w:val="24"/>
                <w:lang w:val="en-US" w:eastAsia="zh-CN"/>
              </w:rPr>
            </w:pPr>
            <w:r>
              <w:rPr>
                <w:rFonts w:hint="eastAsia"/>
                <w:color w:val="auto"/>
                <w:sz w:val="24"/>
                <w:lang w:val="en-US" w:eastAsia="zh-CN"/>
              </w:rPr>
              <w:t>现有风井场地噪声主要为风机噪声。根据2012年6月27日至6月28日煤矿验收时对风井场地厂界噪声监测结果可知，风井场地厂界昼间噪声值57.2～62.4dB(A)，夜间噪声值54.1～54.8dB(A)；各厂界各监测点噪声均满足《工业企业厂界环境噪声排放标准》（GB12348-2008）3类区标准。</w:t>
            </w:r>
          </w:p>
          <w:p w14:paraId="1509D7D2">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color w:val="auto"/>
                <w:sz w:val="24"/>
                <w:lang w:val="en-US" w:eastAsia="zh-CN"/>
              </w:rPr>
            </w:pPr>
            <w:r>
              <w:rPr>
                <w:rFonts w:hint="eastAsia"/>
                <w:color w:val="auto"/>
                <w:sz w:val="24"/>
                <w:lang w:val="en-US" w:eastAsia="zh-CN"/>
              </w:rPr>
              <w:t>（4）固体废物</w:t>
            </w:r>
          </w:p>
          <w:p w14:paraId="44ACE19F">
            <w:pPr>
              <w:keepNext w:val="0"/>
              <w:keepLines w:val="0"/>
              <w:pageBreakBefore w:val="0"/>
              <w:kinsoku/>
              <w:wordWrap/>
              <w:overflowPunct/>
              <w:topLinePunct w:val="0"/>
              <w:autoSpaceDE/>
              <w:autoSpaceDN/>
              <w:bidi w:val="0"/>
              <w:adjustRightInd w:val="0"/>
              <w:snapToGrid w:val="0"/>
              <w:spacing w:line="520" w:lineRule="exact"/>
              <w:ind w:firstLine="480" w:firstLineChars="200"/>
              <w:textAlignment w:val="auto"/>
              <w:rPr>
                <w:rFonts w:hint="default"/>
                <w:color w:val="auto"/>
                <w:sz w:val="24"/>
                <w:lang w:val="en-US" w:eastAsia="zh-CN"/>
              </w:rPr>
            </w:pPr>
            <w:r>
              <w:rPr>
                <w:rFonts w:hint="default"/>
                <w:color w:val="auto"/>
                <w:sz w:val="24"/>
                <w:lang w:val="en-US" w:eastAsia="zh-CN"/>
              </w:rPr>
              <w:t>现有风井场地固体废物主要是值班人员生活垃圾，收集后交由环卫部门处理。</w:t>
            </w:r>
          </w:p>
          <w:p w14:paraId="68FF9585">
            <w:pPr>
              <w:keepNext w:val="0"/>
              <w:keepLines w:val="0"/>
              <w:pageBreakBefore w:val="0"/>
              <w:kinsoku/>
              <w:wordWrap/>
              <w:overflowPunct/>
              <w:topLinePunct w:val="0"/>
              <w:autoSpaceDE/>
              <w:autoSpaceDN/>
              <w:bidi w:val="0"/>
              <w:adjustRightInd w:val="0"/>
              <w:snapToGrid w:val="0"/>
              <w:spacing w:line="520" w:lineRule="exact"/>
              <w:ind w:firstLine="482" w:firstLineChars="200"/>
              <w:textAlignment w:val="auto"/>
              <w:rPr>
                <w:rFonts w:hint="default"/>
                <w:b/>
                <w:bCs/>
                <w:color w:val="auto"/>
                <w:sz w:val="24"/>
                <w:lang w:val="en-US" w:eastAsia="zh-CN"/>
              </w:rPr>
            </w:pPr>
            <w:r>
              <w:rPr>
                <w:rFonts w:hint="eastAsia"/>
                <w:b/>
                <w:bCs/>
                <w:color w:val="auto"/>
                <w:sz w:val="24"/>
                <w:lang w:val="en-US" w:eastAsia="zh-CN"/>
              </w:rPr>
              <w:t>三、现有工程存在的环保问题及整改措施</w:t>
            </w:r>
          </w:p>
          <w:p w14:paraId="4FF875D4">
            <w:pPr>
              <w:pStyle w:val="4"/>
              <w:keepNext w:val="0"/>
              <w:keepLines w:val="0"/>
              <w:pageBreakBefore w:val="0"/>
              <w:kinsoku/>
              <w:wordWrap/>
              <w:overflowPunct/>
              <w:topLinePunct w:val="0"/>
              <w:autoSpaceDE/>
              <w:autoSpaceDN/>
              <w:bidi w:val="0"/>
              <w:snapToGrid w:val="0"/>
              <w:spacing w:before="0" w:after="0" w:line="520" w:lineRule="exact"/>
              <w:ind w:right="0" w:firstLine="480" w:firstLineChars="200"/>
              <w:jc w:val="both"/>
              <w:textAlignment w:val="auto"/>
              <w:rPr>
                <w:rFonts w:hint="eastAsia"/>
                <w:bCs/>
                <w:color w:val="auto"/>
                <w:sz w:val="24"/>
                <w:szCs w:val="24"/>
              </w:rPr>
            </w:pPr>
            <w:r>
              <w:rPr>
                <w:rFonts w:hint="eastAsia"/>
                <w:color w:val="auto"/>
                <w:sz w:val="24"/>
                <w:lang w:val="en-US" w:eastAsia="zh-CN"/>
              </w:rPr>
              <w:t>根据现场踏勘及验收报告，现有风井场地</w:t>
            </w:r>
            <w:r>
              <w:rPr>
                <w:rFonts w:hint="eastAsia"/>
                <w:bCs/>
                <w:color w:val="auto"/>
                <w:sz w:val="24"/>
                <w:szCs w:val="24"/>
              </w:rPr>
              <w:t>废气、废水、噪声、固废均采取了合理的治理措施</w:t>
            </w:r>
            <w:r>
              <w:rPr>
                <w:rFonts w:hint="eastAsia"/>
                <w:bCs/>
                <w:color w:val="auto"/>
                <w:sz w:val="24"/>
                <w:szCs w:val="24"/>
                <w:lang w:eastAsia="zh-CN"/>
              </w:rPr>
              <w:t>，</w:t>
            </w:r>
            <w:r>
              <w:rPr>
                <w:rFonts w:hint="eastAsia"/>
                <w:bCs/>
                <w:color w:val="auto"/>
                <w:sz w:val="24"/>
                <w:szCs w:val="24"/>
                <w:lang w:val="en-US" w:eastAsia="zh-CN"/>
              </w:rPr>
              <w:t>废气、噪声</w:t>
            </w:r>
            <w:r>
              <w:rPr>
                <w:rFonts w:hint="eastAsia"/>
                <w:bCs/>
                <w:color w:val="auto"/>
                <w:sz w:val="24"/>
                <w:szCs w:val="24"/>
              </w:rPr>
              <w:t>可达标排放</w:t>
            </w:r>
            <w:r>
              <w:rPr>
                <w:rFonts w:hint="eastAsia"/>
                <w:bCs/>
                <w:color w:val="auto"/>
                <w:sz w:val="24"/>
                <w:szCs w:val="24"/>
                <w:lang w:eastAsia="zh-CN"/>
              </w:rPr>
              <w:t>，</w:t>
            </w:r>
            <w:r>
              <w:rPr>
                <w:rFonts w:hint="eastAsia"/>
                <w:bCs/>
                <w:color w:val="auto"/>
                <w:sz w:val="24"/>
                <w:szCs w:val="24"/>
                <w:lang w:val="en-US" w:eastAsia="zh-CN"/>
              </w:rPr>
              <w:t>废水不外排，固废合理处置</w:t>
            </w:r>
            <w:r>
              <w:rPr>
                <w:rFonts w:hint="eastAsia"/>
                <w:bCs/>
                <w:color w:val="auto"/>
                <w:sz w:val="24"/>
                <w:szCs w:val="24"/>
              </w:rPr>
              <w:t>，故不存在与项目有关的环保问题。</w:t>
            </w:r>
          </w:p>
          <w:p w14:paraId="5A56EDBD">
            <w:pPr>
              <w:pStyle w:val="4"/>
              <w:keepNext w:val="0"/>
              <w:keepLines w:val="0"/>
              <w:pageBreakBefore w:val="0"/>
              <w:kinsoku/>
              <w:wordWrap/>
              <w:overflowPunct/>
              <w:topLinePunct w:val="0"/>
              <w:autoSpaceDE/>
              <w:autoSpaceDN/>
              <w:bidi w:val="0"/>
              <w:snapToGrid w:val="0"/>
              <w:spacing w:before="0" w:after="0" w:line="520" w:lineRule="exact"/>
              <w:ind w:right="0" w:firstLine="480" w:firstLineChars="200"/>
              <w:jc w:val="both"/>
              <w:textAlignment w:val="auto"/>
              <w:rPr>
                <w:rFonts w:hint="eastAsia"/>
                <w:bCs/>
                <w:color w:val="auto"/>
                <w:sz w:val="24"/>
                <w:szCs w:val="24"/>
              </w:rPr>
            </w:pPr>
          </w:p>
          <w:p w14:paraId="50A079FF">
            <w:pPr>
              <w:pStyle w:val="4"/>
              <w:keepNext w:val="0"/>
              <w:keepLines w:val="0"/>
              <w:pageBreakBefore w:val="0"/>
              <w:kinsoku/>
              <w:wordWrap/>
              <w:overflowPunct/>
              <w:topLinePunct w:val="0"/>
              <w:autoSpaceDE/>
              <w:autoSpaceDN/>
              <w:bidi w:val="0"/>
              <w:snapToGrid w:val="0"/>
              <w:spacing w:before="0" w:after="0" w:line="520" w:lineRule="exact"/>
              <w:ind w:right="0" w:firstLine="480" w:firstLineChars="200"/>
              <w:jc w:val="both"/>
              <w:textAlignment w:val="auto"/>
              <w:rPr>
                <w:rFonts w:hint="eastAsia"/>
                <w:bCs/>
                <w:color w:val="auto"/>
                <w:sz w:val="24"/>
                <w:szCs w:val="24"/>
              </w:rPr>
            </w:pPr>
          </w:p>
          <w:p w14:paraId="54B4C221">
            <w:pPr>
              <w:pStyle w:val="4"/>
              <w:keepNext w:val="0"/>
              <w:keepLines w:val="0"/>
              <w:pageBreakBefore w:val="0"/>
              <w:kinsoku/>
              <w:wordWrap/>
              <w:overflowPunct/>
              <w:topLinePunct w:val="0"/>
              <w:autoSpaceDE/>
              <w:autoSpaceDN/>
              <w:bidi w:val="0"/>
              <w:snapToGrid w:val="0"/>
              <w:spacing w:before="0" w:after="0" w:line="520" w:lineRule="exact"/>
              <w:ind w:right="0" w:firstLine="480" w:firstLineChars="200"/>
              <w:jc w:val="both"/>
              <w:textAlignment w:val="auto"/>
              <w:rPr>
                <w:rFonts w:hint="eastAsia"/>
                <w:bCs/>
                <w:color w:val="auto"/>
                <w:sz w:val="24"/>
                <w:szCs w:val="24"/>
              </w:rPr>
            </w:pPr>
          </w:p>
          <w:p w14:paraId="31333C2C">
            <w:pPr>
              <w:pStyle w:val="4"/>
              <w:keepNext w:val="0"/>
              <w:keepLines w:val="0"/>
              <w:pageBreakBefore w:val="0"/>
              <w:kinsoku/>
              <w:wordWrap/>
              <w:overflowPunct/>
              <w:topLinePunct w:val="0"/>
              <w:autoSpaceDE/>
              <w:autoSpaceDN/>
              <w:bidi w:val="0"/>
              <w:snapToGrid w:val="0"/>
              <w:spacing w:before="0" w:after="0" w:line="520" w:lineRule="exact"/>
              <w:ind w:right="0" w:firstLine="480" w:firstLineChars="200"/>
              <w:jc w:val="both"/>
              <w:textAlignment w:val="auto"/>
              <w:rPr>
                <w:rFonts w:hint="eastAsia"/>
                <w:bCs/>
                <w:color w:val="auto"/>
                <w:sz w:val="24"/>
                <w:szCs w:val="24"/>
              </w:rPr>
            </w:pPr>
          </w:p>
          <w:p w14:paraId="28D2BBE8">
            <w:pPr>
              <w:pStyle w:val="4"/>
              <w:keepNext w:val="0"/>
              <w:keepLines w:val="0"/>
              <w:pageBreakBefore w:val="0"/>
              <w:kinsoku/>
              <w:wordWrap/>
              <w:overflowPunct/>
              <w:topLinePunct w:val="0"/>
              <w:autoSpaceDE/>
              <w:autoSpaceDN/>
              <w:bidi w:val="0"/>
              <w:snapToGrid w:val="0"/>
              <w:spacing w:before="0" w:after="0" w:line="520" w:lineRule="exact"/>
              <w:ind w:right="0" w:firstLine="480" w:firstLineChars="200"/>
              <w:jc w:val="both"/>
              <w:textAlignment w:val="auto"/>
              <w:rPr>
                <w:rFonts w:hint="eastAsia"/>
                <w:bCs/>
                <w:color w:val="auto"/>
                <w:sz w:val="24"/>
                <w:szCs w:val="24"/>
              </w:rPr>
            </w:pPr>
          </w:p>
          <w:p w14:paraId="534C09B8">
            <w:pPr>
              <w:pStyle w:val="4"/>
              <w:keepNext w:val="0"/>
              <w:keepLines w:val="0"/>
              <w:pageBreakBefore w:val="0"/>
              <w:kinsoku/>
              <w:wordWrap/>
              <w:overflowPunct/>
              <w:topLinePunct w:val="0"/>
              <w:autoSpaceDE/>
              <w:autoSpaceDN/>
              <w:bidi w:val="0"/>
              <w:snapToGrid w:val="0"/>
              <w:spacing w:before="0" w:after="0" w:line="520" w:lineRule="exact"/>
              <w:ind w:right="0" w:firstLine="480" w:firstLineChars="200"/>
              <w:jc w:val="both"/>
              <w:textAlignment w:val="auto"/>
              <w:rPr>
                <w:rFonts w:hint="eastAsia"/>
                <w:bCs/>
                <w:color w:val="auto"/>
                <w:sz w:val="24"/>
                <w:szCs w:val="24"/>
              </w:rPr>
            </w:pPr>
          </w:p>
          <w:p w14:paraId="3EB855B0">
            <w:pPr>
              <w:pStyle w:val="4"/>
              <w:keepNext w:val="0"/>
              <w:keepLines w:val="0"/>
              <w:pageBreakBefore w:val="0"/>
              <w:kinsoku/>
              <w:wordWrap/>
              <w:overflowPunct/>
              <w:topLinePunct w:val="0"/>
              <w:autoSpaceDE/>
              <w:autoSpaceDN/>
              <w:bidi w:val="0"/>
              <w:snapToGrid w:val="0"/>
              <w:spacing w:before="0" w:after="0" w:line="520" w:lineRule="exact"/>
              <w:ind w:right="0" w:firstLine="420" w:firstLineChars="200"/>
              <w:jc w:val="both"/>
              <w:textAlignment w:val="auto"/>
              <w:rPr>
                <w:rStyle w:val="34"/>
                <w:rFonts w:hint="eastAsia" w:eastAsia="汉鼎简书宋"/>
                <w:color w:val="auto"/>
                <w:kern w:val="0"/>
                <w:lang w:val="en-US" w:eastAsia="zh-CN"/>
              </w:rPr>
            </w:pPr>
          </w:p>
        </w:tc>
      </w:tr>
      <w:tr w14:paraId="2E13C6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13" w:hRule="atLeast"/>
          <w:jc w:val="center"/>
        </w:trPr>
        <w:tc>
          <w:tcPr>
            <w:tcW w:w="248" w:type="pct"/>
            <w:vAlign w:val="center"/>
          </w:tcPr>
          <w:p w14:paraId="1BB0A4A6">
            <w:pPr>
              <w:adjustRightInd w:val="0"/>
              <w:snapToGrid w:val="0"/>
              <w:jc w:val="center"/>
              <w:rPr>
                <w:rFonts w:ascii="宋体" w:hAnsi="宋体" w:cs="宋体"/>
                <w:color w:val="auto"/>
                <w:kern w:val="0"/>
                <w:szCs w:val="21"/>
              </w:rPr>
            </w:pPr>
            <w:r>
              <w:rPr>
                <w:rFonts w:hint="eastAsia" w:ascii="宋体" w:hAnsi="宋体" w:cs="宋体"/>
                <w:color w:val="auto"/>
                <w:kern w:val="0"/>
                <w:sz w:val="24"/>
              </w:rPr>
              <w:t>生态环境保护目标</w:t>
            </w:r>
          </w:p>
        </w:tc>
        <w:tc>
          <w:tcPr>
            <w:tcW w:w="4751" w:type="pct"/>
            <w:vAlign w:val="center"/>
          </w:tcPr>
          <w:p w14:paraId="7210349C">
            <w:pPr>
              <w:pStyle w:val="5"/>
              <w:keepNext w:val="0"/>
              <w:keepLines w:val="0"/>
              <w:pageBreakBefore w:val="0"/>
              <w:widowControl w:val="0"/>
              <w:kinsoku/>
              <w:wordWrap/>
              <w:overflowPunct/>
              <w:topLinePunct w:val="0"/>
              <w:autoSpaceDE/>
              <w:autoSpaceDN/>
              <w:bidi w:val="0"/>
              <w:adjustRightInd/>
              <w:snapToGrid/>
              <w:spacing w:before="0" w:after="0" w:line="500" w:lineRule="exact"/>
              <w:ind w:right="0" w:firstLine="480" w:firstLineChars="200"/>
              <w:textAlignment w:val="auto"/>
              <w:rPr>
                <w:color w:val="auto"/>
                <w:sz w:val="24"/>
                <w:szCs w:val="24"/>
              </w:rPr>
            </w:pPr>
            <w:r>
              <w:rPr>
                <w:color w:val="auto"/>
                <w:sz w:val="24"/>
                <w:szCs w:val="24"/>
              </w:rPr>
              <w:t>本项目位于</w:t>
            </w:r>
            <w:r>
              <w:rPr>
                <w:rFonts w:hint="eastAsia"/>
                <w:color w:val="auto"/>
                <w:sz w:val="24"/>
                <w:szCs w:val="24"/>
              </w:rPr>
              <w:t>李家壕</w:t>
            </w:r>
            <w:r>
              <w:rPr>
                <w:color w:val="auto"/>
                <w:sz w:val="24"/>
                <w:szCs w:val="24"/>
              </w:rPr>
              <w:t>煤矿井田范围内，经现场踏勘，本项目</w:t>
            </w:r>
            <w:r>
              <w:rPr>
                <w:rFonts w:hint="eastAsia"/>
                <w:color w:val="auto"/>
                <w:sz w:val="24"/>
                <w:szCs w:val="24"/>
              </w:rPr>
              <w:t>风井</w:t>
            </w:r>
            <w:r>
              <w:rPr>
                <w:color w:val="auto"/>
                <w:sz w:val="24"/>
                <w:szCs w:val="24"/>
              </w:rPr>
              <w:t>场地及场地外500m范围内不涉及自然保护区、风景名胜区、水源地保护区和文物古迹保护单位、生态保护红线等敏感目标，无重点保护的野生动植物。本项目生</w:t>
            </w:r>
            <w:r>
              <w:rPr>
                <w:rFonts w:hint="eastAsia"/>
                <w:color w:val="auto"/>
                <w:sz w:val="24"/>
                <w:szCs w:val="24"/>
              </w:rPr>
              <w:t>态环境</w:t>
            </w:r>
            <w:r>
              <w:rPr>
                <w:color w:val="auto"/>
                <w:sz w:val="24"/>
                <w:szCs w:val="24"/>
              </w:rPr>
              <w:t>保护目标为</w:t>
            </w:r>
            <w:r>
              <w:rPr>
                <w:rFonts w:hint="eastAsia"/>
                <w:color w:val="auto"/>
                <w:sz w:val="24"/>
                <w:szCs w:val="24"/>
              </w:rPr>
              <w:t>风</w:t>
            </w:r>
            <w:r>
              <w:rPr>
                <w:color w:val="auto"/>
                <w:sz w:val="24"/>
                <w:szCs w:val="24"/>
              </w:rPr>
              <w:t>井场地500m范围内</w:t>
            </w:r>
            <w:r>
              <w:rPr>
                <w:rFonts w:hint="eastAsia"/>
                <w:color w:val="auto"/>
                <w:sz w:val="24"/>
                <w:szCs w:val="24"/>
              </w:rPr>
              <w:t>动植物</w:t>
            </w:r>
            <w:r>
              <w:rPr>
                <w:rFonts w:hint="eastAsia"/>
                <w:color w:val="auto"/>
                <w:sz w:val="24"/>
                <w:szCs w:val="24"/>
                <w:lang w:eastAsia="zh-CN"/>
              </w:rPr>
              <w:t>，</w:t>
            </w:r>
            <w:r>
              <w:rPr>
                <w:rFonts w:hint="eastAsia"/>
                <w:color w:val="auto"/>
                <w:sz w:val="24"/>
                <w:szCs w:val="24"/>
              </w:rPr>
              <w:t>大气环境保护目标为韩家沟村。</w:t>
            </w:r>
          </w:p>
          <w:p w14:paraId="27CF4C41">
            <w:pPr>
              <w:pStyle w:val="5"/>
              <w:keepNext w:val="0"/>
              <w:keepLines w:val="0"/>
              <w:pageBreakBefore w:val="0"/>
              <w:widowControl w:val="0"/>
              <w:kinsoku/>
              <w:wordWrap/>
              <w:overflowPunct/>
              <w:topLinePunct w:val="0"/>
              <w:autoSpaceDE/>
              <w:autoSpaceDN/>
              <w:bidi w:val="0"/>
              <w:adjustRightInd/>
              <w:snapToGrid/>
              <w:spacing w:before="0" w:after="0" w:line="500" w:lineRule="exact"/>
              <w:ind w:right="0" w:firstLine="480" w:firstLineChars="200"/>
              <w:textAlignment w:val="auto"/>
              <w:rPr>
                <w:color w:val="auto"/>
                <w:sz w:val="24"/>
                <w:szCs w:val="24"/>
              </w:rPr>
            </w:pPr>
            <w:r>
              <w:rPr>
                <w:rFonts w:hint="eastAsia"/>
                <w:color w:val="auto"/>
                <w:sz w:val="24"/>
                <w:szCs w:val="24"/>
              </w:rPr>
              <w:t>主要环境保护目标见表3-7。</w:t>
            </w:r>
          </w:p>
          <w:p w14:paraId="4D9F5868">
            <w:pPr>
              <w:pStyle w:val="14"/>
              <w:keepNext w:val="0"/>
              <w:keepLines w:val="0"/>
              <w:pageBreakBefore w:val="0"/>
              <w:widowControl w:val="0"/>
              <w:tabs>
                <w:tab w:val="left" w:pos="0"/>
              </w:tabs>
              <w:kinsoku/>
              <w:wordWrap/>
              <w:overflowPunct/>
              <w:topLinePunct w:val="0"/>
              <w:autoSpaceDE/>
              <w:autoSpaceDN/>
              <w:bidi w:val="0"/>
              <w:adjustRightInd/>
              <w:snapToGrid/>
              <w:spacing w:line="520" w:lineRule="exact"/>
              <w:ind w:firstLine="2262" w:firstLineChars="939"/>
              <w:textAlignment w:val="auto"/>
              <w:rPr>
                <w:b/>
                <w:bCs/>
                <w:color w:val="auto"/>
                <w:sz w:val="24"/>
              </w:rPr>
            </w:pPr>
            <w:r>
              <w:rPr>
                <w:rFonts w:hint="eastAsia"/>
                <w:b/>
                <w:bCs/>
                <w:color w:val="auto"/>
                <w:sz w:val="24"/>
              </w:rPr>
              <w:t>表3-7  本项目主要环境保护目标一览表</w:t>
            </w:r>
          </w:p>
          <w:tbl>
            <w:tblPr>
              <w:tblStyle w:val="30"/>
              <w:tblW w:w="83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279"/>
              <w:gridCol w:w="795"/>
              <w:gridCol w:w="1708"/>
              <w:gridCol w:w="694"/>
              <w:gridCol w:w="629"/>
              <w:gridCol w:w="745"/>
              <w:gridCol w:w="1831"/>
            </w:tblGrid>
            <w:tr w14:paraId="30D5A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665" w:type="dxa"/>
                  <w:vAlign w:val="center"/>
                </w:tcPr>
                <w:p w14:paraId="08CC1C89">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敏感因素</w:t>
                  </w:r>
                </w:p>
              </w:tc>
              <w:tc>
                <w:tcPr>
                  <w:tcW w:w="1280" w:type="dxa"/>
                  <w:vAlign w:val="center"/>
                </w:tcPr>
                <w:p w14:paraId="09A05B08">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工程类型</w:t>
                  </w:r>
                </w:p>
              </w:tc>
              <w:tc>
                <w:tcPr>
                  <w:tcW w:w="796" w:type="dxa"/>
                  <w:vAlign w:val="center"/>
                </w:tcPr>
                <w:p w14:paraId="3698F0A2">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保护目标</w:t>
                  </w:r>
                </w:p>
              </w:tc>
              <w:tc>
                <w:tcPr>
                  <w:tcW w:w="1710" w:type="dxa"/>
                  <w:vAlign w:val="center"/>
                </w:tcPr>
                <w:p w14:paraId="1F0078CB">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坐标</w:t>
                  </w:r>
                </w:p>
              </w:tc>
              <w:tc>
                <w:tcPr>
                  <w:tcW w:w="690" w:type="dxa"/>
                  <w:vAlign w:val="center"/>
                </w:tcPr>
                <w:p w14:paraId="2B6ECD8F">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位置关系</w:t>
                  </w:r>
                </w:p>
              </w:tc>
              <w:tc>
                <w:tcPr>
                  <w:tcW w:w="626" w:type="dxa"/>
                  <w:vAlign w:val="center"/>
                </w:tcPr>
                <w:p w14:paraId="656527DD">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距离</w:t>
                  </w:r>
                </w:p>
              </w:tc>
              <w:tc>
                <w:tcPr>
                  <w:tcW w:w="746" w:type="dxa"/>
                  <w:vAlign w:val="center"/>
                </w:tcPr>
                <w:p w14:paraId="2D44FE3A">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规模</w:t>
                  </w:r>
                </w:p>
              </w:tc>
              <w:tc>
                <w:tcPr>
                  <w:tcW w:w="1832" w:type="dxa"/>
                  <w:vAlign w:val="center"/>
                </w:tcPr>
                <w:p w14:paraId="3FCE1EC1">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区域功能及执行标准</w:t>
                  </w:r>
                </w:p>
              </w:tc>
            </w:tr>
            <w:tr w14:paraId="146DB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665" w:type="dxa"/>
                  <w:vAlign w:val="center"/>
                </w:tcPr>
                <w:p w14:paraId="363B409E">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大气环境</w:t>
                  </w:r>
                </w:p>
              </w:tc>
              <w:tc>
                <w:tcPr>
                  <w:tcW w:w="1280" w:type="dxa"/>
                  <w:vAlign w:val="center"/>
                </w:tcPr>
                <w:p w14:paraId="5502D95F">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风井场地</w:t>
                  </w:r>
                </w:p>
              </w:tc>
              <w:tc>
                <w:tcPr>
                  <w:tcW w:w="796" w:type="dxa"/>
                  <w:vAlign w:val="center"/>
                </w:tcPr>
                <w:p w14:paraId="6CA2E48C">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韩家沟村</w:t>
                  </w:r>
                </w:p>
              </w:tc>
              <w:tc>
                <w:tcPr>
                  <w:tcW w:w="1710" w:type="dxa"/>
                  <w:vAlign w:val="center"/>
                </w:tcPr>
                <w:p w14:paraId="1982C41C">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color w:val="auto"/>
                      <w:szCs w:val="21"/>
                    </w:rPr>
                    <w:t>109°</w:t>
                  </w:r>
                  <w:r>
                    <w:rPr>
                      <w:rFonts w:hint="eastAsia"/>
                      <w:color w:val="auto"/>
                      <w:szCs w:val="21"/>
                    </w:rPr>
                    <w:t>01</w:t>
                  </w:r>
                  <w:r>
                    <w:rPr>
                      <w:color w:val="auto"/>
                      <w:szCs w:val="21"/>
                    </w:rPr>
                    <w:t>′</w:t>
                  </w:r>
                  <w:r>
                    <w:rPr>
                      <w:rFonts w:hint="eastAsia"/>
                      <w:color w:val="auto"/>
                      <w:szCs w:val="21"/>
                    </w:rPr>
                    <w:t>20.265</w:t>
                  </w:r>
                  <w:r>
                    <w:rPr>
                      <w:color w:val="auto"/>
                      <w:szCs w:val="21"/>
                    </w:rPr>
                    <w:t>″</w:t>
                  </w:r>
                  <w:r>
                    <w:rPr>
                      <w:rFonts w:hint="eastAsia"/>
                      <w:color w:val="auto"/>
                      <w:szCs w:val="21"/>
                    </w:rPr>
                    <w:t>，39</w:t>
                  </w:r>
                  <w:r>
                    <w:rPr>
                      <w:color w:val="auto"/>
                      <w:szCs w:val="21"/>
                    </w:rPr>
                    <w:t>°</w:t>
                  </w:r>
                  <w:r>
                    <w:rPr>
                      <w:rFonts w:hint="eastAsia"/>
                      <w:color w:val="auto"/>
                      <w:szCs w:val="21"/>
                    </w:rPr>
                    <w:t>44</w:t>
                  </w:r>
                  <w:r>
                    <w:rPr>
                      <w:color w:val="auto"/>
                      <w:szCs w:val="21"/>
                    </w:rPr>
                    <w:t>′</w:t>
                  </w:r>
                  <w:r>
                    <w:rPr>
                      <w:rFonts w:hint="eastAsia"/>
                      <w:color w:val="auto"/>
                      <w:szCs w:val="21"/>
                    </w:rPr>
                    <w:t>50.281</w:t>
                  </w:r>
                  <w:r>
                    <w:rPr>
                      <w:color w:val="auto"/>
                      <w:szCs w:val="21"/>
                    </w:rPr>
                    <w:t>″</w:t>
                  </w:r>
                </w:p>
              </w:tc>
              <w:tc>
                <w:tcPr>
                  <w:tcW w:w="695" w:type="dxa"/>
                  <w:vAlign w:val="center"/>
                </w:tcPr>
                <w:p w14:paraId="56D3BA74">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W</w:t>
                  </w:r>
                </w:p>
              </w:tc>
              <w:tc>
                <w:tcPr>
                  <w:tcW w:w="630" w:type="dxa"/>
                  <w:vAlign w:val="center"/>
                </w:tcPr>
                <w:p w14:paraId="79E9669F">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240</w:t>
                  </w:r>
                </w:p>
              </w:tc>
              <w:tc>
                <w:tcPr>
                  <w:tcW w:w="737" w:type="dxa"/>
                  <w:vAlign w:val="center"/>
                </w:tcPr>
                <w:p w14:paraId="32145FB0">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3户9人</w:t>
                  </w:r>
                </w:p>
              </w:tc>
              <w:tc>
                <w:tcPr>
                  <w:tcW w:w="1832" w:type="dxa"/>
                  <w:vAlign w:val="center"/>
                </w:tcPr>
                <w:p w14:paraId="4B68E1F7">
                  <w:pPr>
                    <w:pStyle w:val="5"/>
                    <w:keepNext w:val="0"/>
                    <w:keepLines w:val="0"/>
                    <w:pageBreakBefore w:val="0"/>
                    <w:widowControl w:val="0"/>
                    <w:kinsoku/>
                    <w:wordWrap w:val="0"/>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《环境空气质量标准》（GB3095-2012）二级标准</w:t>
                  </w:r>
                </w:p>
              </w:tc>
            </w:tr>
            <w:tr w14:paraId="4C741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665" w:type="dxa"/>
                  <w:vAlign w:val="center"/>
                </w:tcPr>
                <w:p w14:paraId="53269828">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声环境</w:t>
                  </w:r>
                </w:p>
              </w:tc>
              <w:tc>
                <w:tcPr>
                  <w:tcW w:w="1280" w:type="dxa"/>
                  <w:vAlign w:val="center"/>
                </w:tcPr>
                <w:p w14:paraId="156F2D2A">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风井场地</w:t>
                  </w:r>
                </w:p>
              </w:tc>
              <w:tc>
                <w:tcPr>
                  <w:tcW w:w="4568" w:type="dxa"/>
                  <w:gridSpan w:val="5"/>
                  <w:vAlign w:val="center"/>
                </w:tcPr>
                <w:p w14:paraId="4ABB8C88">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rFonts w:hint="eastAsia"/>
                      <w:color w:val="auto"/>
                      <w:szCs w:val="21"/>
                      <w:lang w:val="en-US" w:eastAsia="zh-CN"/>
                    </w:rPr>
                    <w:t>场</w:t>
                  </w:r>
                  <w:r>
                    <w:rPr>
                      <w:rFonts w:hint="eastAsia"/>
                      <w:color w:val="auto"/>
                      <w:szCs w:val="21"/>
                    </w:rPr>
                    <w:t>界</w:t>
                  </w:r>
                  <w:r>
                    <w:rPr>
                      <w:rFonts w:hint="eastAsia"/>
                      <w:color w:val="auto"/>
                      <w:kern w:val="0"/>
                      <w:szCs w:val="21"/>
                    </w:rPr>
                    <w:t>外50米范围内无医院、学校、机关、科研单位、住宅等需要保持安静的建筑物。</w:t>
                  </w:r>
                </w:p>
              </w:tc>
              <w:tc>
                <w:tcPr>
                  <w:tcW w:w="1832" w:type="dxa"/>
                  <w:vAlign w:val="center"/>
                </w:tcPr>
                <w:p w14:paraId="7C4EF71A">
                  <w:pPr>
                    <w:pStyle w:val="5"/>
                    <w:keepNext w:val="0"/>
                    <w:keepLines w:val="0"/>
                    <w:pageBreakBefore w:val="0"/>
                    <w:widowControl w:val="0"/>
                    <w:kinsoku/>
                    <w:wordWrap w:val="0"/>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《声环境质量标准》（GB3096-2008）</w:t>
                  </w:r>
                  <w:r>
                    <w:rPr>
                      <w:rFonts w:hint="eastAsia"/>
                      <w:color w:val="auto"/>
                      <w:szCs w:val="21"/>
                      <w:lang w:val="en-US" w:eastAsia="zh-CN"/>
                    </w:rPr>
                    <w:t>3</w:t>
                  </w:r>
                  <w:r>
                    <w:rPr>
                      <w:rFonts w:hint="eastAsia"/>
                      <w:color w:val="auto"/>
                      <w:szCs w:val="21"/>
                    </w:rPr>
                    <w:t>类标准</w:t>
                  </w:r>
                </w:p>
              </w:tc>
            </w:tr>
            <w:tr w14:paraId="385A6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665" w:type="dxa"/>
                  <w:vAlign w:val="center"/>
                </w:tcPr>
                <w:p w14:paraId="1286FF81">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地下水</w:t>
                  </w:r>
                </w:p>
              </w:tc>
              <w:tc>
                <w:tcPr>
                  <w:tcW w:w="1280" w:type="dxa"/>
                  <w:vAlign w:val="center"/>
                </w:tcPr>
                <w:p w14:paraId="263F9523">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风井场地</w:t>
                  </w:r>
                </w:p>
              </w:tc>
              <w:tc>
                <w:tcPr>
                  <w:tcW w:w="4568" w:type="dxa"/>
                  <w:gridSpan w:val="5"/>
                  <w:vAlign w:val="center"/>
                </w:tcPr>
                <w:p w14:paraId="152A0BB8">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本项目</w:t>
                  </w:r>
                  <w:r>
                    <w:rPr>
                      <w:rFonts w:hint="eastAsia"/>
                      <w:color w:val="auto"/>
                      <w:szCs w:val="21"/>
                      <w:lang w:val="en-US" w:eastAsia="zh-CN"/>
                    </w:rPr>
                    <w:t>场</w:t>
                  </w:r>
                  <w:r>
                    <w:rPr>
                      <w:rFonts w:hint="eastAsia"/>
                      <w:color w:val="auto"/>
                      <w:szCs w:val="21"/>
                    </w:rPr>
                    <w:t>界</w:t>
                  </w:r>
                  <w:r>
                    <w:rPr>
                      <w:color w:val="auto"/>
                      <w:szCs w:val="21"/>
                    </w:rPr>
                    <w:t>外500m范围内无地下水集中式饮用水水源和热水、矿泉水、温泉等特殊地下水资源</w:t>
                  </w:r>
                </w:p>
              </w:tc>
              <w:tc>
                <w:tcPr>
                  <w:tcW w:w="1832" w:type="dxa"/>
                  <w:vAlign w:val="center"/>
                </w:tcPr>
                <w:p w14:paraId="6003B5DE">
                  <w:pPr>
                    <w:pStyle w:val="5"/>
                    <w:keepNext w:val="0"/>
                    <w:keepLines w:val="0"/>
                    <w:pageBreakBefore w:val="0"/>
                    <w:widowControl w:val="0"/>
                    <w:kinsoku/>
                    <w:wordWrap w:val="0"/>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《地下水质量标准》（GB/T14848-2017）Ⅲ类标准</w:t>
                  </w:r>
                </w:p>
              </w:tc>
            </w:tr>
            <w:tr w14:paraId="67862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665" w:type="dxa"/>
                  <w:vAlign w:val="center"/>
                </w:tcPr>
                <w:p w14:paraId="1211577F">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生态</w:t>
                  </w:r>
                </w:p>
              </w:tc>
              <w:tc>
                <w:tcPr>
                  <w:tcW w:w="1280" w:type="dxa"/>
                  <w:vAlign w:val="center"/>
                </w:tcPr>
                <w:p w14:paraId="5372E59E">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风井场地</w:t>
                  </w:r>
                </w:p>
              </w:tc>
              <w:tc>
                <w:tcPr>
                  <w:tcW w:w="4568" w:type="dxa"/>
                  <w:gridSpan w:val="5"/>
                  <w:vAlign w:val="center"/>
                </w:tcPr>
                <w:p w14:paraId="00C493C6">
                  <w:pPr>
                    <w:keepNext w:val="0"/>
                    <w:keepLines w:val="0"/>
                    <w:pageBreakBefore w:val="0"/>
                    <w:widowControl w:val="0"/>
                    <w:kinsoku/>
                    <w:overflowPunct/>
                    <w:topLinePunct w:val="0"/>
                    <w:autoSpaceDE/>
                    <w:autoSpaceDN/>
                    <w:bidi w:val="0"/>
                    <w:adjustRightInd/>
                    <w:snapToGrid/>
                    <w:spacing w:line="320" w:lineRule="exact"/>
                    <w:jc w:val="center"/>
                    <w:textAlignment w:val="auto"/>
                    <w:rPr>
                      <w:color w:val="auto"/>
                      <w:szCs w:val="21"/>
                    </w:rPr>
                  </w:pPr>
                  <w:r>
                    <w:rPr>
                      <w:color w:val="auto"/>
                      <w:szCs w:val="21"/>
                    </w:rPr>
                    <w:t>本项目</w:t>
                  </w:r>
                  <w:r>
                    <w:rPr>
                      <w:rFonts w:hint="eastAsia"/>
                      <w:color w:val="auto"/>
                      <w:szCs w:val="21"/>
                      <w:lang w:val="en-US" w:eastAsia="zh-CN"/>
                    </w:rPr>
                    <w:t>场</w:t>
                  </w:r>
                  <w:r>
                    <w:rPr>
                      <w:rFonts w:hint="eastAsia"/>
                      <w:color w:val="auto"/>
                      <w:szCs w:val="21"/>
                    </w:rPr>
                    <w:t>界外扩</w:t>
                  </w:r>
                  <w:r>
                    <w:rPr>
                      <w:color w:val="auto"/>
                      <w:szCs w:val="21"/>
                    </w:rPr>
                    <w:t>500m范围内</w:t>
                  </w:r>
                  <w:r>
                    <w:rPr>
                      <w:rFonts w:hint="eastAsia"/>
                      <w:color w:val="auto"/>
                      <w:szCs w:val="21"/>
                    </w:rPr>
                    <w:t>动植物、水土流失</w:t>
                  </w:r>
                </w:p>
              </w:tc>
              <w:tc>
                <w:tcPr>
                  <w:tcW w:w="1832" w:type="dxa"/>
                  <w:vAlign w:val="center"/>
                </w:tcPr>
                <w:p w14:paraId="543FAE41">
                  <w:pPr>
                    <w:pStyle w:val="5"/>
                    <w:keepNext w:val="0"/>
                    <w:keepLines w:val="0"/>
                    <w:pageBreakBefore w:val="0"/>
                    <w:widowControl w:val="0"/>
                    <w:kinsoku/>
                    <w:overflowPunct/>
                    <w:topLinePunct w:val="0"/>
                    <w:autoSpaceDE/>
                    <w:autoSpaceDN/>
                    <w:bidi w:val="0"/>
                    <w:adjustRightInd/>
                    <w:snapToGrid/>
                    <w:spacing w:before="0" w:after="0" w:line="320" w:lineRule="exact"/>
                    <w:ind w:right="0"/>
                    <w:jc w:val="center"/>
                    <w:textAlignment w:val="auto"/>
                    <w:rPr>
                      <w:color w:val="auto"/>
                      <w:szCs w:val="21"/>
                    </w:rPr>
                  </w:pPr>
                  <w:r>
                    <w:rPr>
                      <w:rFonts w:hint="eastAsia"/>
                      <w:color w:val="auto"/>
                      <w:szCs w:val="21"/>
                    </w:rPr>
                    <w:t>尽量减少植被破坏，减少水土流失</w:t>
                  </w:r>
                </w:p>
              </w:tc>
            </w:tr>
          </w:tbl>
          <w:p w14:paraId="77B698B1">
            <w:pPr>
              <w:spacing w:line="360" w:lineRule="auto"/>
              <w:jc w:val="left"/>
              <w:rPr>
                <w:rFonts w:ascii="宋体" w:hAnsi="宋体" w:cs="宋体"/>
                <w:color w:val="auto"/>
                <w:kern w:val="0"/>
                <w:szCs w:val="21"/>
              </w:rPr>
            </w:pPr>
          </w:p>
        </w:tc>
      </w:tr>
      <w:tr w14:paraId="432F05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30" w:hRule="atLeast"/>
          <w:jc w:val="center"/>
        </w:trPr>
        <w:tc>
          <w:tcPr>
            <w:tcW w:w="248" w:type="pct"/>
            <w:vAlign w:val="center"/>
          </w:tcPr>
          <w:p w14:paraId="7A6699AA">
            <w:pPr>
              <w:adjustRightInd w:val="0"/>
              <w:snapToGrid w:val="0"/>
              <w:jc w:val="center"/>
              <w:rPr>
                <w:rFonts w:ascii="宋体" w:hAnsi="宋体" w:cs="宋体"/>
                <w:color w:val="auto"/>
                <w:kern w:val="0"/>
                <w:sz w:val="24"/>
              </w:rPr>
            </w:pPr>
            <w:r>
              <w:rPr>
                <w:rFonts w:hint="eastAsia" w:ascii="宋体" w:hAnsi="宋体" w:cs="宋体"/>
                <w:color w:val="auto"/>
                <w:kern w:val="0"/>
                <w:sz w:val="24"/>
              </w:rPr>
              <w:t>评价</w:t>
            </w:r>
          </w:p>
          <w:p w14:paraId="14FFB75F">
            <w:pPr>
              <w:adjustRightInd w:val="0"/>
              <w:snapToGrid w:val="0"/>
              <w:jc w:val="center"/>
              <w:rPr>
                <w:rFonts w:ascii="宋体" w:hAnsi="宋体" w:cs="宋体"/>
                <w:color w:val="auto"/>
                <w:kern w:val="0"/>
                <w:szCs w:val="21"/>
              </w:rPr>
            </w:pPr>
            <w:r>
              <w:rPr>
                <w:rFonts w:hint="eastAsia" w:ascii="宋体" w:hAnsi="宋体" w:cs="宋体"/>
                <w:color w:val="auto"/>
                <w:kern w:val="0"/>
                <w:sz w:val="24"/>
              </w:rPr>
              <w:t>标准</w:t>
            </w:r>
          </w:p>
        </w:tc>
        <w:tc>
          <w:tcPr>
            <w:tcW w:w="4751" w:type="pct"/>
            <w:vAlign w:val="center"/>
          </w:tcPr>
          <w:p w14:paraId="4CA87434">
            <w:pPr>
              <w:spacing w:line="500" w:lineRule="exact"/>
              <w:ind w:firstLine="482" w:firstLineChars="200"/>
              <w:rPr>
                <w:b/>
                <w:color w:val="auto"/>
                <w:sz w:val="24"/>
              </w:rPr>
            </w:pPr>
            <w:r>
              <w:rPr>
                <w:rFonts w:hint="eastAsia"/>
                <w:b/>
                <w:color w:val="auto"/>
                <w:sz w:val="24"/>
              </w:rPr>
              <w:t>一、环境质量标准</w:t>
            </w:r>
          </w:p>
          <w:p w14:paraId="7315B405">
            <w:pPr>
              <w:spacing w:line="500" w:lineRule="exact"/>
              <w:ind w:firstLine="482" w:firstLineChars="200"/>
              <w:rPr>
                <w:b/>
                <w:color w:val="auto"/>
                <w:sz w:val="24"/>
              </w:rPr>
            </w:pPr>
            <w:r>
              <w:rPr>
                <w:b/>
                <w:color w:val="auto"/>
                <w:sz w:val="24"/>
              </w:rPr>
              <w:t>1</w:t>
            </w:r>
            <w:r>
              <w:rPr>
                <w:rFonts w:hint="eastAsia"/>
                <w:b/>
                <w:color w:val="auto"/>
                <w:sz w:val="24"/>
              </w:rPr>
              <w:t>、</w:t>
            </w:r>
            <w:r>
              <w:rPr>
                <w:b/>
                <w:color w:val="auto"/>
                <w:sz w:val="24"/>
              </w:rPr>
              <w:t>环境空气</w:t>
            </w:r>
            <w:r>
              <w:rPr>
                <w:rFonts w:hint="eastAsia"/>
                <w:b/>
                <w:color w:val="auto"/>
                <w:sz w:val="24"/>
              </w:rPr>
              <w:t>质量标准</w:t>
            </w:r>
          </w:p>
          <w:p w14:paraId="32F56563">
            <w:pPr>
              <w:tabs>
                <w:tab w:val="left" w:pos="0"/>
              </w:tabs>
              <w:spacing w:line="500" w:lineRule="exact"/>
              <w:ind w:firstLine="480" w:firstLineChars="200"/>
              <w:rPr>
                <w:color w:val="auto"/>
                <w:sz w:val="24"/>
              </w:rPr>
            </w:pPr>
            <w:r>
              <w:rPr>
                <w:color w:val="auto"/>
                <w:sz w:val="24"/>
              </w:rPr>
              <w:t>环境空气执行《环境空气质量标准》</w:t>
            </w:r>
            <w:r>
              <w:rPr>
                <w:rFonts w:hint="eastAsia"/>
                <w:color w:val="auto"/>
                <w:sz w:val="24"/>
              </w:rPr>
              <w:t>（</w:t>
            </w:r>
            <w:r>
              <w:rPr>
                <w:color w:val="auto"/>
                <w:sz w:val="24"/>
              </w:rPr>
              <w:t>GB3095</w:t>
            </w:r>
            <w:r>
              <w:rPr>
                <w:rFonts w:hint="eastAsia"/>
                <w:color w:val="auto"/>
                <w:sz w:val="24"/>
              </w:rPr>
              <w:t>-</w:t>
            </w:r>
            <w:r>
              <w:rPr>
                <w:color w:val="auto"/>
                <w:sz w:val="24"/>
              </w:rPr>
              <w:t>2012）及修改单中的二级标准，见下表。</w:t>
            </w:r>
          </w:p>
          <w:p w14:paraId="6B38BED2">
            <w:pPr>
              <w:pStyle w:val="14"/>
              <w:tabs>
                <w:tab w:val="left" w:pos="0"/>
              </w:tabs>
              <w:spacing w:line="500" w:lineRule="exact"/>
              <w:ind w:firstLine="2262" w:firstLineChars="939"/>
              <w:rPr>
                <w:b/>
                <w:bCs/>
                <w:color w:val="auto"/>
                <w:sz w:val="24"/>
              </w:rPr>
            </w:pPr>
            <w:r>
              <w:rPr>
                <w:rFonts w:hint="eastAsia"/>
                <w:b/>
                <w:bCs/>
                <w:color w:val="auto"/>
                <w:sz w:val="24"/>
              </w:rPr>
              <w:t>表3-8    环境空气执行标准</w:t>
            </w:r>
          </w:p>
          <w:tbl>
            <w:tblPr>
              <w:tblStyle w:val="29"/>
              <w:tblW w:w="499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68"/>
              <w:gridCol w:w="2435"/>
              <w:gridCol w:w="1600"/>
              <w:gridCol w:w="2048"/>
              <w:gridCol w:w="1694"/>
            </w:tblGrid>
            <w:tr w14:paraId="0F650F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restart"/>
                  <w:tcBorders>
                    <w:tl2br w:val="nil"/>
                    <w:tr2bl w:val="nil"/>
                  </w:tcBorders>
                  <w:vAlign w:val="center"/>
                </w:tcPr>
                <w:p w14:paraId="3F93233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类别</w:t>
                  </w:r>
                </w:p>
              </w:tc>
              <w:tc>
                <w:tcPr>
                  <w:tcW w:w="1441" w:type="pct"/>
                  <w:vMerge w:val="restart"/>
                  <w:tcBorders>
                    <w:tl2br w:val="nil"/>
                    <w:tr2bl w:val="nil"/>
                  </w:tcBorders>
                  <w:vAlign w:val="center"/>
                </w:tcPr>
                <w:p w14:paraId="5D93BBFA">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标准名称及级别</w:t>
                  </w:r>
                </w:p>
              </w:tc>
              <w:tc>
                <w:tcPr>
                  <w:tcW w:w="947" w:type="pct"/>
                  <w:vMerge w:val="restart"/>
                  <w:tcBorders>
                    <w:tl2br w:val="nil"/>
                    <w:tr2bl w:val="nil"/>
                  </w:tcBorders>
                  <w:vAlign w:val="center"/>
                </w:tcPr>
                <w:p w14:paraId="5D3BEE40">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现状评价因子</w:t>
                  </w:r>
                </w:p>
              </w:tc>
              <w:tc>
                <w:tcPr>
                  <w:tcW w:w="1212" w:type="pct"/>
                  <w:vMerge w:val="restart"/>
                  <w:tcBorders>
                    <w:tl2br w:val="nil"/>
                    <w:tr2bl w:val="nil"/>
                  </w:tcBorders>
                  <w:vAlign w:val="center"/>
                </w:tcPr>
                <w:p w14:paraId="0FC56745">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平均时间</w:t>
                  </w:r>
                </w:p>
              </w:tc>
              <w:tc>
                <w:tcPr>
                  <w:tcW w:w="1669" w:type="dxa"/>
                  <w:tcBorders>
                    <w:tl2br w:val="nil"/>
                    <w:tr2bl w:val="nil"/>
                  </w:tcBorders>
                  <w:vAlign w:val="center"/>
                </w:tcPr>
                <w:p w14:paraId="0F01A95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标准值（</w:t>
                  </w:r>
                  <w:r>
                    <w:rPr>
                      <w:rFonts w:ascii="Times New Roman" w:hAnsi="Times New Roman"/>
                      <w:color w:val="auto"/>
                      <w:lang w:val="zh-CN"/>
                    </w:rPr>
                    <w:t>mg/m</w:t>
                  </w:r>
                  <w:r>
                    <w:rPr>
                      <w:rFonts w:ascii="Times New Roman" w:hAnsi="Times New Roman"/>
                      <w:color w:val="auto"/>
                      <w:vertAlign w:val="superscript"/>
                      <w:lang w:val="zh-CN"/>
                    </w:rPr>
                    <w:t>3</w:t>
                  </w:r>
                  <w:r>
                    <w:rPr>
                      <w:rFonts w:ascii="Times New Roman" w:hAnsi="Times New Roman"/>
                      <w:color w:val="auto"/>
                    </w:rPr>
                    <w:t>）</w:t>
                  </w:r>
                </w:p>
              </w:tc>
            </w:tr>
            <w:tr w14:paraId="13742FD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6360D325">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3270C2CF">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5D67CBFD">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vMerge w:val="continue"/>
                  <w:tcBorders>
                    <w:tl2br w:val="nil"/>
                    <w:tr2bl w:val="nil"/>
                  </w:tcBorders>
                  <w:vAlign w:val="center"/>
                </w:tcPr>
                <w:p w14:paraId="778944E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002" w:type="pct"/>
                  <w:tcBorders>
                    <w:tl2br w:val="nil"/>
                    <w:tr2bl w:val="nil"/>
                  </w:tcBorders>
                  <w:vAlign w:val="center"/>
                </w:tcPr>
                <w:p w14:paraId="7FD317A2">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color w:val="auto"/>
                      <w:szCs w:val="21"/>
                    </w:rPr>
                  </w:pPr>
                  <w:r>
                    <w:rPr>
                      <w:color w:val="auto"/>
                      <w:szCs w:val="21"/>
                      <w:lang w:val="zh-CN"/>
                    </w:rPr>
                    <w:t>二级标准</w:t>
                  </w:r>
                </w:p>
              </w:tc>
            </w:tr>
            <w:tr w14:paraId="2120A8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restart"/>
                  <w:tcBorders>
                    <w:tl2br w:val="nil"/>
                    <w:tr2bl w:val="nil"/>
                  </w:tcBorders>
                  <w:vAlign w:val="center"/>
                </w:tcPr>
                <w:p w14:paraId="2FFAC05C">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大</w:t>
                  </w:r>
                </w:p>
                <w:p w14:paraId="1CEB922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气</w:t>
                  </w:r>
                </w:p>
                <w:p w14:paraId="32033D38">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环</w:t>
                  </w:r>
                </w:p>
                <w:p w14:paraId="14ADD0CB">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境</w:t>
                  </w:r>
                </w:p>
              </w:tc>
              <w:tc>
                <w:tcPr>
                  <w:tcW w:w="1441" w:type="pct"/>
                  <w:vMerge w:val="restart"/>
                  <w:tcBorders>
                    <w:tl2br w:val="nil"/>
                    <w:tr2bl w:val="nil"/>
                  </w:tcBorders>
                  <w:vAlign w:val="center"/>
                </w:tcPr>
                <w:p w14:paraId="69BF34B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《环境空气质量标准》（GB3095-2012）</w:t>
                  </w:r>
                </w:p>
                <w:p w14:paraId="350FCADC">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二级浓度限值</w:t>
                  </w:r>
                </w:p>
              </w:tc>
              <w:tc>
                <w:tcPr>
                  <w:tcW w:w="947" w:type="pct"/>
                  <w:vMerge w:val="restart"/>
                  <w:tcBorders>
                    <w:tl2br w:val="nil"/>
                    <w:tr2bl w:val="nil"/>
                  </w:tcBorders>
                  <w:vAlign w:val="center"/>
                </w:tcPr>
                <w:p w14:paraId="162D4CF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SO</w:t>
                  </w:r>
                  <w:r>
                    <w:rPr>
                      <w:rFonts w:ascii="Times New Roman" w:hAnsi="Times New Roman"/>
                      <w:color w:val="auto"/>
                      <w:vertAlign w:val="subscript"/>
                    </w:rPr>
                    <w:t>2</w:t>
                  </w:r>
                </w:p>
              </w:tc>
              <w:tc>
                <w:tcPr>
                  <w:tcW w:w="1212" w:type="pct"/>
                  <w:tcBorders>
                    <w:tl2br w:val="nil"/>
                    <w:tr2bl w:val="nil"/>
                  </w:tcBorders>
                  <w:vAlign w:val="center"/>
                </w:tcPr>
                <w:p w14:paraId="09F761D5">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年平均</w:t>
                  </w:r>
                </w:p>
              </w:tc>
              <w:tc>
                <w:tcPr>
                  <w:tcW w:w="1002" w:type="pct"/>
                  <w:tcBorders>
                    <w:tl2br w:val="nil"/>
                    <w:tr2bl w:val="nil"/>
                  </w:tcBorders>
                  <w:vAlign w:val="center"/>
                </w:tcPr>
                <w:p w14:paraId="4E2E6AA7">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color w:val="auto"/>
                      <w:szCs w:val="21"/>
                    </w:rPr>
                  </w:pPr>
                  <w:r>
                    <w:rPr>
                      <w:color w:val="auto"/>
                      <w:szCs w:val="21"/>
                      <w:lang w:val="zh-CN"/>
                    </w:rPr>
                    <w:t>0.06</w:t>
                  </w:r>
                </w:p>
              </w:tc>
            </w:tr>
            <w:tr w14:paraId="735D89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31A58E54">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059CF5AB">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3CE6F997">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30CFA86D">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24小时平均</w:t>
                  </w:r>
                </w:p>
              </w:tc>
              <w:tc>
                <w:tcPr>
                  <w:tcW w:w="1002" w:type="pct"/>
                  <w:tcBorders>
                    <w:tl2br w:val="nil"/>
                    <w:tr2bl w:val="nil"/>
                  </w:tcBorders>
                  <w:vAlign w:val="center"/>
                </w:tcPr>
                <w:p w14:paraId="352FF2F3">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color w:val="auto"/>
                      <w:szCs w:val="21"/>
                    </w:rPr>
                  </w:pPr>
                  <w:r>
                    <w:rPr>
                      <w:color w:val="auto"/>
                      <w:szCs w:val="21"/>
                      <w:lang w:val="zh-CN"/>
                    </w:rPr>
                    <w:t>0.15</w:t>
                  </w:r>
                </w:p>
              </w:tc>
            </w:tr>
            <w:tr w14:paraId="1FD105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0F4905A4">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4071C51D">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45443F2F">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31990E4E">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1小时平均</w:t>
                  </w:r>
                </w:p>
              </w:tc>
              <w:tc>
                <w:tcPr>
                  <w:tcW w:w="1002" w:type="pct"/>
                  <w:tcBorders>
                    <w:tl2br w:val="nil"/>
                    <w:tr2bl w:val="nil"/>
                  </w:tcBorders>
                  <w:vAlign w:val="center"/>
                </w:tcPr>
                <w:p w14:paraId="59A9657F">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color w:val="auto"/>
                      <w:szCs w:val="21"/>
                    </w:rPr>
                  </w:pPr>
                  <w:r>
                    <w:rPr>
                      <w:color w:val="auto"/>
                      <w:szCs w:val="21"/>
                      <w:lang w:val="zh-CN"/>
                    </w:rPr>
                    <w:t>0.50</w:t>
                  </w:r>
                </w:p>
              </w:tc>
            </w:tr>
            <w:tr w14:paraId="01C3B5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3C5131A5">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36B9B455">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restart"/>
                  <w:tcBorders>
                    <w:tl2br w:val="nil"/>
                    <w:tr2bl w:val="nil"/>
                  </w:tcBorders>
                  <w:vAlign w:val="center"/>
                </w:tcPr>
                <w:p w14:paraId="163F7528">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NO</w:t>
                  </w:r>
                  <w:r>
                    <w:rPr>
                      <w:rFonts w:ascii="Times New Roman" w:hAnsi="Times New Roman"/>
                      <w:color w:val="auto"/>
                      <w:vertAlign w:val="subscript"/>
                    </w:rPr>
                    <w:t>2</w:t>
                  </w:r>
                </w:p>
              </w:tc>
              <w:tc>
                <w:tcPr>
                  <w:tcW w:w="1212" w:type="pct"/>
                  <w:tcBorders>
                    <w:tl2br w:val="nil"/>
                    <w:tr2bl w:val="nil"/>
                  </w:tcBorders>
                  <w:vAlign w:val="center"/>
                </w:tcPr>
                <w:p w14:paraId="058CFE09">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年平均</w:t>
                  </w:r>
                </w:p>
              </w:tc>
              <w:tc>
                <w:tcPr>
                  <w:tcW w:w="1002" w:type="pct"/>
                  <w:tcBorders>
                    <w:tl2br w:val="nil"/>
                    <w:tr2bl w:val="nil"/>
                  </w:tcBorders>
                  <w:vAlign w:val="center"/>
                </w:tcPr>
                <w:p w14:paraId="46DB523F">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0.04</w:t>
                  </w:r>
                </w:p>
              </w:tc>
            </w:tr>
            <w:tr w14:paraId="3C92BE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4497702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52EC7008">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02B0720C">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50A0E7FD">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24小时平均</w:t>
                  </w:r>
                </w:p>
              </w:tc>
              <w:tc>
                <w:tcPr>
                  <w:tcW w:w="1002" w:type="pct"/>
                  <w:tcBorders>
                    <w:tl2br w:val="nil"/>
                    <w:tr2bl w:val="nil"/>
                  </w:tcBorders>
                  <w:vAlign w:val="center"/>
                </w:tcPr>
                <w:p w14:paraId="4EF0314B">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0.08</w:t>
                  </w:r>
                </w:p>
              </w:tc>
            </w:tr>
            <w:tr w14:paraId="08449A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5AF23B0A">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4028EF14">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3550385E">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34EB06EC">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1小时平均</w:t>
                  </w:r>
                </w:p>
              </w:tc>
              <w:tc>
                <w:tcPr>
                  <w:tcW w:w="1002" w:type="pct"/>
                  <w:tcBorders>
                    <w:tl2br w:val="nil"/>
                    <w:tr2bl w:val="nil"/>
                  </w:tcBorders>
                  <w:vAlign w:val="center"/>
                </w:tcPr>
                <w:p w14:paraId="7A7C8C47">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0.20</w:t>
                  </w:r>
                </w:p>
              </w:tc>
            </w:tr>
            <w:tr w14:paraId="1CB689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702F4AD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59807425">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restart"/>
                  <w:tcBorders>
                    <w:tl2br w:val="nil"/>
                    <w:tr2bl w:val="nil"/>
                  </w:tcBorders>
                  <w:vAlign w:val="center"/>
                </w:tcPr>
                <w:p w14:paraId="2DD542DB">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CO</w:t>
                  </w:r>
                </w:p>
              </w:tc>
              <w:tc>
                <w:tcPr>
                  <w:tcW w:w="1212" w:type="pct"/>
                  <w:tcBorders>
                    <w:tl2br w:val="nil"/>
                    <w:tr2bl w:val="nil"/>
                  </w:tcBorders>
                  <w:vAlign w:val="center"/>
                </w:tcPr>
                <w:p w14:paraId="26FDECEE">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24小时平均</w:t>
                  </w:r>
                </w:p>
              </w:tc>
              <w:tc>
                <w:tcPr>
                  <w:tcW w:w="1002" w:type="pct"/>
                  <w:tcBorders>
                    <w:tl2br w:val="nil"/>
                    <w:tr2bl w:val="nil"/>
                  </w:tcBorders>
                  <w:vAlign w:val="center"/>
                </w:tcPr>
                <w:p w14:paraId="79768983">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4</w:t>
                  </w:r>
                </w:p>
              </w:tc>
            </w:tr>
            <w:tr w14:paraId="2FDC36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6D500BB2">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21E7F1D0">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5AEDBDF7">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437DF36A">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1小时平均</w:t>
                  </w:r>
                </w:p>
              </w:tc>
              <w:tc>
                <w:tcPr>
                  <w:tcW w:w="1002" w:type="pct"/>
                  <w:tcBorders>
                    <w:tl2br w:val="nil"/>
                    <w:tr2bl w:val="nil"/>
                  </w:tcBorders>
                  <w:vAlign w:val="center"/>
                </w:tcPr>
                <w:p w14:paraId="3E80E4F6">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10</w:t>
                  </w:r>
                </w:p>
              </w:tc>
            </w:tr>
            <w:tr w14:paraId="456A66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3BCA349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26C516A0">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restart"/>
                  <w:tcBorders>
                    <w:tl2br w:val="nil"/>
                    <w:tr2bl w:val="nil"/>
                  </w:tcBorders>
                  <w:vAlign w:val="center"/>
                </w:tcPr>
                <w:p w14:paraId="30BB67F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O</w:t>
                  </w:r>
                  <w:r>
                    <w:rPr>
                      <w:rFonts w:ascii="Times New Roman" w:hAnsi="Times New Roman"/>
                      <w:color w:val="auto"/>
                      <w:vertAlign w:val="subscript"/>
                    </w:rPr>
                    <w:t>3</w:t>
                  </w:r>
                </w:p>
              </w:tc>
              <w:tc>
                <w:tcPr>
                  <w:tcW w:w="1212" w:type="pct"/>
                  <w:tcBorders>
                    <w:tl2br w:val="nil"/>
                    <w:tr2bl w:val="nil"/>
                  </w:tcBorders>
                  <w:vAlign w:val="center"/>
                </w:tcPr>
                <w:p w14:paraId="2525FA94">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日最大8小时平均</w:t>
                  </w:r>
                </w:p>
              </w:tc>
              <w:tc>
                <w:tcPr>
                  <w:tcW w:w="1002" w:type="pct"/>
                  <w:tcBorders>
                    <w:tl2br w:val="nil"/>
                    <w:tr2bl w:val="nil"/>
                  </w:tcBorders>
                  <w:vAlign w:val="center"/>
                </w:tcPr>
                <w:p w14:paraId="03736295">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0.16</w:t>
                  </w:r>
                </w:p>
              </w:tc>
            </w:tr>
            <w:tr w14:paraId="2B8115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4385CEC7">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4DCE6157">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0C11945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075EABB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1小时平均</w:t>
                  </w:r>
                </w:p>
              </w:tc>
              <w:tc>
                <w:tcPr>
                  <w:tcW w:w="1002" w:type="pct"/>
                  <w:tcBorders>
                    <w:tl2br w:val="nil"/>
                    <w:tr2bl w:val="nil"/>
                  </w:tcBorders>
                  <w:vAlign w:val="center"/>
                </w:tcPr>
                <w:p w14:paraId="649B0F2C">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0.2</w:t>
                  </w:r>
                </w:p>
              </w:tc>
            </w:tr>
            <w:tr w14:paraId="623E351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3FD59554">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72C2E8E4">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restart"/>
                  <w:tcBorders>
                    <w:tl2br w:val="nil"/>
                    <w:tr2bl w:val="nil"/>
                  </w:tcBorders>
                  <w:vAlign w:val="center"/>
                </w:tcPr>
                <w:p w14:paraId="3AF0CC88">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PM</w:t>
                  </w:r>
                  <w:r>
                    <w:rPr>
                      <w:rFonts w:ascii="Times New Roman" w:hAnsi="Times New Roman"/>
                      <w:color w:val="auto"/>
                      <w:vertAlign w:val="subscript"/>
                    </w:rPr>
                    <w:t>10</w:t>
                  </w:r>
                </w:p>
              </w:tc>
              <w:tc>
                <w:tcPr>
                  <w:tcW w:w="1212" w:type="pct"/>
                  <w:tcBorders>
                    <w:tl2br w:val="nil"/>
                    <w:tr2bl w:val="nil"/>
                  </w:tcBorders>
                  <w:vAlign w:val="center"/>
                </w:tcPr>
                <w:p w14:paraId="606809AD">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年平均</w:t>
                  </w:r>
                </w:p>
              </w:tc>
              <w:tc>
                <w:tcPr>
                  <w:tcW w:w="1002" w:type="pct"/>
                  <w:tcBorders>
                    <w:tl2br w:val="nil"/>
                    <w:tr2bl w:val="nil"/>
                  </w:tcBorders>
                  <w:vAlign w:val="center"/>
                </w:tcPr>
                <w:p w14:paraId="2DC50404">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0.07</w:t>
                  </w:r>
                </w:p>
              </w:tc>
            </w:tr>
            <w:tr w14:paraId="70EFA0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0E15FC1A">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61E9FA8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1E05679E">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7B99E247">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24小时平均</w:t>
                  </w:r>
                </w:p>
              </w:tc>
              <w:tc>
                <w:tcPr>
                  <w:tcW w:w="1002" w:type="pct"/>
                  <w:tcBorders>
                    <w:tl2br w:val="nil"/>
                    <w:tr2bl w:val="nil"/>
                  </w:tcBorders>
                  <w:vAlign w:val="center"/>
                </w:tcPr>
                <w:p w14:paraId="76483716">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0.15</w:t>
                  </w:r>
                </w:p>
              </w:tc>
            </w:tr>
            <w:tr w14:paraId="0EF0FB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44379FD0">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31A74264">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restart"/>
                  <w:tcBorders>
                    <w:tl2br w:val="nil"/>
                    <w:tr2bl w:val="nil"/>
                  </w:tcBorders>
                  <w:vAlign w:val="center"/>
                </w:tcPr>
                <w:p w14:paraId="5DCAE8AF">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PM</w:t>
                  </w:r>
                  <w:r>
                    <w:rPr>
                      <w:rFonts w:ascii="Times New Roman" w:hAnsi="Times New Roman"/>
                      <w:color w:val="auto"/>
                      <w:vertAlign w:val="subscript"/>
                    </w:rPr>
                    <w:t>2.5</w:t>
                  </w:r>
                </w:p>
              </w:tc>
              <w:tc>
                <w:tcPr>
                  <w:tcW w:w="1212" w:type="pct"/>
                  <w:tcBorders>
                    <w:tl2br w:val="nil"/>
                    <w:tr2bl w:val="nil"/>
                  </w:tcBorders>
                  <w:vAlign w:val="center"/>
                </w:tcPr>
                <w:p w14:paraId="034D091E">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年平均</w:t>
                  </w:r>
                </w:p>
              </w:tc>
              <w:tc>
                <w:tcPr>
                  <w:tcW w:w="1002" w:type="pct"/>
                  <w:tcBorders>
                    <w:tl2br w:val="nil"/>
                    <w:tr2bl w:val="nil"/>
                  </w:tcBorders>
                  <w:vAlign w:val="center"/>
                </w:tcPr>
                <w:p w14:paraId="5DF0AFE3">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0.035</w:t>
                  </w:r>
                </w:p>
              </w:tc>
            </w:tr>
            <w:tr w14:paraId="2456C4C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5EE6E8D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50A68C0A">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3D3A9705">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08F63E32">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24小时平均</w:t>
                  </w:r>
                </w:p>
              </w:tc>
              <w:tc>
                <w:tcPr>
                  <w:tcW w:w="1002" w:type="pct"/>
                  <w:tcBorders>
                    <w:tl2br w:val="nil"/>
                    <w:tr2bl w:val="nil"/>
                  </w:tcBorders>
                  <w:vAlign w:val="center"/>
                </w:tcPr>
                <w:p w14:paraId="199BAFCA">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0.075</w:t>
                  </w:r>
                </w:p>
              </w:tc>
            </w:tr>
            <w:tr w14:paraId="467E94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2AE5CC60">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5BB84B5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restart"/>
                  <w:tcBorders>
                    <w:tl2br w:val="nil"/>
                    <w:tr2bl w:val="nil"/>
                  </w:tcBorders>
                  <w:vAlign w:val="center"/>
                </w:tcPr>
                <w:p w14:paraId="38FF808F">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TSP</w:t>
                  </w:r>
                </w:p>
              </w:tc>
              <w:tc>
                <w:tcPr>
                  <w:tcW w:w="1212" w:type="pct"/>
                  <w:tcBorders>
                    <w:tl2br w:val="nil"/>
                    <w:tr2bl w:val="nil"/>
                  </w:tcBorders>
                  <w:vAlign w:val="center"/>
                </w:tcPr>
                <w:p w14:paraId="31B65BAC">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年平均</w:t>
                  </w:r>
                </w:p>
              </w:tc>
              <w:tc>
                <w:tcPr>
                  <w:tcW w:w="1002" w:type="pct"/>
                  <w:tcBorders>
                    <w:tl2br w:val="nil"/>
                    <w:tr2bl w:val="nil"/>
                  </w:tcBorders>
                  <w:vAlign w:val="center"/>
                </w:tcPr>
                <w:p w14:paraId="72DF25DE">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0.2</w:t>
                  </w:r>
                </w:p>
              </w:tc>
            </w:tr>
            <w:tr w14:paraId="2061326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395" w:type="pct"/>
                  <w:vMerge w:val="continue"/>
                  <w:tcBorders>
                    <w:tl2br w:val="nil"/>
                    <w:tr2bl w:val="nil"/>
                  </w:tcBorders>
                  <w:vAlign w:val="center"/>
                </w:tcPr>
                <w:p w14:paraId="2BF4755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441" w:type="pct"/>
                  <w:vMerge w:val="continue"/>
                  <w:tcBorders>
                    <w:tl2br w:val="nil"/>
                    <w:tr2bl w:val="nil"/>
                  </w:tcBorders>
                  <w:vAlign w:val="center"/>
                </w:tcPr>
                <w:p w14:paraId="79C9CAD3">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947" w:type="pct"/>
                  <w:vMerge w:val="continue"/>
                  <w:tcBorders>
                    <w:tl2br w:val="nil"/>
                    <w:tr2bl w:val="nil"/>
                  </w:tcBorders>
                  <w:vAlign w:val="center"/>
                </w:tcPr>
                <w:p w14:paraId="6B8817CD">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p>
              </w:tc>
              <w:tc>
                <w:tcPr>
                  <w:tcW w:w="1212" w:type="pct"/>
                  <w:tcBorders>
                    <w:tl2br w:val="nil"/>
                    <w:tr2bl w:val="nil"/>
                  </w:tcBorders>
                  <w:vAlign w:val="center"/>
                </w:tcPr>
                <w:p w14:paraId="62B18AA1">
                  <w:pPr>
                    <w:pStyle w:val="43"/>
                    <w:keepNext w:val="0"/>
                    <w:keepLines w:val="0"/>
                    <w:pageBreakBefore w:val="0"/>
                    <w:kinsoku/>
                    <w:wordWrap/>
                    <w:overflowPunct/>
                    <w:topLinePunct w:val="0"/>
                    <w:bidi w:val="0"/>
                    <w:adjustRightInd w:val="0"/>
                    <w:snapToGrid w:val="0"/>
                    <w:spacing w:line="340" w:lineRule="exact"/>
                    <w:textAlignment w:val="auto"/>
                    <w:rPr>
                      <w:rFonts w:ascii="Times New Roman" w:hAnsi="Times New Roman"/>
                      <w:color w:val="auto"/>
                    </w:rPr>
                  </w:pPr>
                  <w:r>
                    <w:rPr>
                      <w:rFonts w:ascii="Times New Roman" w:hAnsi="Times New Roman"/>
                      <w:color w:val="auto"/>
                    </w:rPr>
                    <w:t>24小时平均</w:t>
                  </w:r>
                </w:p>
              </w:tc>
              <w:tc>
                <w:tcPr>
                  <w:tcW w:w="1002" w:type="pct"/>
                  <w:tcBorders>
                    <w:tl2br w:val="nil"/>
                    <w:tr2bl w:val="nil"/>
                  </w:tcBorders>
                  <w:vAlign w:val="center"/>
                </w:tcPr>
                <w:p w14:paraId="290511D6">
                  <w:pPr>
                    <w:keepNext w:val="0"/>
                    <w:keepLines w:val="0"/>
                    <w:pageBreakBefore w:val="0"/>
                    <w:kinsoku/>
                    <w:wordWrap/>
                    <w:overflowPunct/>
                    <w:topLinePunct w:val="0"/>
                    <w:autoSpaceDE w:val="0"/>
                    <w:autoSpaceDN w:val="0"/>
                    <w:bidi w:val="0"/>
                    <w:adjustRightInd w:val="0"/>
                    <w:snapToGrid w:val="0"/>
                    <w:spacing w:line="340" w:lineRule="exact"/>
                    <w:jc w:val="center"/>
                    <w:textAlignment w:val="auto"/>
                    <w:rPr>
                      <w:rFonts w:hint="default" w:eastAsia="宋体"/>
                      <w:color w:val="auto"/>
                      <w:szCs w:val="21"/>
                      <w:lang w:val="en-US" w:eastAsia="zh-CN"/>
                    </w:rPr>
                  </w:pPr>
                  <w:r>
                    <w:rPr>
                      <w:rFonts w:hint="eastAsia"/>
                      <w:color w:val="auto"/>
                      <w:szCs w:val="21"/>
                      <w:lang w:val="en-US" w:eastAsia="zh-CN"/>
                    </w:rPr>
                    <w:t>0.3</w:t>
                  </w:r>
                </w:p>
              </w:tc>
            </w:tr>
          </w:tbl>
          <w:p w14:paraId="32B2E2EB">
            <w:pPr>
              <w:spacing w:line="500" w:lineRule="exact"/>
              <w:ind w:firstLine="482" w:firstLineChars="200"/>
              <w:rPr>
                <w:b/>
                <w:color w:val="auto"/>
                <w:sz w:val="24"/>
              </w:rPr>
            </w:pPr>
            <w:r>
              <w:rPr>
                <w:rFonts w:hint="eastAsia"/>
                <w:b/>
                <w:color w:val="auto"/>
                <w:sz w:val="24"/>
              </w:rPr>
              <w:t>2、声环境质量标准</w:t>
            </w:r>
          </w:p>
          <w:p w14:paraId="609F4AFB">
            <w:pPr>
              <w:spacing w:line="500" w:lineRule="exact"/>
              <w:ind w:firstLine="480" w:firstLineChars="200"/>
              <w:rPr>
                <w:bCs/>
                <w:color w:val="auto"/>
                <w:sz w:val="24"/>
              </w:rPr>
            </w:pPr>
            <w:r>
              <w:rPr>
                <w:rFonts w:hint="eastAsia"/>
                <w:bCs/>
                <w:color w:val="auto"/>
                <w:sz w:val="24"/>
              </w:rPr>
              <w:t>项目所在区域声环境质量执行《声环境质量标准》（</w:t>
            </w:r>
            <w:r>
              <w:rPr>
                <w:bCs/>
                <w:color w:val="auto"/>
                <w:sz w:val="24"/>
              </w:rPr>
              <w:t>GB3096</w:t>
            </w:r>
            <w:r>
              <w:rPr>
                <w:rFonts w:hint="eastAsia"/>
                <w:bCs/>
                <w:color w:val="auto"/>
                <w:sz w:val="24"/>
              </w:rPr>
              <w:t>-</w:t>
            </w:r>
            <w:r>
              <w:rPr>
                <w:bCs/>
                <w:color w:val="auto"/>
                <w:sz w:val="24"/>
              </w:rPr>
              <w:t>2008</w:t>
            </w:r>
            <w:r>
              <w:rPr>
                <w:rFonts w:hint="eastAsia"/>
                <w:bCs/>
                <w:color w:val="auto"/>
                <w:sz w:val="24"/>
              </w:rPr>
              <w:t>）</w:t>
            </w:r>
            <w:r>
              <w:rPr>
                <w:rFonts w:hint="eastAsia"/>
                <w:bCs/>
                <w:color w:val="auto"/>
                <w:sz w:val="24"/>
                <w:lang w:val="en-US" w:eastAsia="zh-CN"/>
              </w:rPr>
              <w:t>3</w:t>
            </w:r>
            <w:r>
              <w:rPr>
                <w:rFonts w:hint="eastAsia"/>
                <w:bCs/>
                <w:color w:val="auto"/>
                <w:sz w:val="24"/>
              </w:rPr>
              <w:t>类标准，具体标准限值见表</w:t>
            </w:r>
            <w:r>
              <w:rPr>
                <w:bCs/>
                <w:color w:val="auto"/>
                <w:sz w:val="24"/>
              </w:rPr>
              <w:t>3</w:t>
            </w:r>
            <w:r>
              <w:rPr>
                <w:rFonts w:hint="eastAsia"/>
                <w:bCs/>
                <w:color w:val="auto"/>
                <w:sz w:val="24"/>
              </w:rPr>
              <w:t>-9。</w:t>
            </w:r>
          </w:p>
          <w:p w14:paraId="779F306D">
            <w:pPr>
              <w:pStyle w:val="14"/>
              <w:tabs>
                <w:tab w:val="left" w:pos="0"/>
              </w:tabs>
              <w:spacing w:line="500" w:lineRule="exact"/>
              <w:ind w:firstLine="1687" w:firstLineChars="700"/>
              <w:rPr>
                <w:b/>
                <w:bCs/>
                <w:color w:val="auto"/>
                <w:sz w:val="24"/>
              </w:rPr>
            </w:pPr>
            <w:r>
              <w:rPr>
                <w:rFonts w:hint="eastAsia"/>
                <w:b/>
                <w:bCs/>
                <w:color w:val="auto"/>
                <w:sz w:val="24"/>
              </w:rPr>
              <w:t>表</w:t>
            </w:r>
            <w:r>
              <w:rPr>
                <w:b/>
                <w:bCs/>
                <w:color w:val="auto"/>
                <w:sz w:val="24"/>
              </w:rPr>
              <w:t>3</w:t>
            </w:r>
            <w:r>
              <w:rPr>
                <w:rFonts w:hint="eastAsia"/>
                <w:b/>
                <w:bCs/>
                <w:color w:val="auto"/>
                <w:sz w:val="24"/>
              </w:rPr>
              <w:t>-9    声环境质量标准     dB（A）</w:t>
            </w:r>
          </w:p>
          <w:tbl>
            <w:tblPr>
              <w:tblStyle w:val="30"/>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120"/>
              <w:gridCol w:w="1505"/>
              <w:gridCol w:w="1829"/>
              <w:gridCol w:w="3991"/>
            </w:tblGrid>
            <w:tr w14:paraId="32F2733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63" w:type="pct"/>
                  <w:vMerge w:val="restart"/>
                  <w:tcBorders>
                    <w:tl2br w:val="nil"/>
                    <w:tr2bl w:val="nil"/>
                  </w:tcBorders>
                  <w:vAlign w:val="center"/>
                </w:tcPr>
                <w:p w14:paraId="64723D1B">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color w:val="auto"/>
                    </w:rPr>
                  </w:pPr>
                  <w:r>
                    <w:rPr>
                      <w:color w:val="auto"/>
                    </w:rPr>
                    <w:t>类别</w:t>
                  </w:r>
                </w:p>
              </w:tc>
              <w:tc>
                <w:tcPr>
                  <w:tcW w:w="1973" w:type="pct"/>
                  <w:gridSpan w:val="2"/>
                  <w:tcBorders>
                    <w:tl2br w:val="nil"/>
                    <w:tr2bl w:val="nil"/>
                  </w:tcBorders>
                  <w:vAlign w:val="center"/>
                </w:tcPr>
                <w:p w14:paraId="5FED11C8">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color w:val="auto"/>
                    </w:rPr>
                  </w:pPr>
                  <w:r>
                    <w:rPr>
                      <w:color w:val="auto"/>
                    </w:rPr>
                    <w:t>噪声限值</w:t>
                  </w:r>
                </w:p>
              </w:tc>
              <w:tc>
                <w:tcPr>
                  <w:tcW w:w="2362" w:type="pct"/>
                  <w:tcBorders>
                    <w:tl2br w:val="nil"/>
                    <w:tr2bl w:val="nil"/>
                  </w:tcBorders>
                  <w:vAlign w:val="center"/>
                </w:tcPr>
                <w:p w14:paraId="1B34E8CF">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szCs w:val="21"/>
                    </w:rPr>
                  </w:pPr>
                  <w:r>
                    <w:rPr>
                      <w:color w:val="auto"/>
                      <w:szCs w:val="21"/>
                    </w:rPr>
                    <w:t>标准来源</w:t>
                  </w:r>
                </w:p>
              </w:tc>
            </w:tr>
            <w:tr w14:paraId="35894A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63" w:type="pct"/>
                  <w:vMerge w:val="continue"/>
                  <w:tcBorders>
                    <w:tl2br w:val="nil"/>
                    <w:tr2bl w:val="nil"/>
                  </w:tcBorders>
                  <w:vAlign w:val="center"/>
                </w:tcPr>
                <w:p w14:paraId="37032307">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color w:val="auto"/>
                    </w:rPr>
                  </w:pPr>
                </w:p>
              </w:tc>
              <w:tc>
                <w:tcPr>
                  <w:tcW w:w="891" w:type="pct"/>
                  <w:tcBorders>
                    <w:tl2br w:val="nil"/>
                    <w:tr2bl w:val="nil"/>
                  </w:tcBorders>
                  <w:vAlign w:val="center"/>
                </w:tcPr>
                <w:p w14:paraId="73EEBD23">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color w:val="auto"/>
                    </w:rPr>
                  </w:pPr>
                  <w:r>
                    <w:rPr>
                      <w:color w:val="auto"/>
                    </w:rPr>
                    <w:t>昼间</w:t>
                  </w:r>
                </w:p>
              </w:tc>
              <w:tc>
                <w:tcPr>
                  <w:tcW w:w="1081" w:type="pct"/>
                  <w:tcBorders>
                    <w:tl2br w:val="nil"/>
                    <w:tr2bl w:val="nil"/>
                  </w:tcBorders>
                  <w:vAlign w:val="center"/>
                </w:tcPr>
                <w:p w14:paraId="50D99949">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color w:val="auto"/>
                    </w:rPr>
                  </w:pPr>
                  <w:r>
                    <w:rPr>
                      <w:color w:val="auto"/>
                    </w:rPr>
                    <w:t>夜间</w:t>
                  </w:r>
                </w:p>
              </w:tc>
              <w:tc>
                <w:tcPr>
                  <w:tcW w:w="2362" w:type="pct"/>
                  <w:vMerge w:val="restart"/>
                  <w:tcBorders>
                    <w:tl2br w:val="nil"/>
                    <w:tr2bl w:val="nil"/>
                  </w:tcBorders>
                  <w:vAlign w:val="center"/>
                </w:tcPr>
                <w:p w14:paraId="5C9FF044">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szCs w:val="21"/>
                    </w:rPr>
                  </w:pPr>
                  <w:r>
                    <w:rPr>
                      <w:color w:val="auto"/>
                      <w:szCs w:val="21"/>
                    </w:rPr>
                    <w:t>《声环境质量标准》</w:t>
                  </w:r>
                  <w:r>
                    <w:rPr>
                      <w:rFonts w:hint="eastAsia"/>
                      <w:color w:val="auto"/>
                      <w:szCs w:val="21"/>
                    </w:rPr>
                    <w:t>（</w:t>
                  </w:r>
                  <w:r>
                    <w:rPr>
                      <w:color w:val="auto"/>
                      <w:szCs w:val="21"/>
                    </w:rPr>
                    <w:t>GB3096</w:t>
                  </w:r>
                  <w:r>
                    <w:rPr>
                      <w:rFonts w:hint="eastAsia"/>
                      <w:color w:val="auto"/>
                      <w:szCs w:val="21"/>
                    </w:rPr>
                    <w:t>-</w:t>
                  </w:r>
                  <w:r>
                    <w:rPr>
                      <w:color w:val="auto"/>
                      <w:szCs w:val="21"/>
                    </w:rPr>
                    <w:t>2008）</w:t>
                  </w:r>
                </w:p>
              </w:tc>
            </w:tr>
            <w:tr w14:paraId="183B679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jc w:val="center"/>
              </w:trPr>
              <w:tc>
                <w:tcPr>
                  <w:tcW w:w="663" w:type="pct"/>
                  <w:tcBorders>
                    <w:tl2br w:val="nil"/>
                    <w:tr2bl w:val="nil"/>
                  </w:tcBorders>
                  <w:vAlign w:val="center"/>
                </w:tcPr>
                <w:p w14:paraId="3E0E9AF9">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color w:val="auto"/>
                    </w:rPr>
                  </w:pPr>
                  <w:r>
                    <w:rPr>
                      <w:rFonts w:hint="eastAsia"/>
                      <w:color w:val="auto"/>
                      <w:lang w:val="en-US" w:eastAsia="zh-CN"/>
                    </w:rPr>
                    <w:t>3</w:t>
                  </w:r>
                  <w:r>
                    <w:rPr>
                      <w:rFonts w:hint="eastAsia"/>
                      <w:color w:val="auto"/>
                    </w:rPr>
                    <w:t>类</w:t>
                  </w:r>
                </w:p>
              </w:tc>
              <w:tc>
                <w:tcPr>
                  <w:tcW w:w="891" w:type="pct"/>
                  <w:tcBorders>
                    <w:tl2br w:val="nil"/>
                    <w:tr2bl w:val="nil"/>
                  </w:tcBorders>
                  <w:vAlign w:val="center"/>
                </w:tcPr>
                <w:p w14:paraId="06B17AA7">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eastAsia="宋体"/>
                      <w:color w:val="auto"/>
                      <w:lang w:val="en-US" w:eastAsia="zh-CN"/>
                    </w:rPr>
                  </w:pPr>
                  <w:r>
                    <w:rPr>
                      <w:rFonts w:hint="eastAsia"/>
                      <w:color w:val="auto"/>
                      <w:lang w:val="en-US" w:eastAsia="zh-CN"/>
                    </w:rPr>
                    <w:t>65</w:t>
                  </w:r>
                </w:p>
              </w:tc>
              <w:tc>
                <w:tcPr>
                  <w:tcW w:w="1081" w:type="pct"/>
                  <w:tcBorders>
                    <w:tl2br w:val="nil"/>
                    <w:tr2bl w:val="nil"/>
                  </w:tcBorders>
                  <w:vAlign w:val="center"/>
                </w:tcPr>
                <w:p w14:paraId="1B9F3E5A">
                  <w:pPr>
                    <w:pStyle w:val="52"/>
                    <w:keepNext w:val="0"/>
                    <w:keepLines w:val="0"/>
                    <w:pageBreakBefore w:val="0"/>
                    <w:widowControl w:val="0"/>
                    <w:kinsoku/>
                    <w:wordWrap/>
                    <w:overflowPunct/>
                    <w:topLinePunct w:val="0"/>
                    <w:autoSpaceDE/>
                    <w:autoSpaceDN/>
                    <w:bidi w:val="0"/>
                    <w:adjustRightInd/>
                    <w:snapToGrid/>
                    <w:spacing w:line="340" w:lineRule="exact"/>
                    <w:textAlignment w:val="auto"/>
                    <w:rPr>
                      <w:rFonts w:hint="default" w:eastAsia="宋体"/>
                      <w:color w:val="auto"/>
                      <w:lang w:val="en-US" w:eastAsia="zh-CN"/>
                    </w:rPr>
                  </w:pPr>
                  <w:r>
                    <w:rPr>
                      <w:rFonts w:hint="eastAsia"/>
                      <w:color w:val="auto"/>
                      <w:lang w:val="en-US" w:eastAsia="zh-CN"/>
                    </w:rPr>
                    <w:t>55</w:t>
                  </w:r>
                </w:p>
              </w:tc>
              <w:tc>
                <w:tcPr>
                  <w:tcW w:w="2362" w:type="pct"/>
                  <w:vMerge w:val="continue"/>
                  <w:tcBorders>
                    <w:tl2br w:val="nil"/>
                    <w:tr2bl w:val="nil"/>
                  </w:tcBorders>
                  <w:vAlign w:val="center"/>
                </w:tcPr>
                <w:p w14:paraId="384D56E7">
                  <w:pPr>
                    <w:keepNext w:val="0"/>
                    <w:keepLines w:val="0"/>
                    <w:pageBreakBefore w:val="0"/>
                    <w:widowControl w:val="0"/>
                    <w:kinsoku/>
                    <w:wordWrap/>
                    <w:overflowPunct/>
                    <w:topLinePunct w:val="0"/>
                    <w:autoSpaceDE/>
                    <w:autoSpaceDN/>
                    <w:bidi w:val="0"/>
                    <w:adjustRightInd/>
                    <w:snapToGrid/>
                    <w:spacing w:line="340" w:lineRule="exact"/>
                    <w:jc w:val="center"/>
                    <w:textAlignment w:val="auto"/>
                    <w:rPr>
                      <w:color w:val="auto"/>
                      <w:szCs w:val="21"/>
                    </w:rPr>
                  </w:pPr>
                </w:p>
              </w:tc>
            </w:tr>
          </w:tbl>
          <w:p w14:paraId="2A90954F">
            <w:pPr>
              <w:tabs>
                <w:tab w:val="left" w:pos="0"/>
              </w:tabs>
              <w:spacing w:line="500" w:lineRule="exact"/>
              <w:ind w:firstLine="482" w:firstLineChars="200"/>
              <w:rPr>
                <w:color w:val="auto"/>
                <w:sz w:val="24"/>
              </w:rPr>
            </w:pPr>
            <w:r>
              <w:rPr>
                <w:b/>
                <w:color w:val="auto"/>
                <w:sz w:val="24"/>
              </w:rPr>
              <w:t>二、污染物排放标准</w:t>
            </w:r>
          </w:p>
          <w:p w14:paraId="635C1E18">
            <w:pPr>
              <w:widowControl/>
              <w:spacing w:line="500" w:lineRule="exact"/>
              <w:ind w:firstLine="480" w:firstLineChars="200"/>
              <w:rPr>
                <w:color w:val="auto"/>
                <w:sz w:val="24"/>
              </w:rPr>
            </w:pPr>
            <w:r>
              <w:rPr>
                <w:rFonts w:hint="eastAsia"/>
                <w:color w:val="auto"/>
                <w:sz w:val="24"/>
              </w:rPr>
              <w:t>1、</w:t>
            </w:r>
            <w:r>
              <w:rPr>
                <w:color w:val="auto"/>
                <w:sz w:val="24"/>
              </w:rPr>
              <w:t>大气污染物排放标准</w:t>
            </w:r>
          </w:p>
          <w:p w14:paraId="483DDA6F">
            <w:pPr>
              <w:widowControl/>
              <w:spacing w:line="500" w:lineRule="exact"/>
              <w:ind w:firstLine="480" w:firstLineChars="200"/>
              <w:rPr>
                <w:color w:val="auto"/>
                <w:kern w:val="0"/>
                <w:szCs w:val="21"/>
              </w:rPr>
            </w:pPr>
            <w:r>
              <w:rPr>
                <w:color w:val="auto"/>
                <w:sz w:val="24"/>
              </w:rPr>
              <w:t>本项目施工期产生的</w:t>
            </w:r>
            <w:r>
              <w:rPr>
                <w:rFonts w:hint="eastAsia"/>
                <w:color w:val="auto"/>
                <w:sz w:val="24"/>
                <w:lang w:val="en-US" w:eastAsia="zh-CN"/>
              </w:rPr>
              <w:t>粉尘</w:t>
            </w:r>
            <w:r>
              <w:rPr>
                <w:color w:val="auto"/>
                <w:sz w:val="24"/>
              </w:rPr>
              <w:t>执行《大气污染物综合排放标准》</w:t>
            </w:r>
            <w:r>
              <w:rPr>
                <w:rFonts w:hint="eastAsia"/>
                <w:color w:val="auto"/>
                <w:sz w:val="24"/>
              </w:rPr>
              <w:t>（</w:t>
            </w:r>
            <w:r>
              <w:rPr>
                <w:color w:val="auto"/>
                <w:sz w:val="24"/>
              </w:rPr>
              <w:t>GB16297</w:t>
            </w:r>
            <w:r>
              <w:rPr>
                <w:rFonts w:hint="eastAsia"/>
                <w:color w:val="auto"/>
                <w:sz w:val="24"/>
              </w:rPr>
              <w:t>-</w:t>
            </w:r>
            <w:r>
              <w:rPr>
                <w:color w:val="auto"/>
                <w:sz w:val="24"/>
              </w:rPr>
              <w:t>1996）表2中颗粒物无组织排放监控浓度限值</w:t>
            </w:r>
            <w:r>
              <w:rPr>
                <w:rFonts w:hint="eastAsia"/>
                <w:color w:val="auto"/>
                <w:sz w:val="24"/>
                <w:lang w:eastAsia="zh-CN"/>
              </w:rPr>
              <w:t>，</w:t>
            </w:r>
            <w:r>
              <w:rPr>
                <w:rFonts w:hint="eastAsia"/>
                <w:color w:val="auto"/>
                <w:sz w:val="24"/>
                <w:lang w:val="en-US" w:eastAsia="zh-CN"/>
              </w:rPr>
              <w:t>煤尘执行</w:t>
            </w:r>
            <w:r>
              <w:rPr>
                <w:color w:val="auto"/>
                <w:sz w:val="24"/>
              </w:rPr>
              <w:t>《煤炭工业污染物排放标准》</w:t>
            </w:r>
            <w:r>
              <w:rPr>
                <w:rFonts w:hint="eastAsia"/>
                <w:color w:val="auto"/>
                <w:sz w:val="24"/>
              </w:rPr>
              <w:t>（</w:t>
            </w:r>
            <w:r>
              <w:rPr>
                <w:color w:val="auto"/>
                <w:sz w:val="24"/>
              </w:rPr>
              <w:t>GB20426</w:t>
            </w:r>
            <w:r>
              <w:rPr>
                <w:rFonts w:hint="eastAsia"/>
                <w:color w:val="auto"/>
                <w:sz w:val="24"/>
              </w:rPr>
              <w:t>-</w:t>
            </w:r>
            <w:r>
              <w:rPr>
                <w:color w:val="auto"/>
                <w:sz w:val="24"/>
              </w:rPr>
              <w:t>2006）</w:t>
            </w:r>
            <w:r>
              <w:rPr>
                <w:rFonts w:hint="eastAsia"/>
                <w:color w:val="auto"/>
                <w:sz w:val="24"/>
                <w:lang w:val="en-US" w:eastAsia="zh-CN"/>
              </w:rPr>
              <w:t>表5中</w:t>
            </w:r>
            <w:r>
              <w:rPr>
                <w:color w:val="auto"/>
                <w:sz w:val="24"/>
              </w:rPr>
              <w:t>颗粒物无组织排放限值</w:t>
            </w:r>
            <w:r>
              <w:rPr>
                <w:rFonts w:hint="eastAsia"/>
                <w:color w:val="auto"/>
                <w:sz w:val="24"/>
              </w:rPr>
              <w:t>；</w:t>
            </w:r>
            <w:r>
              <w:rPr>
                <w:color w:val="auto"/>
                <w:sz w:val="24"/>
              </w:rPr>
              <w:t>运营期厂界大气污染物执行《煤炭工业污染物排放标准》</w:t>
            </w:r>
            <w:r>
              <w:rPr>
                <w:rFonts w:hint="eastAsia"/>
                <w:color w:val="auto"/>
                <w:sz w:val="24"/>
              </w:rPr>
              <w:t>（</w:t>
            </w:r>
            <w:r>
              <w:rPr>
                <w:color w:val="auto"/>
                <w:sz w:val="24"/>
              </w:rPr>
              <w:t>GB20426</w:t>
            </w:r>
            <w:r>
              <w:rPr>
                <w:rFonts w:hint="eastAsia"/>
                <w:color w:val="auto"/>
                <w:sz w:val="24"/>
              </w:rPr>
              <w:t>-</w:t>
            </w:r>
            <w:r>
              <w:rPr>
                <w:color w:val="auto"/>
                <w:sz w:val="24"/>
              </w:rPr>
              <w:t>2006）</w:t>
            </w:r>
            <w:r>
              <w:rPr>
                <w:rFonts w:hint="eastAsia"/>
                <w:color w:val="auto"/>
                <w:sz w:val="24"/>
                <w:lang w:val="en-US" w:eastAsia="zh-CN"/>
              </w:rPr>
              <w:t>表5中</w:t>
            </w:r>
            <w:r>
              <w:rPr>
                <w:color w:val="auto"/>
                <w:sz w:val="24"/>
              </w:rPr>
              <w:t>颗粒物无组织排放限值</w:t>
            </w:r>
            <w:r>
              <w:rPr>
                <w:rFonts w:hint="eastAsia"/>
                <w:color w:val="auto"/>
                <w:sz w:val="24"/>
                <w:lang w:eastAsia="zh-CN"/>
              </w:rPr>
              <w:t>，</w:t>
            </w:r>
            <w:r>
              <w:rPr>
                <w:color w:val="auto"/>
                <w:sz w:val="24"/>
              </w:rPr>
              <w:t>具体标准值见表</w:t>
            </w:r>
            <w:r>
              <w:rPr>
                <w:rFonts w:hint="eastAsia"/>
                <w:color w:val="auto"/>
                <w:sz w:val="24"/>
              </w:rPr>
              <w:t>3-10</w:t>
            </w:r>
            <w:r>
              <w:rPr>
                <w:color w:val="auto"/>
                <w:sz w:val="24"/>
              </w:rPr>
              <w:t>。</w:t>
            </w:r>
          </w:p>
          <w:p w14:paraId="688FC34F">
            <w:pPr>
              <w:pStyle w:val="14"/>
              <w:tabs>
                <w:tab w:val="left" w:pos="0"/>
              </w:tabs>
              <w:spacing w:line="500" w:lineRule="exact"/>
              <w:ind w:firstLine="1687" w:firstLineChars="700"/>
              <w:rPr>
                <w:rFonts w:hint="eastAsia" w:eastAsia="宋体"/>
                <w:b/>
                <w:bCs/>
                <w:color w:val="auto"/>
                <w:sz w:val="24"/>
                <w:lang w:val="en-US" w:eastAsia="zh-CN"/>
              </w:rPr>
            </w:pPr>
            <w:r>
              <w:rPr>
                <w:rFonts w:hint="eastAsia"/>
                <w:b/>
                <w:bCs/>
                <w:color w:val="auto"/>
                <w:sz w:val="24"/>
              </w:rPr>
              <w:t>表3-10       大气污染物排放标准</w:t>
            </w:r>
            <w:r>
              <w:rPr>
                <w:rFonts w:hint="eastAsia"/>
                <w:b/>
                <w:bCs/>
                <w:color w:val="auto"/>
                <w:sz w:val="24"/>
                <w:lang w:val="en-US" w:eastAsia="zh-CN"/>
              </w:rPr>
              <w:t>一览表</w:t>
            </w:r>
          </w:p>
          <w:tbl>
            <w:tblPr>
              <w:tblStyle w:val="2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938"/>
              <w:gridCol w:w="2082"/>
              <w:gridCol w:w="1644"/>
              <w:gridCol w:w="2747"/>
            </w:tblGrid>
            <w:tr w14:paraId="4AB5F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6" w:type="pct"/>
                  <w:vMerge w:val="restart"/>
                  <w:vAlign w:val="center"/>
                </w:tcPr>
                <w:p w14:paraId="14E852CB">
                  <w:pPr>
                    <w:widowControl/>
                    <w:spacing w:line="320" w:lineRule="exact"/>
                    <w:jc w:val="center"/>
                    <w:rPr>
                      <w:color w:val="auto"/>
                      <w:szCs w:val="21"/>
                    </w:rPr>
                  </w:pPr>
                  <w:r>
                    <w:rPr>
                      <w:rFonts w:hint="eastAsia"/>
                      <w:color w:val="auto"/>
                      <w:szCs w:val="21"/>
                    </w:rPr>
                    <w:t>时期</w:t>
                  </w:r>
                </w:p>
              </w:tc>
              <w:tc>
                <w:tcPr>
                  <w:tcW w:w="554" w:type="pct"/>
                  <w:vMerge w:val="restart"/>
                  <w:vAlign w:val="center"/>
                </w:tcPr>
                <w:p w14:paraId="2CFC016C">
                  <w:pPr>
                    <w:widowControl/>
                    <w:spacing w:line="320" w:lineRule="exact"/>
                    <w:jc w:val="center"/>
                    <w:rPr>
                      <w:color w:val="auto"/>
                      <w:szCs w:val="21"/>
                    </w:rPr>
                  </w:pPr>
                  <w:r>
                    <w:rPr>
                      <w:color w:val="auto"/>
                      <w:szCs w:val="21"/>
                    </w:rPr>
                    <w:t>污染物</w:t>
                  </w:r>
                </w:p>
              </w:tc>
              <w:tc>
                <w:tcPr>
                  <w:tcW w:w="2203" w:type="pct"/>
                  <w:gridSpan w:val="2"/>
                  <w:vAlign w:val="center"/>
                </w:tcPr>
                <w:p w14:paraId="24A76212">
                  <w:pPr>
                    <w:widowControl/>
                    <w:spacing w:line="320" w:lineRule="exact"/>
                    <w:jc w:val="center"/>
                    <w:rPr>
                      <w:color w:val="auto"/>
                      <w:szCs w:val="21"/>
                    </w:rPr>
                  </w:pPr>
                  <w:r>
                    <w:rPr>
                      <w:color w:val="auto"/>
                      <w:szCs w:val="21"/>
                    </w:rPr>
                    <w:t>无组织排放监控浓度限值</w:t>
                  </w:r>
                </w:p>
              </w:tc>
              <w:tc>
                <w:tcPr>
                  <w:tcW w:w="1625" w:type="pct"/>
                  <w:vMerge w:val="restart"/>
                  <w:vAlign w:val="center"/>
                </w:tcPr>
                <w:p w14:paraId="38298026">
                  <w:pPr>
                    <w:widowControl/>
                    <w:spacing w:line="320" w:lineRule="exact"/>
                    <w:jc w:val="center"/>
                    <w:rPr>
                      <w:rFonts w:hint="default" w:eastAsia="宋体"/>
                      <w:color w:val="auto"/>
                      <w:szCs w:val="21"/>
                      <w:lang w:val="en-US" w:eastAsia="zh-CN"/>
                    </w:rPr>
                  </w:pPr>
                  <w:r>
                    <w:rPr>
                      <w:rFonts w:hint="eastAsia"/>
                      <w:color w:val="auto"/>
                      <w:szCs w:val="21"/>
                      <w:lang w:val="en-US" w:eastAsia="zh-CN"/>
                    </w:rPr>
                    <w:t>执行标准</w:t>
                  </w:r>
                </w:p>
              </w:tc>
            </w:tr>
            <w:tr w14:paraId="7E826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6" w:type="pct"/>
                  <w:vMerge w:val="continue"/>
                  <w:vAlign w:val="center"/>
                </w:tcPr>
                <w:p w14:paraId="1BCC1682">
                  <w:pPr>
                    <w:widowControl/>
                    <w:spacing w:line="320" w:lineRule="exact"/>
                    <w:jc w:val="center"/>
                    <w:rPr>
                      <w:color w:val="auto"/>
                      <w:szCs w:val="21"/>
                    </w:rPr>
                  </w:pPr>
                </w:p>
              </w:tc>
              <w:tc>
                <w:tcPr>
                  <w:tcW w:w="554" w:type="pct"/>
                  <w:vMerge w:val="continue"/>
                  <w:vAlign w:val="center"/>
                </w:tcPr>
                <w:p w14:paraId="1E7FF672">
                  <w:pPr>
                    <w:widowControl/>
                    <w:spacing w:line="320" w:lineRule="exact"/>
                    <w:jc w:val="center"/>
                    <w:rPr>
                      <w:color w:val="auto"/>
                      <w:szCs w:val="21"/>
                    </w:rPr>
                  </w:pPr>
                </w:p>
              </w:tc>
              <w:tc>
                <w:tcPr>
                  <w:tcW w:w="1231" w:type="pct"/>
                  <w:vAlign w:val="center"/>
                </w:tcPr>
                <w:p w14:paraId="48CF3B72">
                  <w:pPr>
                    <w:widowControl/>
                    <w:spacing w:line="320" w:lineRule="exact"/>
                    <w:jc w:val="center"/>
                    <w:rPr>
                      <w:color w:val="auto"/>
                      <w:szCs w:val="21"/>
                    </w:rPr>
                  </w:pPr>
                  <w:r>
                    <w:rPr>
                      <w:color w:val="auto"/>
                      <w:szCs w:val="21"/>
                    </w:rPr>
                    <w:t>监控点</w:t>
                  </w:r>
                </w:p>
              </w:tc>
              <w:tc>
                <w:tcPr>
                  <w:tcW w:w="972" w:type="pct"/>
                  <w:vAlign w:val="center"/>
                </w:tcPr>
                <w:p w14:paraId="5919E307">
                  <w:pPr>
                    <w:widowControl/>
                    <w:spacing w:line="320" w:lineRule="exact"/>
                    <w:jc w:val="center"/>
                    <w:rPr>
                      <w:color w:val="auto"/>
                      <w:szCs w:val="21"/>
                    </w:rPr>
                  </w:pPr>
                  <w:r>
                    <w:rPr>
                      <w:color w:val="auto"/>
                      <w:szCs w:val="21"/>
                    </w:rPr>
                    <w:t>浓度</w:t>
                  </w:r>
                  <w:r>
                    <w:rPr>
                      <w:rFonts w:hint="eastAsia"/>
                      <w:color w:val="auto"/>
                      <w:szCs w:val="21"/>
                    </w:rPr>
                    <w:t>（</w:t>
                  </w:r>
                  <w:r>
                    <w:rPr>
                      <w:color w:val="auto"/>
                      <w:szCs w:val="21"/>
                    </w:rPr>
                    <w:t>mg/m</w:t>
                  </w:r>
                  <w:r>
                    <w:rPr>
                      <w:color w:val="auto"/>
                      <w:szCs w:val="21"/>
                      <w:vertAlign w:val="superscript"/>
                    </w:rPr>
                    <w:t>3</w:t>
                  </w:r>
                  <w:r>
                    <w:rPr>
                      <w:color w:val="auto"/>
                      <w:szCs w:val="21"/>
                    </w:rPr>
                    <w:t>）</w:t>
                  </w:r>
                </w:p>
              </w:tc>
              <w:tc>
                <w:tcPr>
                  <w:tcW w:w="1625" w:type="pct"/>
                  <w:vMerge w:val="continue"/>
                  <w:vAlign w:val="center"/>
                </w:tcPr>
                <w:p w14:paraId="4432ADD9">
                  <w:pPr>
                    <w:widowControl/>
                    <w:spacing w:line="320" w:lineRule="exact"/>
                    <w:jc w:val="center"/>
                    <w:rPr>
                      <w:color w:val="auto"/>
                      <w:szCs w:val="21"/>
                    </w:rPr>
                  </w:pPr>
                </w:p>
              </w:tc>
            </w:tr>
            <w:tr w14:paraId="69DC1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6" w:type="pct"/>
                  <w:vMerge w:val="restart"/>
                  <w:vAlign w:val="center"/>
                </w:tcPr>
                <w:p w14:paraId="71DC922D">
                  <w:pPr>
                    <w:widowControl/>
                    <w:spacing w:line="320" w:lineRule="exact"/>
                    <w:jc w:val="center"/>
                    <w:rPr>
                      <w:rFonts w:hint="eastAsia" w:eastAsia="宋体"/>
                      <w:color w:val="auto"/>
                      <w:szCs w:val="21"/>
                      <w:lang w:eastAsia="zh-CN"/>
                    </w:rPr>
                  </w:pPr>
                  <w:r>
                    <w:rPr>
                      <w:rFonts w:hint="eastAsia"/>
                      <w:color w:val="auto"/>
                      <w:szCs w:val="21"/>
                    </w:rPr>
                    <w:t>施工</w:t>
                  </w:r>
                  <w:r>
                    <w:rPr>
                      <w:rFonts w:hint="eastAsia"/>
                      <w:color w:val="auto"/>
                      <w:szCs w:val="21"/>
                      <w:lang w:val="en-US" w:eastAsia="zh-CN"/>
                    </w:rPr>
                    <w:t>期</w:t>
                  </w:r>
                </w:p>
              </w:tc>
              <w:tc>
                <w:tcPr>
                  <w:tcW w:w="554" w:type="pct"/>
                  <w:vAlign w:val="center"/>
                </w:tcPr>
                <w:p w14:paraId="18EE69AB">
                  <w:pPr>
                    <w:widowControl/>
                    <w:spacing w:line="320" w:lineRule="exact"/>
                    <w:jc w:val="center"/>
                    <w:rPr>
                      <w:color w:val="auto"/>
                      <w:szCs w:val="21"/>
                    </w:rPr>
                  </w:pPr>
                  <w:r>
                    <w:rPr>
                      <w:color w:val="auto"/>
                      <w:szCs w:val="21"/>
                    </w:rPr>
                    <w:t>颗粒物</w:t>
                  </w:r>
                </w:p>
              </w:tc>
              <w:tc>
                <w:tcPr>
                  <w:tcW w:w="1231" w:type="pct"/>
                  <w:vAlign w:val="center"/>
                </w:tcPr>
                <w:p w14:paraId="02268643">
                  <w:pPr>
                    <w:widowControl/>
                    <w:spacing w:line="320" w:lineRule="exact"/>
                    <w:jc w:val="center"/>
                    <w:rPr>
                      <w:color w:val="auto"/>
                      <w:szCs w:val="21"/>
                    </w:rPr>
                  </w:pPr>
                  <w:r>
                    <w:rPr>
                      <w:color w:val="auto"/>
                      <w:szCs w:val="21"/>
                    </w:rPr>
                    <w:t>周界外浓度最高点</w:t>
                  </w:r>
                </w:p>
              </w:tc>
              <w:tc>
                <w:tcPr>
                  <w:tcW w:w="972" w:type="pct"/>
                  <w:vAlign w:val="center"/>
                </w:tcPr>
                <w:p w14:paraId="65B9CE82">
                  <w:pPr>
                    <w:widowControl/>
                    <w:spacing w:line="320" w:lineRule="exact"/>
                    <w:jc w:val="center"/>
                    <w:rPr>
                      <w:color w:val="auto"/>
                      <w:szCs w:val="21"/>
                    </w:rPr>
                  </w:pPr>
                  <w:r>
                    <w:rPr>
                      <w:color w:val="auto"/>
                      <w:szCs w:val="21"/>
                    </w:rPr>
                    <w:t>1.0</w:t>
                  </w:r>
                </w:p>
              </w:tc>
              <w:tc>
                <w:tcPr>
                  <w:tcW w:w="1625" w:type="pct"/>
                  <w:vAlign w:val="center"/>
                </w:tcPr>
                <w:p w14:paraId="2DB6415D">
                  <w:pPr>
                    <w:widowControl/>
                    <w:spacing w:line="320" w:lineRule="exact"/>
                    <w:jc w:val="center"/>
                    <w:rPr>
                      <w:color w:val="auto"/>
                      <w:szCs w:val="21"/>
                    </w:rPr>
                  </w:pPr>
                  <w:r>
                    <w:rPr>
                      <w:color w:val="auto"/>
                      <w:szCs w:val="21"/>
                    </w:rPr>
                    <w:t>《大气污染物综合排放标准》</w:t>
                  </w:r>
                  <w:r>
                    <w:rPr>
                      <w:rFonts w:hint="eastAsia"/>
                      <w:color w:val="auto"/>
                      <w:szCs w:val="21"/>
                    </w:rPr>
                    <w:t>（</w:t>
                  </w:r>
                  <w:r>
                    <w:rPr>
                      <w:color w:val="auto"/>
                      <w:szCs w:val="21"/>
                    </w:rPr>
                    <w:t>GB16297</w:t>
                  </w:r>
                  <w:r>
                    <w:rPr>
                      <w:rFonts w:hint="eastAsia"/>
                      <w:color w:val="auto"/>
                      <w:szCs w:val="21"/>
                    </w:rPr>
                    <w:t>-</w:t>
                  </w:r>
                  <w:r>
                    <w:rPr>
                      <w:color w:val="auto"/>
                      <w:szCs w:val="21"/>
                    </w:rPr>
                    <w:t>1996）</w:t>
                  </w:r>
                </w:p>
              </w:tc>
            </w:tr>
            <w:tr w14:paraId="3F844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6" w:type="pct"/>
                  <w:vMerge w:val="continue"/>
                  <w:vAlign w:val="center"/>
                </w:tcPr>
                <w:p w14:paraId="3069461F">
                  <w:pPr>
                    <w:widowControl/>
                    <w:spacing w:line="320" w:lineRule="exact"/>
                    <w:jc w:val="center"/>
                    <w:rPr>
                      <w:rFonts w:hint="eastAsia"/>
                      <w:color w:val="auto"/>
                      <w:szCs w:val="21"/>
                    </w:rPr>
                  </w:pPr>
                </w:p>
              </w:tc>
              <w:tc>
                <w:tcPr>
                  <w:tcW w:w="554" w:type="pct"/>
                  <w:vAlign w:val="center"/>
                </w:tcPr>
                <w:p w14:paraId="018AA7BB">
                  <w:pPr>
                    <w:widowControl/>
                    <w:spacing w:line="320" w:lineRule="exact"/>
                    <w:jc w:val="center"/>
                    <w:rPr>
                      <w:color w:val="auto"/>
                      <w:szCs w:val="21"/>
                    </w:rPr>
                  </w:pPr>
                  <w:r>
                    <w:rPr>
                      <w:color w:val="auto"/>
                      <w:szCs w:val="21"/>
                    </w:rPr>
                    <w:t>颗粒物</w:t>
                  </w:r>
                </w:p>
              </w:tc>
              <w:tc>
                <w:tcPr>
                  <w:tcW w:w="1231" w:type="pct"/>
                  <w:shd w:val="clear" w:color="auto" w:fill="auto"/>
                  <w:vAlign w:val="center"/>
                </w:tcPr>
                <w:p w14:paraId="6ACA1148">
                  <w:pPr>
                    <w:widowControl/>
                    <w:spacing w:line="320" w:lineRule="exact"/>
                    <w:jc w:val="center"/>
                    <w:rPr>
                      <w:rFonts w:ascii="Times New Roman" w:hAnsi="Times New Roman" w:eastAsia="宋体" w:cs="Times New Roman"/>
                      <w:color w:val="auto"/>
                      <w:kern w:val="2"/>
                      <w:sz w:val="21"/>
                      <w:szCs w:val="21"/>
                      <w:lang w:val="en-US" w:eastAsia="zh-CN" w:bidi="ar-SA"/>
                    </w:rPr>
                  </w:pPr>
                  <w:r>
                    <w:rPr>
                      <w:color w:val="auto"/>
                      <w:szCs w:val="21"/>
                    </w:rPr>
                    <w:t>周界外质量浓度最高点</w:t>
                  </w:r>
                </w:p>
              </w:tc>
              <w:tc>
                <w:tcPr>
                  <w:tcW w:w="972" w:type="pct"/>
                  <w:shd w:val="clear" w:color="auto" w:fill="auto"/>
                  <w:vAlign w:val="center"/>
                </w:tcPr>
                <w:p w14:paraId="3348FD4E">
                  <w:pPr>
                    <w:widowControl/>
                    <w:spacing w:line="32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1.0</w:t>
                  </w:r>
                </w:p>
              </w:tc>
              <w:tc>
                <w:tcPr>
                  <w:tcW w:w="1625" w:type="pct"/>
                  <w:vAlign w:val="center"/>
                </w:tcPr>
                <w:p w14:paraId="4456DC3F">
                  <w:pPr>
                    <w:widowControl/>
                    <w:spacing w:line="320" w:lineRule="exact"/>
                    <w:jc w:val="center"/>
                    <w:rPr>
                      <w:color w:val="auto"/>
                      <w:szCs w:val="21"/>
                    </w:rPr>
                  </w:pPr>
                  <w:r>
                    <w:rPr>
                      <w:color w:val="auto"/>
                      <w:szCs w:val="21"/>
                    </w:rPr>
                    <w:t>《煤炭工业污染物排放标准》</w:t>
                  </w:r>
                  <w:r>
                    <w:rPr>
                      <w:rFonts w:hint="eastAsia"/>
                      <w:color w:val="auto"/>
                      <w:szCs w:val="21"/>
                    </w:rPr>
                    <w:t>（</w:t>
                  </w:r>
                  <w:r>
                    <w:rPr>
                      <w:color w:val="auto"/>
                      <w:szCs w:val="21"/>
                    </w:rPr>
                    <w:t>GB20426</w:t>
                  </w:r>
                  <w:r>
                    <w:rPr>
                      <w:rFonts w:hint="eastAsia"/>
                      <w:color w:val="auto"/>
                      <w:szCs w:val="21"/>
                    </w:rPr>
                    <w:t>-</w:t>
                  </w:r>
                  <w:r>
                    <w:rPr>
                      <w:color w:val="auto"/>
                      <w:szCs w:val="21"/>
                    </w:rPr>
                    <w:t>2006）</w:t>
                  </w:r>
                </w:p>
              </w:tc>
            </w:tr>
            <w:tr w14:paraId="0FB93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6" w:type="pct"/>
                  <w:vAlign w:val="center"/>
                </w:tcPr>
                <w:p w14:paraId="538D86F2">
                  <w:pPr>
                    <w:widowControl/>
                    <w:spacing w:line="320" w:lineRule="exact"/>
                    <w:jc w:val="center"/>
                    <w:rPr>
                      <w:color w:val="auto"/>
                      <w:szCs w:val="21"/>
                    </w:rPr>
                  </w:pPr>
                  <w:r>
                    <w:rPr>
                      <w:rFonts w:hint="eastAsia"/>
                      <w:color w:val="auto"/>
                      <w:szCs w:val="21"/>
                    </w:rPr>
                    <w:t>运营期</w:t>
                  </w:r>
                </w:p>
              </w:tc>
              <w:tc>
                <w:tcPr>
                  <w:tcW w:w="554" w:type="pct"/>
                  <w:vAlign w:val="center"/>
                </w:tcPr>
                <w:p w14:paraId="5D5F17AF">
                  <w:pPr>
                    <w:widowControl/>
                    <w:spacing w:line="320" w:lineRule="exact"/>
                    <w:jc w:val="center"/>
                    <w:rPr>
                      <w:color w:val="auto"/>
                      <w:szCs w:val="21"/>
                    </w:rPr>
                  </w:pPr>
                  <w:r>
                    <w:rPr>
                      <w:color w:val="auto"/>
                      <w:szCs w:val="21"/>
                    </w:rPr>
                    <w:t>颗粒物</w:t>
                  </w:r>
                </w:p>
              </w:tc>
              <w:tc>
                <w:tcPr>
                  <w:tcW w:w="1231" w:type="pct"/>
                  <w:vAlign w:val="center"/>
                </w:tcPr>
                <w:p w14:paraId="2EC104F0">
                  <w:pPr>
                    <w:widowControl/>
                    <w:spacing w:line="320" w:lineRule="exact"/>
                    <w:jc w:val="center"/>
                    <w:rPr>
                      <w:color w:val="auto"/>
                      <w:szCs w:val="21"/>
                    </w:rPr>
                  </w:pPr>
                  <w:r>
                    <w:rPr>
                      <w:color w:val="auto"/>
                      <w:szCs w:val="21"/>
                    </w:rPr>
                    <w:t>周界外质量浓度最高点</w:t>
                  </w:r>
                </w:p>
              </w:tc>
              <w:tc>
                <w:tcPr>
                  <w:tcW w:w="972" w:type="pct"/>
                  <w:vAlign w:val="center"/>
                </w:tcPr>
                <w:p w14:paraId="76DE4438">
                  <w:pPr>
                    <w:widowControl/>
                    <w:spacing w:line="320" w:lineRule="exact"/>
                    <w:jc w:val="center"/>
                    <w:rPr>
                      <w:rFonts w:hint="eastAsia"/>
                      <w:color w:val="auto"/>
                      <w:szCs w:val="21"/>
                    </w:rPr>
                  </w:pPr>
                  <w:r>
                    <w:rPr>
                      <w:rFonts w:hint="eastAsia"/>
                      <w:color w:val="auto"/>
                      <w:szCs w:val="21"/>
                    </w:rPr>
                    <w:t>1.0</w:t>
                  </w:r>
                </w:p>
              </w:tc>
              <w:tc>
                <w:tcPr>
                  <w:tcW w:w="1625" w:type="pct"/>
                  <w:vAlign w:val="center"/>
                </w:tcPr>
                <w:p w14:paraId="6A1384C2">
                  <w:pPr>
                    <w:widowControl/>
                    <w:spacing w:line="320" w:lineRule="exact"/>
                    <w:jc w:val="center"/>
                    <w:rPr>
                      <w:rFonts w:hint="eastAsia"/>
                      <w:color w:val="auto"/>
                      <w:szCs w:val="21"/>
                    </w:rPr>
                  </w:pPr>
                  <w:r>
                    <w:rPr>
                      <w:color w:val="auto"/>
                      <w:szCs w:val="21"/>
                    </w:rPr>
                    <w:t>《煤炭工业污染物排放标准》</w:t>
                  </w:r>
                  <w:r>
                    <w:rPr>
                      <w:rFonts w:hint="eastAsia"/>
                      <w:color w:val="auto"/>
                      <w:szCs w:val="21"/>
                    </w:rPr>
                    <w:t>（</w:t>
                  </w:r>
                  <w:r>
                    <w:rPr>
                      <w:color w:val="auto"/>
                      <w:szCs w:val="21"/>
                    </w:rPr>
                    <w:t>GB20426</w:t>
                  </w:r>
                  <w:r>
                    <w:rPr>
                      <w:rFonts w:hint="eastAsia"/>
                      <w:color w:val="auto"/>
                      <w:szCs w:val="21"/>
                    </w:rPr>
                    <w:t>-</w:t>
                  </w:r>
                  <w:r>
                    <w:rPr>
                      <w:color w:val="auto"/>
                      <w:szCs w:val="21"/>
                    </w:rPr>
                    <w:t>2006）</w:t>
                  </w:r>
                </w:p>
              </w:tc>
            </w:tr>
          </w:tbl>
          <w:p w14:paraId="03B88391">
            <w:pPr>
              <w:widowControl/>
              <w:spacing w:line="500" w:lineRule="exact"/>
              <w:ind w:firstLine="480" w:firstLineChars="200"/>
              <w:rPr>
                <w:color w:val="auto"/>
                <w:sz w:val="24"/>
              </w:rPr>
            </w:pPr>
            <w:r>
              <w:rPr>
                <w:color w:val="auto"/>
                <w:sz w:val="24"/>
              </w:rPr>
              <w:t>2</w:t>
            </w:r>
            <w:r>
              <w:rPr>
                <w:rFonts w:hint="eastAsia"/>
                <w:color w:val="auto"/>
                <w:sz w:val="24"/>
                <w:lang w:eastAsia="zh-CN"/>
              </w:rPr>
              <w:t>、</w:t>
            </w:r>
            <w:r>
              <w:rPr>
                <w:color w:val="auto"/>
                <w:sz w:val="24"/>
              </w:rPr>
              <w:t>噪声排放标准</w:t>
            </w:r>
          </w:p>
          <w:p w14:paraId="5B0E3B52">
            <w:pPr>
              <w:widowControl/>
              <w:spacing w:line="500" w:lineRule="exact"/>
              <w:ind w:firstLine="480" w:firstLineChars="200"/>
              <w:rPr>
                <w:color w:val="auto"/>
                <w:sz w:val="24"/>
              </w:rPr>
            </w:pPr>
            <w:r>
              <w:rPr>
                <w:color w:val="auto"/>
                <w:sz w:val="24"/>
              </w:rPr>
              <w:t>项目施工期噪声排放执行《建筑施工场界环境噪声排放标准》</w:t>
            </w:r>
            <w:r>
              <w:rPr>
                <w:rFonts w:hint="eastAsia"/>
                <w:color w:val="auto"/>
                <w:sz w:val="24"/>
              </w:rPr>
              <w:t>（</w:t>
            </w:r>
            <w:r>
              <w:rPr>
                <w:color w:val="auto"/>
                <w:sz w:val="24"/>
              </w:rPr>
              <w:t>GB12523</w:t>
            </w:r>
            <w:r>
              <w:rPr>
                <w:rFonts w:hint="eastAsia"/>
                <w:color w:val="auto"/>
                <w:sz w:val="24"/>
              </w:rPr>
              <w:t>-</w:t>
            </w:r>
            <w:r>
              <w:rPr>
                <w:color w:val="auto"/>
                <w:sz w:val="24"/>
              </w:rPr>
              <w:t>2011），</w:t>
            </w:r>
            <w:r>
              <w:rPr>
                <w:rFonts w:hint="eastAsia"/>
                <w:color w:val="auto"/>
                <w:sz w:val="24"/>
                <w:lang w:val="en-US" w:eastAsia="zh-CN"/>
              </w:rPr>
              <w:t>运营期噪声执行</w:t>
            </w:r>
            <w:r>
              <w:rPr>
                <w:color w:val="auto"/>
                <w:sz w:val="24"/>
              </w:rPr>
              <w:t>《工业企业厂界</w:t>
            </w:r>
            <w:r>
              <w:rPr>
                <w:rFonts w:hint="eastAsia"/>
                <w:color w:val="auto"/>
                <w:sz w:val="24"/>
                <w:lang w:val="en-US" w:eastAsia="zh-CN"/>
              </w:rPr>
              <w:t>环境</w:t>
            </w:r>
            <w:r>
              <w:rPr>
                <w:color w:val="auto"/>
                <w:sz w:val="24"/>
              </w:rPr>
              <w:t>噪声排放标准》</w:t>
            </w:r>
            <w:r>
              <w:rPr>
                <w:rFonts w:hint="eastAsia"/>
                <w:color w:val="auto"/>
                <w:sz w:val="24"/>
              </w:rPr>
              <w:t>（</w:t>
            </w:r>
            <w:r>
              <w:rPr>
                <w:color w:val="auto"/>
                <w:sz w:val="24"/>
              </w:rPr>
              <w:t>GB12348</w:t>
            </w:r>
            <w:r>
              <w:rPr>
                <w:rFonts w:hint="eastAsia"/>
                <w:color w:val="auto"/>
                <w:sz w:val="24"/>
              </w:rPr>
              <w:t>-</w:t>
            </w:r>
            <w:r>
              <w:rPr>
                <w:color w:val="auto"/>
                <w:sz w:val="24"/>
              </w:rPr>
              <w:t>2008）中的</w:t>
            </w:r>
            <w:r>
              <w:rPr>
                <w:rFonts w:hint="eastAsia"/>
                <w:color w:val="auto"/>
                <w:sz w:val="24"/>
                <w:lang w:val="en-US" w:eastAsia="zh-CN"/>
              </w:rPr>
              <w:t>3</w:t>
            </w:r>
            <w:r>
              <w:rPr>
                <w:color w:val="auto"/>
                <w:sz w:val="24"/>
              </w:rPr>
              <w:t>类标准噪声限值</w:t>
            </w:r>
            <w:r>
              <w:rPr>
                <w:rFonts w:hint="eastAsia"/>
                <w:color w:val="auto"/>
                <w:sz w:val="24"/>
                <w:lang w:eastAsia="zh-CN"/>
              </w:rPr>
              <w:t>，</w:t>
            </w:r>
            <w:r>
              <w:rPr>
                <w:rFonts w:hint="eastAsia"/>
                <w:color w:val="auto"/>
                <w:sz w:val="24"/>
                <w:lang w:val="en-US" w:eastAsia="zh-CN"/>
              </w:rPr>
              <w:t>具体标准值</w:t>
            </w:r>
            <w:r>
              <w:rPr>
                <w:color w:val="auto"/>
                <w:sz w:val="24"/>
              </w:rPr>
              <w:t>见表</w:t>
            </w:r>
            <w:r>
              <w:rPr>
                <w:rFonts w:hint="eastAsia"/>
                <w:color w:val="auto"/>
                <w:sz w:val="24"/>
              </w:rPr>
              <w:t>3-11</w:t>
            </w:r>
            <w:r>
              <w:rPr>
                <w:color w:val="auto"/>
                <w:sz w:val="24"/>
              </w:rPr>
              <w:t>。</w:t>
            </w:r>
          </w:p>
          <w:p w14:paraId="49225384">
            <w:pPr>
              <w:pStyle w:val="14"/>
              <w:tabs>
                <w:tab w:val="left" w:pos="0"/>
              </w:tabs>
              <w:spacing w:line="500" w:lineRule="exact"/>
              <w:ind w:firstLine="1205" w:firstLineChars="500"/>
              <w:rPr>
                <w:b/>
                <w:bCs/>
                <w:color w:val="auto"/>
                <w:sz w:val="24"/>
              </w:rPr>
            </w:pPr>
            <w:r>
              <w:rPr>
                <w:rFonts w:hint="eastAsia"/>
                <w:b/>
                <w:bCs/>
                <w:color w:val="auto"/>
                <w:sz w:val="24"/>
              </w:rPr>
              <w:t xml:space="preserve">表3-11   </w:t>
            </w:r>
            <w:r>
              <w:rPr>
                <w:rFonts w:hint="eastAsia"/>
                <w:b/>
                <w:bCs/>
                <w:color w:val="auto"/>
                <w:sz w:val="24"/>
                <w:lang w:val="en-US" w:eastAsia="zh-CN"/>
              </w:rPr>
              <w:t xml:space="preserve"> </w:t>
            </w:r>
            <w:r>
              <w:rPr>
                <w:rFonts w:hint="eastAsia"/>
                <w:b/>
                <w:bCs/>
                <w:color w:val="auto"/>
                <w:sz w:val="24"/>
              </w:rPr>
              <w:t xml:space="preserve"> </w:t>
            </w:r>
            <w:r>
              <w:rPr>
                <w:rFonts w:hint="eastAsia"/>
                <w:b/>
                <w:bCs/>
                <w:color w:val="auto"/>
                <w:sz w:val="24"/>
                <w:lang w:val="en-US" w:eastAsia="zh-CN"/>
              </w:rPr>
              <w:t>噪声排放标准一览表</w:t>
            </w:r>
            <w:r>
              <w:rPr>
                <w:rFonts w:hint="eastAsia"/>
                <w:b/>
                <w:bCs/>
                <w:color w:val="auto"/>
                <w:sz w:val="24"/>
              </w:rPr>
              <w:t xml:space="preserve">    单位：dB（A）</w:t>
            </w:r>
          </w:p>
          <w:tbl>
            <w:tblPr>
              <w:tblStyle w:val="29"/>
              <w:tblW w:w="495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91"/>
              <w:gridCol w:w="2791"/>
              <w:gridCol w:w="2792"/>
            </w:tblGrid>
            <w:tr w14:paraId="12A93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6" w:type="dxa"/>
                  <w:vAlign w:val="center"/>
                </w:tcPr>
                <w:p w14:paraId="365998CD">
                  <w:pPr>
                    <w:widowControl/>
                    <w:spacing w:line="320" w:lineRule="exact"/>
                    <w:jc w:val="center"/>
                    <w:rPr>
                      <w:color w:val="auto"/>
                      <w:szCs w:val="21"/>
                    </w:rPr>
                  </w:pPr>
                  <w:r>
                    <w:rPr>
                      <w:rFonts w:hint="eastAsia"/>
                      <w:color w:val="auto"/>
                      <w:szCs w:val="21"/>
                    </w:rPr>
                    <w:t>时期</w:t>
                  </w:r>
                </w:p>
              </w:tc>
              <w:tc>
                <w:tcPr>
                  <w:tcW w:w="2646" w:type="dxa"/>
                </w:tcPr>
                <w:p w14:paraId="28F12493">
                  <w:pPr>
                    <w:widowControl/>
                    <w:spacing w:line="320" w:lineRule="exact"/>
                    <w:jc w:val="center"/>
                    <w:rPr>
                      <w:color w:val="auto"/>
                      <w:szCs w:val="21"/>
                    </w:rPr>
                  </w:pPr>
                  <w:r>
                    <w:rPr>
                      <w:color w:val="auto"/>
                      <w:szCs w:val="21"/>
                    </w:rPr>
                    <w:t>昼间</w:t>
                  </w:r>
                </w:p>
              </w:tc>
              <w:tc>
                <w:tcPr>
                  <w:tcW w:w="2647" w:type="dxa"/>
                </w:tcPr>
                <w:p w14:paraId="42CE1C4D">
                  <w:pPr>
                    <w:widowControl/>
                    <w:spacing w:line="320" w:lineRule="exact"/>
                    <w:jc w:val="center"/>
                    <w:rPr>
                      <w:color w:val="auto"/>
                      <w:szCs w:val="21"/>
                    </w:rPr>
                  </w:pPr>
                  <w:r>
                    <w:rPr>
                      <w:color w:val="auto"/>
                      <w:szCs w:val="21"/>
                    </w:rPr>
                    <w:t>夜间</w:t>
                  </w:r>
                </w:p>
              </w:tc>
            </w:tr>
            <w:tr w14:paraId="62ABF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6" w:type="dxa"/>
                </w:tcPr>
                <w:p w14:paraId="773D01B7">
                  <w:pPr>
                    <w:widowControl/>
                    <w:spacing w:line="320" w:lineRule="exact"/>
                    <w:jc w:val="center"/>
                    <w:rPr>
                      <w:color w:val="auto"/>
                      <w:szCs w:val="21"/>
                    </w:rPr>
                  </w:pPr>
                  <w:r>
                    <w:rPr>
                      <w:color w:val="auto"/>
                      <w:szCs w:val="21"/>
                    </w:rPr>
                    <w:t>施工</w:t>
                  </w:r>
                  <w:r>
                    <w:rPr>
                      <w:rFonts w:hint="eastAsia"/>
                      <w:color w:val="auto"/>
                      <w:szCs w:val="21"/>
                    </w:rPr>
                    <w:t>期</w:t>
                  </w:r>
                </w:p>
              </w:tc>
              <w:tc>
                <w:tcPr>
                  <w:tcW w:w="2646" w:type="dxa"/>
                </w:tcPr>
                <w:p w14:paraId="2C75054E">
                  <w:pPr>
                    <w:widowControl/>
                    <w:spacing w:line="320" w:lineRule="exact"/>
                    <w:jc w:val="center"/>
                    <w:rPr>
                      <w:color w:val="auto"/>
                      <w:szCs w:val="21"/>
                    </w:rPr>
                  </w:pPr>
                  <w:r>
                    <w:rPr>
                      <w:color w:val="auto"/>
                      <w:szCs w:val="21"/>
                    </w:rPr>
                    <w:t>70</w:t>
                  </w:r>
                </w:p>
              </w:tc>
              <w:tc>
                <w:tcPr>
                  <w:tcW w:w="2647" w:type="dxa"/>
                </w:tcPr>
                <w:p w14:paraId="132792B3">
                  <w:pPr>
                    <w:widowControl/>
                    <w:spacing w:line="320" w:lineRule="exact"/>
                    <w:jc w:val="center"/>
                    <w:rPr>
                      <w:color w:val="auto"/>
                      <w:szCs w:val="21"/>
                    </w:rPr>
                  </w:pPr>
                  <w:r>
                    <w:rPr>
                      <w:color w:val="auto"/>
                      <w:szCs w:val="21"/>
                    </w:rPr>
                    <w:t>55</w:t>
                  </w:r>
                </w:p>
              </w:tc>
            </w:tr>
            <w:tr w14:paraId="18D06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46" w:type="dxa"/>
                </w:tcPr>
                <w:p w14:paraId="26B6CAE4">
                  <w:pPr>
                    <w:widowControl/>
                    <w:spacing w:line="320" w:lineRule="exact"/>
                    <w:jc w:val="center"/>
                    <w:rPr>
                      <w:color w:val="auto"/>
                      <w:szCs w:val="21"/>
                    </w:rPr>
                  </w:pPr>
                  <w:r>
                    <w:rPr>
                      <w:rFonts w:hint="eastAsia"/>
                      <w:color w:val="auto"/>
                      <w:szCs w:val="21"/>
                    </w:rPr>
                    <w:t>运营期</w:t>
                  </w:r>
                </w:p>
              </w:tc>
              <w:tc>
                <w:tcPr>
                  <w:tcW w:w="2646" w:type="dxa"/>
                </w:tcPr>
                <w:p w14:paraId="1A93CE74">
                  <w:pPr>
                    <w:widowControl/>
                    <w:spacing w:line="320" w:lineRule="exact"/>
                    <w:jc w:val="center"/>
                    <w:rPr>
                      <w:rFonts w:hint="default" w:eastAsia="宋体"/>
                      <w:color w:val="auto"/>
                      <w:szCs w:val="21"/>
                      <w:lang w:val="en-US" w:eastAsia="zh-CN"/>
                    </w:rPr>
                  </w:pPr>
                  <w:r>
                    <w:rPr>
                      <w:rFonts w:hint="eastAsia"/>
                      <w:color w:val="auto"/>
                      <w:szCs w:val="21"/>
                      <w:lang w:val="en-US" w:eastAsia="zh-CN"/>
                    </w:rPr>
                    <w:t>65</w:t>
                  </w:r>
                </w:p>
              </w:tc>
              <w:tc>
                <w:tcPr>
                  <w:tcW w:w="2647" w:type="dxa"/>
                </w:tcPr>
                <w:p w14:paraId="7C9D81A6">
                  <w:pPr>
                    <w:widowControl/>
                    <w:spacing w:line="320" w:lineRule="exact"/>
                    <w:jc w:val="center"/>
                    <w:rPr>
                      <w:color w:val="auto"/>
                      <w:szCs w:val="21"/>
                    </w:rPr>
                  </w:pPr>
                  <w:r>
                    <w:rPr>
                      <w:rFonts w:hint="eastAsia"/>
                      <w:color w:val="auto"/>
                      <w:szCs w:val="21"/>
                    </w:rPr>
                    <w:t>5</w:t>
                  </w:r>
                  <w:r>
                    <w:rPr>
                      <w:rFonts w:hint="eastAsia"/>
                      <w:color w:val="auto"/>
                      <w:szCs w:val="21"/>
                      <w:lang w:val="en-US" w:eastAsia="zh-CN"/>
                    </w:rPr>
                    <w:t>5</w:t>
                  </w:r>
                </w:p>
              </w:tc>
            </w:tr>
          </w:tbl>
          <w:p w14:paraId="2CAE0B94">
            <w:pPr>
              <w:widowControl/>
              <w:spacing w:line="500" w:lineRule="exact"/>
              <w:ind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3、固废排放标准</w:t>
            </w:r>
          </w:p>
          <w:p w14:paraId="71C49396">
            <w:pPr>
              <w:keepNext w:val="0"/>
              <w:keepLines w:val="0"/>
              <w:pageBreakBefore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eastAsia="宋体" w:cs="宋体"/>
                <w:color w:val="auto"/>
                <w:kern w:val="0"/>
                <w:szCs w:val="21"/>
                <w:lang w:val="en-US" w:eastAsia="zh-CN"/>
              </w:rPr>
            </w:pPr>
            <w:r>
              <w:rPr>
                <w:rFonts w:hint="default" w:ascii="Times New Roman" w:hAnsi="Times New Roman" w:cs="Times New Roman"/>
                <w:color w:val="auto"/>
                <w:kern w:val="0"/>
                <w:sz w:val="24"/>
                <w:szCs w:val="24"/>
                <w:lang w:val="en-US" w:eastAsia="zh-CN"/>
              </w:rPr>
              <w:t>废机油及废油桶等危险废物的贮存、管理执行《危险废物贮存污染控制标准》（GB18597-2023）中规定。</w:t>
            </w:r>
          </w:p>
        </w:tc>
      </w:tr>
      <w:tr w14:paraId="47175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46" w:hRule="atLeast"/>
          <w:jc w:val="center"/>
        </w:trPr>
        <w:tc>
          <w:tcPr>
            <w:tcW w:w="248" w:type="pct"/>
            <w:vAlign w:val="center"/>
          </w:tcPr>
          <w:p w14:paraId="1F354C1A">
            <w:pPr>
              <w:adjustRightInd w:val="0"/>
              <w:snapToGrid w:val="0"/>
              <w:jc w:val="center"/>
              <w:rPr>
                <w:rFonts w:ascii="宋体" w:hAnsi="宋体" w:cs="宋体"/>
                <w:color w:val="auto"/>
                <w:kern w:val="0"/>
                <w:szCs w:val="21"/>
              </w:rPr>
            </w:pPr>
            <w:r>
              <w:rPr>
                <w:rFonts w:hint="eastAsia" w:ascii="宋体" w:hAnsi="宋体" w:cs="宋体"/>
                <w:color w:val="auto"/>
                <w:kern w:val="0"/>
                <w:sz w:val="24"/>
                <w:szCs w:val="24"/>
              </w:rPr>
              <w:t>其他</w:t>
            </w:r>
          </w:p>
        </w:tc>
        <w:tc>
          <w:tcPr>
            <w:tcW w:w="4751" w:type="pct"/>
            <w:vAlign w:val="center"/>
          </w:tcPr>
          <w:p w14:paraId="6BFA0E88">
            <w:pPr>
              <w:adjustRightInd w:val="0"/>
              <w:snapToGrid w:val="0"/>
              <w:jc w:val="center"/>
              <w:rPr>
                <w:rFonts w:ascii="宋体" w:hAnsi="宋体" w:cs="宋体"/>
                <w:color w:val="auto"/>
                <w:kern w:val="0"/>
                <w:szCs w:val="21"/>
              </w:rPr>
            </w:pPr>
            <w:r>
              <w:rPr>
                <w:rFonts w:hint="eastAsia" w:ascii="宋体" w:hAnsi="宋体" w:cs="宋体"/>
                <w:color w:val="auto"/>
                <w:kern w:val="0"/>
                <w:sz w:val="24"/>
                <w:szCs w:val="24"/>
              </w:rPr>
              <w:t>无</w:t>
            </w:r>
          </w:p>
        </w:tc>
      </w:tr>
    </w:tbl>
    <w:p w14:paraId="0A0BFE75">
      <w:pPr>
        <w:pStyle w:val="25"/>
        <w:adjustRightInd w:val="0"/>
        <w:snapToGrid w:val="0"/>
        <w:spacing w:before="0" w:beforeAutospacing="0" w:after="0" w:afterAutospacing="0" w:line="14" w:lineRule="auto"/>
        <w:jc w:val="center"/>
        <w:rPr>
          <w:rFonts w:ascii="黑体" w:hAnsi="黑体" w:eastAsia="黑体"/>
          <w:snapToGrid w:val="0"/>
          <w:color w:val="auto"/>
          <w:kern w:val="2"/>
          <w:sz w:val="36"/>
          <w:szCs w:val="36"/>
        </w:rPr>
      </w:pPr>
    </w:p>
    <w:p w14:paraId="6FC9E218">
      <w:pPr>
        <w:pStyle w:val="25"/>
        <w:jc w:val="center"/>
        <w:outlineLvl w:val="0"/>
        <w:rPr>
          <w:rFonts w:ascii="黑体" w:hAnsi="黑体" w:eastAsia="黑体"/>
          <w:snapToGrid w:val="0"/>
          <w:color w:val="auto"/>
          <w:sz w:val="30"/>
          <w:szCs w:val="30"/>
        </w:rPr>
      </w:pPr>
      <w:r>
        <w:rPr>
          <w:rFonts w:ascii="黑体" w:hAnsi="黑体" w:eastAsia="黑体"/>
          <w:snapToGrid w:val="0"/>
          <w:color w:val="auto"/>
          <w:kern w:val="2"/>
          <w:sz w:val="36"/>
          <w:szCs w:val="36"/>
        </w:rPr>
        <w:br w:type="page"/>
      </w:r>
      <w:r>
        <w:rPr>
          <w:rFonts w:hint="eastAsia" w:ascii="黑体" w:hAnsi="黑体" w:eastAsia="黑体"/>
          <w:snapToGrid w:val="0"/>
          <w:color w:val="auto"/>
          <w:sz w:val="30"/>
          <w:szCs w:val="30"/>
        </w:rPr>
        <w:t>四、生态环境影响分析</w:t>
      </w:r>
    </w:p>
    <w:tbl>
      <w:tblPr>
        <w:tblStyle w:val="29"/>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8551"/>
      </w:tblGrid>
      <w:tr w14:paraId="25EC72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50" w:hRule="atLeast"/>
          <w:jc w:val="center"/>
        </w:trPr>
        <w:tc>
          <w:tcPr>
            <w:tcW w:w="691" w:type="dxa"/>
            <w:tcMar>
              <w:left w:w="28" w:type="dxa"/>
              <w:right w:w="28" w:type="dxa"/>
            </w:tcMar>
            <w:vAlign w:val="center"/>
          </w:tcPr>
          <w:p w14:paraId="23685CBF">
            <w:pPr>
              <w:pStyle w:val="25"/>
              <w:adjustRightInd w:val="0"/>
              <w:snapToGrid w:val="0"/>
              <w:spacing w:before="0" w:beforeAutospacing="0" w:after="0" w:afterAutospacing="0"/>
              <w:jc w:val="center"/>
              <w:rPr>
                <w:rFonts w:cs="宋体"/>
                <w:bCs/>
                <w:color w:val="auto"/>
                <w:kern w:val="2"/>
                <w:sz w:val="21"/>
                <w:szCs w:val="21"/>
              </w:rPr>
            </w:pPr>
            <w:bookmarkStart w:id="13" w:name="_Hlk49796138"/>
            <w:r>
              <w:rPr>
                <w:rFonts w:hint="eastAsia" w:cs="宋体"/>
                <w:bCs/>
                <w:color w:val="auto"/>
                <w:spacing w:val="10"/>
                <w:kern w:val="2"/>
              </w:rPr>
              <w:t>施工期生态环境影响分析</w:t>
            </w:r>
            <w:bookmarkEnd w:id="13"/>
          </w:p>
        </w:tc>
        <w:tc>
          <w:tcPr>
            <w:tcW w:w="8551" w:type="dxa"/>
          </w:tcPr>
          <w:p w14:paraId="149956AE">
            <w:pPr>
              <w:spacing w:line="500" w:lineRule="exact"/>
              <w:ind w:firstLine="480" w:firstLineChars="200"/>
              <w:rPr>
                <w:color w:val="auto"/>
                <w:sz w:val="24"/>
              </w:rPr>
            </w:pPr>
            <w:r>
              <w:rPr>
                <w:color w:val="auto"/>
                <w:sz w:val="24"/>
              </w:rPr>
              <w:t>本项目施工期</w:t>
            </w:r>
            <w:r>
              <w:rPr>
                <w:rFonts w:hint="eastAsia"/>
                <w:color w:val="auto"/>
                <w:sz w:val="24"/>
              </w:rPr>
              <w:t>21.5</w:t>
            </w:r>
            <w:r>
              <w:rPr>
                <w:color w:val="auto"/>
                <w:sz w:val="24"/>
              </w:rPr>
              <w:t>个月，施工主要包括地面建筑和井筒施工，地面建筑主要是</w:t>
            </w:r>
            <w:r>
              <w:rPr>
                <w:rFonts w:hint="eastAsia"/>
                <w:color w:val="auto"/>
                <w:sz w:val="24"/>
              </w:rPr>
              <w:t>乏风热泵机房、配电室等</w:t>
            </w:r>
            <w:r>
              <w:rPr>
                <w:color w:val="auto"/>
                <w:sz w:val="24"/>
              </w:rPr>
              <w:t>构筑物建设、围墙建设和设备安装。施工期对环境影响主要表现为施工过程产生的扬尘、施工废水、生活污水，施工过程建筑垃圾、生活垃圾等，</w:t>
            </w:r>
            <w:r>
              <w:rPr>
                <w:rFonts w:hint="eastAsia"/>
                <w:color w:val="auto"/>
                <w:sz w:val="24"/>
              </w:rPr>
              <w:t>以及对生态环境的影响</w:t>
            </w:r>
            <w:r>
              <w:rPr>
                <w:color w:val="auto"/>
                <w:sz w:val="24"/>
              </w:rPr>
              <w:t>。</w:t>
            </w:r>
          </w:p>
          <w:p w14:paraId="67E9857E">
            <w:pPr>
              <w:spacing w:line="500" w:lineRule="exact"/>
              <w:ind w:firstLine="482" w:firstLineChars="200"/>
              <w:rPr>
                <w:b/>
                <w:bCs/>
                <w:color w:val="auto"/>
                <w:sz w:val="24"/>
              </w:rPr>
            </w:pPr>
            <w:r>
              <w:rPr>
                <w:rFonts w:hint="eastAsia"/>
                <w:b/>
                <w:bCs/>
                <w:color w:val="auto"/>
                <w:sz w:val="24"/>
              </w:rPr>
              <w:t>1</w:t>
            </w:r>
            <w:r>
              <w:rPr>
                <w:b/>
                <w:bCs/>
                <w:color w:val="auto"/>
                <w:sz w:val="24"/>
              </w:rPr>
              <w:t>、生态环境影响分析</w:t>
            </w:r>
          </w:p>
          <w:p w14:paraId="195D7771">
            <w:pPr>
              <w:widowControl/>
              <w:spacing w:line="500" w:lineRule="exact"/>
              <w:ind w:firstLine="480" w:firstLineChars="200"/>
              <w:rPr>
                <w:color w:val="auto"/>
                <w:sz w:val="24"/>
              </w:rPr>
            </w:pPr>
            <w:r>
              <w:rPr>
                <w:rFonts w:hint="eastAsia"/>
                <w:color w:val="auto"/>
                <w:kern w:val="0"/>
                <w:sz w:val="24"/>
              </w:rPr>
              <w:t>（</w:t>
            </w:r>
            <w:r>
              <w:rPr>
                <w:color w:val="auto"/>
                <w:kern w:val="0"/>
                <w:sz w:val="24"/>
              </w:rPr>
              <w:t>1）工程占地影响分析</w:t>
            </w:r>
          </w:p>
          <w:p w14:paraId="18CA24E2">
            <w:pPr>
              <w:pStyle w:val="36"/>
              <w:spacing w:line="500" w:lineRule="exact"/>
              <w:rPr>
                <w:color w:val="auto"/>
                <w:kern w:val="0"/>
                <w:sz w:val="24"/>
              </w:rPr>
            </w:pPr>
            <w:r>
              <w:rPr>
                <w:color w:val="auto"/>
                <w:kern w:val="0"/>
                <w:sz w:val="24"/>
              </w:rPr>
              <w:t>本工程</w:t>
            </w:r>
            <w:r>
              <w:rPr>
                <w:rFonts w:hint="eastAsia"/>
                <w:color w:val="auto"/>
                <w:sz w:val="24"/>
              </w:rPr>
              <w:t>占地面积1.0771hm</w:t>
            </w:r>
            <w:r>
              <w:rPr>
                <w:rFonts w:hint="eastAsia"/>
                <w:color w:val="auto"/>
                <w:sz w:val="24"/>
                <w:vertAlign w:val="superscript"/>
              </w:rPr>
              <w:t>2</w:t>
            </w:r>
            <w:r>
              <w:rPr>
                <w:rFonts w:hint="eastAsia"/>
                <w:color w:val="auto"/>
                <w:sz w:val="24"/>
              </w:rPr>
              <w:t>，全部为永久占地，永久占地类型为其他林地、天然牧草地、其他草地及农村道路。本项目施工场地位于风井场地占地范围内，</w:t>
            </w:r>
            <w:r>
              <w:rPr>
                <w:color w:val="auto"/>
                <w:sz w:val="24"/>
              </w:rPr>
              <w:t>施工期间的施工便道</w:t>
            </w:r>
            <w:r>
              <w:rPr>
                <w:rFonts w:hint="eastAsia"/>
                <w:color w:val="auto"/>
                <w:sz w:val="24"/>
              </w:rPr>
              <w:t>利用现有乡村道路，不新增临时占地</w:t>
            </w:r>
            <w:r>
              <w:rPr>
                <w:rFonts w:hint="eastAsia"/>
                <w:color w:val="auto"/>
                <w:kern w:val="0"/>
                <w:sz w:val="24"/>
              </w:rPr>
              <w:t>。</w:t>
            </w:r>
          </w:p>
          <w:p w14:paraId="07AC0C27">
            <w:pPr>
              <w:widowControl/>
              <w:spacing w:line="500" w:lineRule="exact"/>
              <w:ind w:firstLine="468" w:firstLineChars="200"/>
              <w:rPr>
                <w:color w:val="auto"/>
              </w:rPr>
            </w:pPr>
            <w:r>
              <w:rPr>
                <w:rFonts w:hint="eastAsia"/>
                <w:color w:val="auto"/>
                <w:spacing w:val="-3"/>
                <w:sz w:val="24"/>
              </w:rPr>
              <w:t>根据地勘报告，本项目永久占地占用的其他林地约0.7084h</w:t>
            </w:r>
            <w:r>
              <w:rPr>
                <w:rFonts w:hint="eastAsia"/>
                <w:color w:val="auto"/>
                <w:sz w:val="24"/>
              </w:rPr>
              <w:t>m</w:t>
            </w:r>
            <w:r>
              <w:rPr>
                <w:rFonts w:hint="eastAsia"/>
                <w:color w:val="auto"/>
                <w:sz w:val="24"/>
                <w:vertAlign w:val="superscript"/>
              </w:rPr>
              <w:t>2</w:t>
            </w:r>
            <w:r>
              <w:rPr>
                <w:rFonts w:hint="eastAsia"/>
                <w:color w:val="auto"/>
                <w:spacing w:val="-3"/>
                <w:sz w:val="24"/>
              </w:rPr>
              <w:t>，天然牧草地约0.0794h</w:t>
            </w:r>
            <w:r>
              <w:rPr>
                <w:rFonts w:hint="eastAsia"/>
                <w:color w:val="auto"/>
                <w:sz w:val="24"/>
              </w:rPr>
              <w:t>m</w:t>
            </w:r>
            <w:r>
              <w:rPr>
                <w:rFonts w:hint="eastAsia"/>
                <w:color w:val="auto"/>
                <w:sz w:val="24"/>
                <w:vertAlign w:val="superscript"/>
              </w:rPr>
              <w:t>2</w:t>
            </w:r>
            <w:r>
              <w:rPr>
                <w:rFonts w:hint="eastAsia"/>
                <w:color w:val="auto"/>
                <w:spacing w:val="-3"/>
                <w:sz w:val="24"/>
              </w:rPr>
              <w:t>，其他草地约0.2847h</w:t>
            </w:r>
            <w:r>
              <w:rPr>
                <w:rFonts w:hint="eastAsia"/>
                <w:color w:val="auto"/>
                <w:sz w:val="24"/>
              </w:rPr>
              <w:t>m</w:t>
            </w:r>
            <w:r>
              <w:rPr>
                <w:rFonts w:hint="eastAsia"/>
                <w:color w:val="auto"/>
                <w:sz w:val="24"/>
                <w:vertAlign w:val="superscript"/>
              </w:rPr>
              <w:t>2</w:t>
            </w:r>
            <w:r>
              <w:rPr>
                <w:rFonts w:hint="eastAsia"/>
                <w:color w:val="auto"/>
                <w:spacing w:val="-3"/>
                <w:sz w:val="24"/>
              </w:rPr>
              <w:t>，农村道路约0.0046h</w:t>
            </w:r>
            <w:r>
              <w:rPr>
                <w:rFonts w:hint="eastAsia"/>
                <w:color w:val="auto"/>
                <w:sz w:val="24"/>
              </w:rPr>
              <w:t>m</w:t>
            </w:r>
            <w:r>
              <w:rPr>
                <w:rFonts w:hint="eastAsia"/>
                <w:color w:val="auto"/>
                <w:sz w:val="24"/>
                <w:vertAlign w:val="superscript"/>
              </w:rPr>
              <w:t>2</w:t>
            </w:r>
            <w:r>
              <w:rPr>
                <w:rFonts w:hint="eastAsia"/>
                <w:color w:val="auto"/>
                <w:spacing w:val="-3"/>
                <w:sz w:val="24"/>
              </w:rPr>
              <w:t>；</w:t>
            </w:r>
            <w:r>
              <w:rPr>
                <w:color w:val="auto"/>
                <w:spacing w:val="-3"/>
                <w:sz w:val="24"/>
              </w:rPr>
              <w:t>工程建设使永久占地</w:t>
            </w:r>
            <w:r>
              <w:rPr>
                <w:rFonts w:hint="eastAsia"/>
                <w:color w:val="auto"/>
                <w:sz w:val="24"/>
              </w:rPr>
              <w:t>区域</w:t>
            </w:r>
            <w:r>
              <w:rPr>
                <w:color w:val="auto"/>
                <w:spacing w:val="-3"/>
                <w:sz w:val="24"/>
              </w:rPr>
              <w:t>土地利用状况发生改变，由原来的</w:t>
            </w:r>
            <w:r>
              <w:rPr>
                <w:rFonts w:hint="eastAsia"/>
                <w:color w:val="auto"/>
                <w:sz w:val="24"/>
              </w:rPr>
              <w:t>其他林地、</w:t>
            </w:r>
            <w:r>
              <w:rPr>
                <w:rFonts w:hint="eastAsia"/>
                <w:color w:val="auto"/>
                <w:spacing w:val="-3"/>
                <w:sz w:val="24"/>
              </w:rPr>
              <w:t>天然牧草地、</w:t>
            </w:r>
            <w:r>
              <w:rPr>
                <w:rFonts w:hint="eastAsia"/>
                <w:color w:val="auto"/>
                <w:sz w:val="24"/>
              </w:rPr>
              <w:t>其他草地、乡镇村道路</w:t>
            </w:r>
            <w:r>
              <w:rPr>
                <w:color w:val="auto"/>
                <w:spacing w:val="-3"/>
                <w:sz w:val="24"/>
              </w:rPr>
              <w:t>等变为</w:t>
            </w:r>
            <w:r>
              <w:rPr>
                <w:rFonts w:hint="eastAsia"/>
                <w:color w:val="auto"/>
                <w:spacing w:val="-3"/>
                <w:sz w:val="24"/>
              </w:rPr>
              <w:t>建设用地</w:t>
            </w:r>
            <w:r>
              <w:rPr>
                <w:color w:val="auto"/>
                <w:spacing w:val="-3"/>
                <w:sz w:val="24"/>
              </w:rPr>
              <w:t>，</w:t>
            </w:r>
            <w:r>
              <w:rPr>
                <w:rFonts w:hint="eastAsia"/>
                <w:color w:val="auto"/>
                <w:spacing w:val="-3"/>
                <w:sz w:val="24"/>
              </w:rPr>
              <w:t>但</w:t>
            </w:r>
            <w:r>
              <w:rPr>
                <w:color w:val="auto"/>
                <w:spacing w:val="-3"/>
                <w:sz w:val="24"/>
              </w:rPr>
              <w:t>对区域的土地利用造</w:t>
            </w:r>
            <w:r>
              <w:rPr>
                <w:color w:val="auto"/>
                <w:spacing w:val="-6"/>
                <w:sz w:val="24"/>
              </w:rPr>
              <w:t>成</w:t>
            </w:r>
            <w:r>
              <w:rPr>
                <w:rFonts w:hint="eastAsia"/>
                <w:color w:val="auto"/>
                <w:spacing w:val="-6"/>
                <w:sz w:val="24"/>
              </w:rPr>
              <w:t>的</w:t>
            </w:r>
            <w:r>
              <w:rPr>
                <w:color w:val="auto"/>
                <w:spacing w:val="-6"/>
                <w:sz w:val="24"/>
              </w:rPr>
              <w:t>影响</w:t>
            </w:r>
            <w:r>
              <w:rPr>
                <w:rFonts w:hint="eastAsia"/>
                <w:color w:val="auto"/>
                <w:spacing w:val="-6"/>
                <w:sz w:val="24"/>
              </w:rPr>
              <w:t>较小</w:t>
            </w:r>
            <w:r>
              <w:rPr>
                <w:color w:val="auto"/>
                <w:kern w:val="0"/>
                <w:sz w:val="24"/>
              </w:rPr>
              <w:t>。</w:t>
            </w:r>
          </w:p>
          <w:p w14:paraId="47F97EA5">
            <w:pPr>
              <w:adjustRightInd w:val="0"/>
              <w:snapToGrid w:val="0"/>
              <w:spacing w:line="500" w:lineRule="exact"/>
              <w:ind w:firstLine="480" w:firstLineChars="200"/>
              <w:rPr>
                <w:color w:val="auto"/>
                <w:sz w:val="24"/>
              </w:rPr>
            </w:pPr>
            <w:r>
              <w:rPr>
                <w:rFonts w:hint="eastAsia"/>
                <w:color w:val="auto"/>
                <w:sz w:val="24"/>
              </w:rPr>
              <w:t>（</w:t>
            </w:r>
            <w:r>
              <w:rPr>
                <w:color w:val="auto"/>
                <w:sz w:val="24"/>
              </w:rPr>
              <w:t>2）对植物的影响</w:t>
            </w:r>
          </w:p>
          <w:p w14:paraId="2BA143D0">
            <w:pPr>
              <w:adjustRightInd w:val="0"/>
              <w:snapToGrid w:val="0"/>
              <w:spacing w:line="500" w:lineRule="exact"/>
              <w:ind w:firstLine="480" w:firstLineChars="200"/>
              <w:rPr>
                <w:color w:val="auto"/>
                <w:sz w:val="24"/>
              </w:rPr>
            </w:pPr>
            <w:r>
              <w:rPr>
                <w:color w:val="auto"/>
                <w:sz w:val="24"/>
              </w:rPr>
              <w:t>项目建设内容主要包括</w:t>
            </w:r>
            <w:r>
              <w:rPr>
                <w:rFonts w:hint="eastAsia"/>
                <w:color w:val="auto"/>
                <w:sz w:val="24"/>
              </w:rPr>
              <w:t>进、回风立井</w:t>
            </w:r>
            <w:r>
              <w:rPr>
                <w:color w:val="auto"/>
                <w:sz w:val="24"/>
              </w:rPr>
              <w:t>及相关公辅工程，该过程要破坏地表植被。本次土地破坏面积为</w:t>
            </w:r>
            <w:r>
              <w:rPr>
                <w:rFonts w:hint="eastAsia"/>
                <w:color w:val="auto"/>
                <w:sz w:val="24"/>
              </w:rPr>
              <w:t>1.0771</w:t>
            </w:r>
            <w:r>
              <w:rPr>
                <w:color w:val="auto"/>
                <w:sz w:val="24"/>
              </w:rPr>
              <w:t>hm</w:t>
            </w:r>
            <w:r>
              <w:rPr>
                <w:color w:val="auto"/>
                <w:sz w:val="24"/>
                <w:vertAlign w:val="superscript"/>
              </w:rPr>
              <w:t>2</w:t>
            </w:r>
            <w:r>
              <w:rPr>
                <w:color w:val="auto"/>
                <w:sz w:val="24"/>
              </w:rPr>
              <w:t>，项目建设过程中场地开挖和清理及建成后各建筑物及道路的占用，对项目区内的植被将造成不同程度的扰动、占压和毁坏，致使区内原有的植被生态系统不复存在，项目评价范围内无保护野生植物，范围内植被主要为</w:t>
            </w:r>
            <w:r>
              <w:rPr>
                <w:rFonts w:hint="eastAsia"/>
                <w:color w:val="auto"/>
                <w:sz w:val="24"/>
              </w:rPr>
              <w:t>山杏</w:t>
            </w:r>
            <w:r>
              <w:rPr>
                <w:color w:val="auto"/>
                <w:sz w:val="24"/>
              </w:rPr>
              <w:t>、</w:t>
            </w:r>
            <w:r>
              <w:rPr>
                <w:rFonts w:hint="eastAsia"/>
                <w:color w:val="auto"/>
                <w:sz w:val="24"/>
              </w:rPr>
              <w:t>本氏针茅</w:t>
            </w:r>
            <w:r>
              <w:rPr>
                <w:color w:val="auto"/>
                <w:sz w:val="24"/>
              </w:rPr>
              <w:t>等，因此对区域生态环境质量影响较小。</w:t>
            </w:r>
          </w:p>
          <w:p w14:paraId="6FDF1903">
            <w:pPr>
              <w:adjustRightInd w:val="0"/>
              <w:snapToGrid w:val="0"/>
              <w:spacing w:line="500" w:lineRule="exact"/>
              <w:ind w:firstLine="480" w:firstLineChars="200"/>
              <w:rPr>
                <w:color w:val="auto"/>
                <w:sz w:val="24"/>
              </w:rPr>
            </w:pPr>
            <w:r>
              <w:rPr>
                <w:rFonts w:hint="eastAsia"/>
                <w:color w:val="auto"/>
                <w:sz w:val="24"/>
              </w:rPr>
              <w:t>（</w:t>
            </w:r>
            <w:r>
              <w:rPr>
                <w:color w:val="auto"/>
                <w:sz w:val="24"/>
              </w:rPr>
              <w:t>3）对动物的影响</w:t>
            </w:r>
          </w:p>
          <w:p w14:paraId="7460DF28">
            <w:pPr>
              <w:adjustRightInd w:val="0"/>
              <w:snapToGrid w:val="0"/>
              <w:spacing w:line="500" w:lineRule="exact"/>
              <w:ind w:firstLine="480" w:firstLineChars="200"/>
              <w:rPr>
                <w:color w:val="auto"/>
                <w:sz w:val="24"/>
              </w:rPr>
            </w:pPr>
            <w:r>
              <w:rPr>
                <w:color w:val="auto"/>
                <w:sz w:val="24"/>
              </w:rPr>
              <w:t>工程施工过程中，由于施工车辆噪声、人为活动干扰等因素，可能导致场地附近的动物产生回避行为，使其向外围迁移，工程场地范围内出现的频率会降低，但不会对野生动物的总体多样性产生影响。由于施工期较短，而场址相对整个地区来说范围又很小，项目区野生动物稀少，因此，施工期对周围环境的影响较小。</w:t>
            </w:r>
          </w:p>
          <w:p w14:paraId="73F38418">
            <w:pPr>
              <w:adjustRightInd w:val="0"/>
              <w:snapToGrid w:val="0"/>
              <w:spacing w:line="500" w:lineRule="exact"/>
              <w:ind w:firstLine="480" w:firstLineChars="200"/>
              <w:rPr>
                <w:color w:val="auto"/>
                <w:sz w:val="24"/>
              </w:rPr>
            </w:pPr>
            <w:r>
              <w:rPr>
                <w:rFonts w:hint="eastAsia"/>
                <w:color w:val="auto"/>
                <w:sz w:val="24"/>
              </w:rPr>
              <w:t>（</w:t>
            </w:r>
            <w:r>
              <w:rPr>
                <w:color w:val="auto"/>
                <w:sz w:val="24"/>
              </w:rPr>
              <w:t>4）对水土流失的影响</w:t>
            </w:r>
          </w:p>
          <w:p w14:paraId="051C2E60">
            <w:pPr>
              <w:spacing w:line="500" w:lineRule="exact"/>
              <w:ind w:firstLine="480" w:firstLineChars="200"/>
              <w:rPr>
                <w:color w:val="auto"/>
                <w:sz w:val="24"/>
              </w:rPr>
            </w:pPr>
            <w:r>
              <w:rPr>
                <w:color w:val="auto"/>
                <w:sz w:val="24"/>
                <w:highlight w:val="none"/>
              </w:rPr>
              <w:t>本项目水土流失主要</w:t>
            </w:r>
            <w:r>
              <w:rPr>
                <w:rFonts w:hint="eastAsia"/>
                <w:color w:val="auto"/>
                <w:sz w:val="24"/>
                <w:highlight w:val="none"/>
                <w:lang w:val="en-US" w:eastAsia="zh-CN"/>
              </w:rPr>
              <w:t>是</w:t>
            </w:r>
            <w:r>
              <w:rPr>
                <w:color w:val="auto"/>
                <w:sz w:val="24"/>
                <w:highlight w:val="none"/>
              </w:rPr>
              <w:t>由于</w:t>
            </w:r>
            <w:r>
              <w:rPr>
                <w:rFonts w:hint="eastAsia"/>
                <w:color w:val="auto"/>
                <w:sz w:val="24"/>
                <w:highlight w:val="none"/>
                <w:lang w:val="en-US" w:eastAsia="zh-CN"/>
              </w:rPr>
              <w:t>施工过程中</w:t>
            </w:r>
            <w:r>
              <w:rPr>
                <w:color w:val="auto"/>
                <w:sz w:val="24"/>
                <w:highlight w:val="none"/>
              </w:rPr>
              <w:t>施工扰动造成的</w:t>
            </w:r>
            <w:r>
              <w:rPr>
                <w:color w:val="auto"/>
                <w:sz w:val="24"/>
              </w:rPr>
              <w:t>，项目施工期间开挖和扰动地表，致使地表裸露、植被稀疏、土体松散，土壤抗蚀能力降低，在大风季节产生大量以风力侵蚀为主的水土流失，在雨季产生以水力侵蚀为主的水土流失。因此，本项目建设初期造成的水土流失会对</w:t>
            </w:r>
            <w:r>
              <w:rPr>
                <w:rFonts w:hint="eastAsia"/>
                <w:color w:val="auto"/>
                <w:sz w:val="24"/>
              </w:rPr>
              <w:t>项目区</w:t>
            </w:r>
            <w:r>
              <w:rPr>
                <w:color w:val="auto"/>
                <w:sz w:val="24"/>
              </w:rPr>
              <w:t>及周边产生一定的影响。</w:t>
            </w:r>
          </w:p>
          <w:p w14:paraId="221B67C3">
            <w:pPr>
              <w:spacing w:line="500" w:lineRule="exact"/>
              <w:ind w:firstLine="472" w:firstLineChars="200"/>
              <w:rPr>
                <w:color w:val="auto"/>
                <w:sz w:val="24"/>
              </w:rPr>
            </w:pPr>
            <w:r>
              <w:rPr>
                <w:color w:val="auto"/>
                <w:spacing w:val="-2"/>
                <w:sz w:val="24"/>
              </w:rPr>
              <w:t>施工时应特别注意减少扰动面积，并采取临时措施对裸土的防护，</w:t>
            </w:r>
            <w:r>
              <w:rPr>
                <w:color w:val="auto"/>
                <w:sz w:val="24"/>
              </w:rPr>
              <w:t>合理选择施工季节，避免在大风多雨季节进行施工，</w:t>
            </w:r>
            <w:r>
              <w:rPr>
                <w:color w:val="auto"/>
                <w:spacing w:val="-2"/>
                <w:sz w:val="24"/>
              </w:rPr>
              <w:t>减少水土流失的产生</w:t>
            </w:r>
            <w:r>
              <w:rPr>
                <w:color w:val="auto"/>
                <w:sz w:val="24"/>
              </w:rPr>
              <w:t>。</w:t>
            </w:r>
          </w:p>
          <w:p w14:paraId="3FFF6232">
            <w:pPr>
              <w:spacing w:line="500" w:lineRule="exact"/>
              <w:ind w:firstLine="482" w:firstLineChars="200"/>
              <w:rPr>
                <w:b/>
                <w:bCs/>
                <w:color w:val="auto"/>
                <w:sz w:val="24"/>
              </w:rPr>
            </w:pPr>
            <w:r>
              <w:rPr>
                <w:rFonts w:hint="eastAsia"/>
                <w:b/>
                <w:bCs/>
                <w:color w:val="auto"/>
                <w:sz w:val="24"/>
              </w:rPr>
              <w:t>2</w:t>
            </w:r>
            <w:r>
              <w:rPr>
                <w:b/>
                <w:bCs/>
                <w:color w:val="auto"/>
                <w:sz w:val="24"/>
              </w:rPr>
              <w:t>、大气环境影响分析</w:t>
            </w:r>
          </w:p>
          <w:p w14:paraId="3E1D7E37">
            <w:pPr>
              <w:adjustRightInd w:val="0"/>
              <w:snapToGrid w:val="0"/>
              <w:spacing w:line="500" w:lineRule="exact"/>
              <w:ind w:firstLine="480" w:firstLineChars="200"/>
              <w:rPr>
                <w:color w:val="auto"/>
                <w:sz w:val="24"/>
              </w:rPr>
            </w:pPr>
            <w:r>
              <w:rPr>
                <w:color w:val="auto"/>
                <w:sz w:val="24"/>
              </w:rPr>
              <w:t>本项目施工废气包括施工扬尘、施工机械与运输车辆尾气等。</w:t>
            </w:r>
          </w:p>
          <w:p w14:paraId="49D795A4">
            <w:pPr>
              <w:adjustRightInd w:val="0"/>
              <w:snapToGrid w:val="0"/>
              <w:spacing w:line="500" w:lineRule="exact"/>
              <w:ind w:firstLine="480" w:firstLineChars="200"/>
              <w:rPr>
                <w:color w:val="auto"/>
                <w:sz w:val="24"/>
              </w:rPr>
            </w:pPr>
            <w:r>
              <w:rPr>
                <w:rFonts w:hint="eastAsia"/>
                <w:color w:val="auto"/>
                <w:sz w:val="24"/>
              </w:rPr>
              <w:t>（</w:t>
            </w:r>
            <w:r>
              <w:rPr>
                <w:color w:val="auto"/>
                <w:sz w:val="24"/>
              </w:rPr>
              <w:t>1）施工扬尘</w:t>
            </w:r>
          </w:p>
          <w:p w14:paraId="67C5E64B">
            <w:pPr>
              <w:adjustRightInd w:val="0"/>
              <w:snapToGrid w:val="0"/>
              <w:spacing w:line="500" w:lineRule="exact"/>
              <w:ind w:firstLine="480" w:firstLineChars="200"/>
              <w:rPr>
                <w:color w:val="auto"/>
                <w:sz w:val="24"/>
              </w:rPr>
            </w:pPr>
            <w:r>
              <w:rPr>
                <w:color w:val="auto"/>
                <w:sz w:val="24"/>
              </w:rPr>
              <w:t>施工扬尘主要来自：①土石方扬尘；②材料堆放等产生的扬尘；③运输道路扬尘</w:t>
            </w:r>
            <w:r>
              <w:rPr>
                <w:rFonts w:hint="eastAsia"/>
                <w:color w:val="auto"/>
                <w:sz w:val="24"/>
                <w:lang w:eastAsia="zh-CN"/>
              </w:rPr>
              <w:t>；</w:t>
            </w:r>
            <w:r>
              <w:rPr>
                <w:rFonts w:hint="eastAsia"/>
                <w:color w:val="auto"/>
                <w:sz w:val="24"/>
              </w:rPr>
              <w:t>④</w:t>
            </w:r>
            <w:r>
              <w:rPr>
                <w:rFonts w:hint="eastAsia"/>
                <w:color w:val="auto"/>
                <w:sz w:val="24"/>
                <w:lang w:val="en-US" w:eastAsia="zh-CN"/>
              </w:rPr>
              <w:t>井巷施工产生的煤尘。</w:t>
            </w:r>
            <w:r>
              <w:rPr>
                <w:color w:val="auto"/>
                <w:sz w:val="24"/>
              </w:rPr>
              <w:t>施工废气污染物影响距离</w:t>
            </w:r>
            <w:r>
              <w:rPr>
                <w:rFonts w:hint="eastAsia"/>
                <w:color w:val="auto"/>
                <w:sz w:val="24"/>
              </w:rPr>
              <w:t>一般</w:t>
            </w:r>
            <w:r>
              <w:rPr>
                <w:color w:val="auto"/>
                <w:sz w:val="24"/>
              </w:rPr>
              <w:t>为施工场所下风向100m左右。本环评要求施工单位做好抑尘工作，确保不会</w:t>
            </w:r>
            <w:r>
              <w:rPr>
                <w:rFonts w:hint="eastAsia"/>
                <w:color w:val="auto"/>
                <w:sz w:val="24"/>
              </w:rPr>
              <w:t>对</w:t>
            </w:r>
            <w:r>
              <w:rPr>
                <w:color w:val="auto"/>
                <w:sz w:val="24"/>
              </w:rPr>
              <w:t>周围居民造成影响。总之，施工期的影响是局部的、短期的，随着工程施工结束而消失，对敏感点的大气环境影响较小。</w:t>
            </w:r>
          </w:p>
          <w:p w14:paraId="51056E39">
            <w:pPr>
              <w:adjustRightInd w:val="0"/>
              <w:snapToGrid w:val="0"/>
              <w:spacing w:line="500" w:lineRule="exact"/>
              <w:ind w:firstLine="480" w:firstLineChars="200"/>
              <w:rPr>
                <w:color w:val="auto"/>
                <w:sz w:val="24"/>
              </w:rPr>
            </w:pPr>
            <w:r>
              <w:rPr>
                <w:color w:val="auto"/>
                <w:sz w:val="24"/>
              </w:rPr>
              <w:t>①土石方扬尘</w:t>
            </w:r>
          </w:p>
          <w:p w14:paraId="0964AB92">
            <w:pPr>
              <w:adjustRightInd w:val="0"/>
              <w:snapToGrid w:val="0"/>
              <w:spacing w:line="500" w:lineRule="exact"/>
              <w:ind w:firstLine="480" w:firstLineChars="200"/>
              <w:rPr>
                <w:color w:val="auto"/>
                <w:sz w:val="24"/>
              </w:rPr>
            </w:pPr>
            <w:r>
              <w:rPr>
                <w:color w:val="auto"/>
                <w:sz w:val="24"/>
              </w:rPr>
              <w:t>项目施工期间建筑基础开挖、填垫整地、临建工程修建等过程会形成裸露地面，会产生扬尘，扬尘量大小与施工现场条件、施工管理水平、机械化程度高低及施工季节、时间长短，以及土质结构、天气条件等诸多因素关系密切。</w:t>
            </w:r>
          </w:p>
          <w:p w14:paraId="46AC91B1">
            <w:pPr>
              <w:adjustRightInd w:val="0"/>
              <w:snapToGrid w:val="0"/>
              <w:spacing w:line="500" w:lineRule="exact"/>
              <w:ind w:firstLine="480" w:firstLineChars="200"/>
              <w:rPr>
                <w:color w:val="auto"/>
                <w:sz w:val="24"/>
              </w:rPr>
            </w:pPr>
            <w:r>
              <w:rPr>
                <w:color w:val="auto"/>
                <w:sz w:val="24"/>
              </w:rPr>
              <w:t xml:space="preserve">②施工材料堆放等产生的扬尘 </w:t>
            </w:r>
          </w:p>
          <w:p w14:paraId="235BAA90">
            <w:pPr>
              <w:adjustRightInd w:val="0"/>
              <w:snapToGrid w:val="0"/>
              <w:spacing w:line="500" w:lineRule="exact"/>
              <w:ind w:firstLine="480" w:firstLineChars="200"/>
              <w:rPr>
                <w:color w:val="auto"/>
                <w:sz w:val="24"/>
              </w:rPr>
            </w:pPr>
            <w:r>
              <w:rPr>
                <w:color w:val="auto"/>
                <w:sz w:val="24"/>
              </w:rPr>
              <w:t>施工场地建筑物料堆放也是造成扬尘污染</w:t>
            </w:r>
            <w:r>
              <w:rPr>
                <w:rFonts w:hint="eastAsia"/>
                <w:color w:val="auto"/>
                <w:sz w:val="24"/>
              </w:rPr>
              <w:t>的</w:t>
            </w:r>
            <w:r>
              <w:rPr>
                <w:color w:val="auto"/>
                <w:sz w:val="24"/>
              </w:rPr>
              <w:t>主要原因之一。施工中若环境保护措施不够完善，进行粗放式施工，易产生建筑</w:t>
            </w:r>
            <w:r>
              <w:rPr>
                <w:rFonts w:hint="eastAsia"/>
                <w:color w:val="auto"/>
                <w:sz w:val="24"/>
                <w:lang w:val="en-US" w:eastAsia="zh-CN"/>
              </w:rPr>
              <w:t>扬</w:t>
            </w:r>
            <w:r>
              <w:rPr>
                <w:color w:val="auto"/>
                <w:sz w:val="24"/>
              </w:rPr>
              <w:t>尘。起尘风速与粒径和含水率有关，减少露天堆放和保证一定的含水率可有效减少施工物料扬尘的影响。</w:t>
            </w:r>
          </w:p>
          <w:p w14:paraId="6D7C22BB">
            <w:pPr>
              <w:spacing w:line="500" w:lineRule="exact"/>
              <w:ind w:firstLine="480" w:firstLineChars="200"/>
              <w:rPr>
                <w:color w:val="auto"/>
                <w:sz w:val="24"/>
              </w:rPr>
            </w:pPr>
            <w:r>
              <w:rPr>
                <w:color w:val="auto"/>
                <w:sz w:val="24"/>
              </w:rPr>
              <w:t>本项目建筑材料的搬运、物料堆放容易产生扬尘。在气候干燥且有风的情况下，会产生大量的扬尘，扬尘量可按堆场扬尘的经验公式计算：</w:t>
            </w:r>
          </w:p>
          <w:p w14:paraId="24F293A1">
            <w:pPr>
              <w:spacing w:line="500" w:lineRule="exact"/>
              <w:ind w:firstLine="1920" w:firstLineChars="800"/>
              <w:rPr>
                <w:iCs/>
                <w:color w:val="auto"/>
                <w:sz w:val="24"/>
                <w:vertAlign w:val="superscript"/>
              </w:rPr>
            </w:pPr>
            <w:r>
              <w:rPr>
                <w:iCs/>
                <w:color w:val="auto"/>
                <w:sz w:val="24"/>
              </w:rPr>
              <w:t>Q=2.1</w:t>
            </w:r>
            <w:r>
              <w:rPr>
                <w:rFonts w:hint="eastAsia"/>
                <w:iCs/>
                <w:color w:val="auto"/>
                <w:sz w:val="24"/>
              </w:rPr>
              <w:t>（</w:t>
            </w:r>
            <w:r>
              <w:rPr>
                <w:iCs/>
                <w:color w:val="auto"/>
                <w:sz w:val="24"/>
              </w:rPr>
              <w:t>V</w:t>
            </w:r>
            <w:r>
              <w:rPr>
                <w:iCs/>
                <w:color w:val="auto"/>
                <w:sz w:val="24"/>
                <w:vertAlign w:val="subscript"/>
              </w:rPr>
              <w:t>50</w:t>
            </w:r>
            <w:r>
              <w:rPr>
                <w:rFonts w:hint="eastAsia"/>
                <w:iCs/>
                <w:color w:val="auto"/>
                <w:sz w:val="24"/>
              </w:rPr>
              <w:t>-</w:t>
            </w:r>
            <w:r>
              <w:rPr>
                <w:iCs/>
                <w:color w:val="auto"/>
                <w:sz w:val="24"/>
              </w:rPr>
              <w:t>V</w:t>
            </w:r>
            <w:r>
              <w:rPr>
                <w:iCs/>
                <w:color w:val="auto"/>
                <w:sz w:val="24"/>
                <w:vertAlign w:val="subscript"/>
              </w:rPr>
              <w:t>0</w:t>
            </w:r>
            <w:r>
              <w:rPr>
                <w:iCs/>
                <w:color w:val="auto"/>
                <w:sz w:val="24"/>
              </w:rPr>
              <w:t>）</w:t>
            </w:r>
            <w:r>
              <w:rPr>
                <w:iCs/>
                <w:color w:val="auto"/>
                <w:sz w:val="24"/>
                <w:vertAlign w:val="superscript"/>
              </w:rPr>
              <w:t>3</w:t>
            </w:r>
            <w:r>
              <w:rPr>
                <w:iCs/>
                <w:color w:val="auto"/>
                <w:sz w:val="24"/>
              </w:rPr>
              <w:t>e</w:t>
            </w:r>
            <w:r>
              <w:rPr>
                <w:rFonts w:hint="eastAsia"/>
                <w:iCs/>
                <w:color w:val="auto"/>
                <w:sz w:val="24"/>
                <w:vertAlign w:val="superscript"/>
              </w:rPr>
              <w:t>-</w:t>
            </w:r>
            <w:r>
              <w:rPr>
                <w:iCs/>
                <w:color w:val="auto"/>
                <w:sz w:val="24"/>
                <w:vertAlign w:val="superscript"/>
              </w:rPr>
              <w:t>1.023W</w:t>
            </w:r>
          </w:p>
          <w:p w14:paraId="48273B88">
            <w:pPr>
              <w:spacing w:line="500" w:lineRule="exact"/>
              <w:ind w:firstLine="480" w:firstLineChars="200"/>
              <w:rPr>
                <w:color w:val="auto"/>
                <w:sz w:val="24"/>
              </w:rPr>
            </w:pPr>
            <w:r>
              <w:rPr>
                <w:color w:val="auto"/>
                <w:sz w:val="24"/>
              </w:rPr>
              <w:t>式中：Q</w:t>
            </w:r>
            <w:r>
              <w:rPr>
                <w:rFonts w:hint="eastAsia"/>
                <w:color w:val="auto"/>
                <w:sz w:val="24"/>
              </w:rPr>
              <w:t>--</w:t>
            </w:r>
            <w:r>
              <w:rPr>
                <w:color w:val="auto"/>
                <w:sz w:val="24"/>
              </w:rPr>
              <w:t>起尘量，kg/t·a；</w:t>
            </w:r>
          </w:p>
          <w:p w14:paraId="5651D1FA">
            <w:pPr>
              <w:spacing w:line="500" w:lineRule="exact"/>
              <w:ind w:firstLine="1200" w:firstLineChars="500"/>
              <w:rPr>
                <w:color w:val="auto"/>
                <w:sz w:val="24"/>
              </w:rPr>
            </w:pPr>
            <w:r>
              <w:rPr>
                <w:color w:val="auto"/>
                <w:sz w:val="24"/>
              </w:rPr>
              <w:t>V</w:t>
            </w:r>
            <w:r>
              <w:rPr>
                <w:rFonts w:hint="eastAsia"/>
                <w:color w:val="auto"/>
                <w:sz w:val="24"/>
                <w:vertAlign w:val="subscript"/>
              </w:rPr>
              <w:t>50</w:t>
            </w:r>
            <w:r>
              <w:rPr>
                <w:rFonts w:hint="eastAsia"/>
                <w:color w:val="auto"/>
                <w:sz w:val="24"/>
              </w:rPr>
              <w:t>--</w:t>
            </w:r>
            <w:r>
              <w:rPr>
                <w:color w:val="auto"/>
                <w:sz w:val="24"/>
              </w:rPr>
              <w:t>距地面50m处风速，m/s；</w:t>
            </w:r>
          </w:p>
          <w:p w14:paraId="008885E7">
            <w:pPr>
              <w:spacing w:line="500" w:lineRule="exact"/>
              <w:ind w:firstLine="1200" w:firstLineChars="500"/>
              <w:rPr>
                <w:color w:val="auto"/>
                <w:sz w:val="24"/>
              </w:rPr>
            </w:pPr>
            <w:r>
              <w:rPr>
                <w:color w:val="auto"/>
                <w:sz w:val="24"/>
              </w:rPr>
              <w:t>V</w:t>
            </w:r>
            <w:r>
              <w:rPr>
                <w:rFonts w:hint="eastAsia"/>
                <w:color w:val="auto"/>
                <w:sz w:val="24"/>
                <w:vertAlign w:val="subscript"/>
                <w:lang w:val="en-US" w:eastAsia="zh-CN"/>
              </w:rPr>
              <w:t>0</w:t>
            </w:r>
            <w:r>
              <w:rPr>
                <w:rFonts w:hint="eastAsia"/>
                <w:color w:val="auto"/>
                <w:sz w:val="24"/>
              </w:rPr>
              <w:t>--</w:t>
            </w:r>
            <w:r>
              <w:rPr>
                <w:color w:val="auto"/>
                <w:sz w:val="24"/>
              </w:rPr>
              <w:t>起尘风速，m/s；</w:t>
            </w:r>
          </w:p>
          <w:p w14:paraId="5E40E107">
            <w:pPr>
              <w:spacing w:line="500" w:lineRule="exact"/>
              <w:ind w:firstLine="1200" w:firstLineChars="500"/>
              <w:rPr>
                <w:color w:val="auto"/>
                <w:sz w:val="24"/>
              </w:rPr>
            </w:pPr>
            <w:r>
              <w:rPr>
                <w:color w:val="auto"/>
                <w:sz w:val="24"/>
              </w:rPr>
              <w:t>W</w:t>
            </w:r>
            <w:r>
              <w:rPr>
                <w:rFonts w:hint="eastAsia"/>
                <w:color w:val="auto"/>
                <w:sz w:val="24"/>
              </w:rPr>
              <w:t>--</w:t>
            </w:r>
            <w:r>
              <w:rPr>
                <w:color w:val="auto"/>
                <w:sz w:val="24"/>
              </w:rPr>
              <w:t>尘粒的含水量，%。</w:t>
            </w:r>
          </w:p>
          <w:p w14:paraId="66BA8351">
            <w:pPr>
              <w:spacing w:line="500" w:lineRule="exact"/>
              <w:ind w:firstLine="480" w:firstLineChars="200"/>
              <w:rPr>
                <w:color w:val="auto"/>
                <w:sz w:val="24"/>
              </w:rPr>
            </w:pPr>
            <w:r>
              <w:rPr>
                <w:color w:val="auto"/>
                <w:sz w:val="24"/>
              </w:rPr>
              <w:t>起尘风速与尘粒和含水量有关，因此，减少露天堆放、保证一定的含水量以及减少裸露地面是减少风力起尘的有效手段。扬尘在空气</w:t>
            </w:r>
            <w:r>
              <w:rPr>
                <w:rFonts w:hint="eastAsia"/>
                <w:color w:val="auto"/>
                <w:sz w:val="24"/>
              </w:rPr>
              <w:t>中</w:t>
            </w:r>
            <w:r>
              <w:rPr>
                <w:color w:val="auto"/>
                <w:sz w:val="24"/>
              </w:rPr>
              <w:t>的扩散</w:t>
            </w:r>
            <w:r>
              <w:rPr>
                <w:rFonts w:hint="eastAsia"/>
                <w:color w:val="auto"/>
                <w:sz w:val="24"/>
              </w:rPr>
              <w:t>和</w:t>
            </w:r>
            <w:r>
              <w:rPr>
                <w:color w:val="auto"/>
                <w:sz w:val="24"/>
              </w:rPr>
              <w:t>稀释与风速等气象条件有关，也与扬尘本身的沉降速度有关。不同尘粒的沉降速度见表</w:t>
            </w:r>
            <w:r>
              <w:rPr>
                <w:rFonts w:hint="eastAsia"/>
                <w:color w:val="auto"/>
                <w:sz w:val="24"/>
              </w:rPr>
              <w:t>4-1</w:t>
            </w:r>
            <w:r>
              <w:rPr>
                <w:color w:val="auto"/>
                <w:sz w:val="24"/>
              </w:rPr>
              <w:t>。</w:t>
            </w:r>
          </w:p>
          <w:p w14:paraId="1926524C">
            <w:pPr>
              <w:pStyle w:val="5"/>
              <w:spacing w:before="0" w:after="0" w:line="500" w:lineRule="exact"/>
              <w:ind w:right="0"/>
              <w:jc w:val="center"/>
              <w:rPr>
                <w:b/>
                <w:bCs/>
                <w:color w:val="auto"/>
                <w:sz w:val="24"/>
                <w:szCs w:val="24"/>
              </w:rPr>
            </w:pPr>
            <w:r>
              <w:rPr>
                <w:b/>
                <w:bCs/>
                <w:color w:val="auto"/>
                <w:sz w:val="24"/>
                <w:szCs w:val="24"/>
              </w:rPr>
              <w:t>表4</w:t>
            </w:r>
            <w:r>
              <w:rPr>
                <w:rFonts w:hint="eastAsia"/>
                <w:b/>
                <w:bCs/>
                <w:color w:val="auto"/>
                <w:sz w:val="24"/>
                <w:szCs w:val="24"/>
              </w:rPr>
              <w:t>-</w:t>
            </w:r>
            <w:r>
              <w:rPr>
                <w:b/>
                <w:bCs/>
                <w:color w:val="auto"/>
                <w:sz w:val="24"/>
                <w:szCs w:val="24"/>
              </w:rPr>
              <w:t>1</w:t>
            </w:r>
            <w:r>
              <w:rPr>
                <w:rFonts w:hint="eastAsia"/>
                <w:b/>
                <w:bCs/>
                <w:color w:val="auto"/>
                <w:sz w:val="24"/>
                <w:szCs w:val="24"/>
              </w:rPr>
              <w:t xml:space="preserve">     </w:t>
            </w:r>
            <w:r>
              <w:rPr>
                <w:b/>
                <w:bCs/>
                <w:color w:val="auto"/>
                <w:sz w:val="24"/>
                <w:szCs w:val="24"/>
              </w:rPr>
              <w:t>不同粒径的沉降速度</w:t>
            </w:r>
          </w:p>
          <w:tbl>
            <w:tblPr>
              <w:tblStyle w:val="3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715"/>
              <w:gridCol w:w="1044"/>
              <w:gridCol w:w="917"/>
              <w:gridCol w:w="927"/>
              <w:gridCol w:w="1084"/>
              <w:gridCol w:w="967"/>
              <w:gridCol w:w="917"/>
              <w:gridCol w:w="744"/>
            </w:tblGrid>
            <w:tr w14:paraId="32FFB7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031" w:type="pct"/>
                  <w:tcBorders>
                    <w:tl2br w:val="nil"/>
                    <w:tr2bl w:val="nil"/>
                  </w:tcBorders>
                  <w:vAlign w:val="center"/>
                </w:tcPr>
                <w:p w14:paraId="07211C1B">
                  <w:pPr>
                    <w:adjustRightInd w:val="0"/>
                    <w:snapToGrid w:val="0"/>
                    <w:spacing w:line="320" w:lineRule="exact"/>
                    <w:jc w:val="center"/>
                    <w:rPr>
                      <w:color w:val="auto"/>
                      <w:szCs w:val="21"/>
                    </w:rPr>
                  </w:pPr>
                  <w:r>
                    <w:rPr>
                      <w:color w:val="auto"/>
                      <w:szCs w:val="21"/>
                    </w:rPr>
                    <w:t>粒径</w:t>
                  </w:r>
                  <w:r>
                    <w:rPr>
                      <w:rFonts w:hint="eastAsia"/>
                      <w:color w:val="auto"/>
                      <w:szCs w:val="21"/>
                    </w:rPr>
                    <w:t>（</w:t>
                  </w:r>
                  <w:r>
                    <w:rPr>
                      <w:color w:val="auto"/>
                      <w:szCs w:val="21"/>
                    </w:rPr>
                    <w:t>μm）</w:t>
                  </w:r>
                </w:p>
              </w:tc>
              <w:tc>
                <w:tcPr>
                  <w:tcW w:w="627" w:type="pct"/>
                  <w:tcBorders>
                    <w:tl2br w:val="nil"/>
                    <w:tr2bl w:val="nil"/>
                  </w:tcBorders>
                  <w:vAlign w:val="center"/>
                </w:tcPr>
                <w:p w14:paraId="5D54AB67">
                  <w:pPr>
                    <w:adjustRightInd w:val="0"/>
                    <w:snapToGrid w:val="0"/>
                    <w:spacing w:line="320" w:lineRule="exact"/>
                    <w:jc w:val="center"/>
                    <w:rPr>
                      <w:color w:val="auto"/>
                      <w:szCs w:val="21"/>
                    </w:rPr>
                  </w:pPr>
                  <w:r>
                    <w:rPr>
                      <w:color w:val="auto"/>
                      <w:szCs w:val="21"/>
                    </w:rPr>
                    <w:t>10</w:t>
                  </w:r>
                </w:p>
              </w:tc>
              <w:tc>
                <w:tcPr>
                  <w:tcW w:w="551" w:type="pct"/>
                  <w:tcBorders>
                    <w:tl2br w:val="nil"/>
                    <w:tr2bl w:val="nil"/>
                  </w:tcBorders>
                  <w:vAlign w:val="center"/>
                </w:tcPr>
                <w:p w14:paraId="019A18CB">
                  <w:pPr>
                    <w:adjustRightInd w:val="0"/>
                    <w:snapToGrid w:val="0"/>
                    <w:spacing w:line="320" w:lineRule="exact"/>
                    <w:jc w:val="center"/>
                    <w:rPr>
                      <w:color w:val="auto"/>
                      <w:szCs w:val="21"/>
                    </w:rPr>
                  </w:pPr>
                  <w:r>
                    <w:rPr>
                      <w:color w:val="auto"/>
                      <w:szCs w:val="21"/>
                    </w:rPr>
                    <w:t>20</w:t>
                  </w:r>
                </w:p>
              </w:tc>
              <w:tc>
                <w:tcPr>
                  <w:tcW w:w="557" w:type="pct"/>
                  <w:tcBorders>
                    <w:tl2br w:val="nil"/>
                    <w:tr2bl w:val="nil"/>
                  </w:tcBorders>
                  <w:vAlign w:val="center"/>
                </w:tcPr>
                <w:p w14:paraId="58C3AA42">
                  <w:pPr>
                    <w:adjustRightInd w:val="0"/>
                    <w:snapToGrid w:val="0"/>
                    <w:spacing w:line="320" w:lineRule="exact"/>
                    <w:jc w:val="center"/>
                    <w:rPr>
                      <w:color w:val="auto"/>
                      <w:szCs w:val="21"/>
                    </w:rPr>
                  </w:pPr>
                  <w:r>
                    <w:rPr>
                      <w:color w:val="auto"/>
                      <w:szCs w:val="21"/>
                    </w:rPr>
                    <w:t>30</w:t>
                  </w:r>
                </w:p>
              </w:tc>
              <w:tc>
                <w:tcPr>
                  <w:tcW w:w="651" w:type="pct"/>
                  <w:tcBorders>
                    <w:tl2br w:val="nil"/>
                    <w:tr2bl w:val="nil"/>
                  </w:tcBorders>
                  <w:vAlign w:val="center"/>
                </w:tcPr>
                <w:p w14:paraId="2CC6DEC5">
                  <w:pPr>
                    <w:adjustRightInd w:val="0"/>
                    <w:snapToGrid w:val="0"/>
                    <w:spacing w:line="320" w:lineRule="exact"/>
                    <w:jc w:val="center"/>
                    <w:rPr>
                      <w:color w:val="auto"/>
                      <w:szCs w:val="21"/>
                    </w:rPr>
                  </w:pPr>
                  <w:r>
                    <w:rPr>
                      <w:color w:val="auto"/>
                      <w:szCs w:val="21"/>
                    </w:rPr>
                    <w:t>40</w:t>
                  </w:r>
                </w:p>
              </w:tc>
              <w:tc>
                <w:tcPr>
                  <w:tcW w:w="581" w:type="pct"/>
                  <w:tcBorders>
                    <w:tl2br w:val="nil"/>
                    <w:tr2bl w:val="nil"/>
                  </w:tcBorders>
                  <w:vAlign w:val="center"/>
                </w:tcPr>
                <w:p w14:paraId="79E1E0D3">
                  <w:pPr>
                    <w:adjustRightInd w:val="0"/>
                    <w:snapToGrid w:val="0"/>
                    <w:spacing w:line="320" w:lineRule="exact"/>
                    <w:jc w:val="center"/>
                    <w:rPr>
                      <w:color w:val="auto"/>
                      <w:szCs w:val="21"/>
                    </w:rPr>
                  </w:pPr>
                  <w:r>
                    <w:rPr>
                      <w:color w:val="auto"/>
                      <w:szCs w:val="21"/>
                    </w:rPr>
                    <w:t>50</w:t>
                  </w:r>
                </w:p>
              </w:tc>
              <w:tc>
                <w:tcPr>
                  <w:tcW w:w="551" w:type="pct"/>
                  <w:tcBorders>
                    <w:tl2br w:val="nil"/>
                    <w:tr2bl w:val="nil"/>
                  </w:tcBorders>
                  <w:vAlign w:val="center"/>
                </w:tcPr>
                <w:p w14:paraId="05371B5E">
                  <w:pPr>
                    <w:adjustRightInd w:val="0"/>
                    <w:snapToGrid w:val="0"/>
                    <w:spacing w:line="320" w:lineRule="exact"/>
                    <w:jc w:val="center"/>
                    <w:rPr>
                      <w:color w:val="auto"/>
                      <w:szCs w:val="21"/>
                    </w:rPr>
                  </w:pPr>
                  <w:r>
                    <w:rPr>
                      <w:color w:val="auto"/>
                      <w:szCs w:val="21"/>
                    </w:rPr>
                    <w:t>60</w:t>
                  </w:r>
                </w:p>
              </w:tc>
              <w:tc>
                <w:tcPr>
                  <w:tcW w:w="447" w:type="pct"/>
                  <w:tcBorders>
                    <w:tl2br w:val="nil"/>
                    <w:tr2bl w:val="nil"/>
                  </w:tcBorders>
                  <w:vAlign w:val="center"/>
                </w:tcPr>
                <w:p w14:paraId="472AC04D">
                  <w:pPr>
                    <w:adjustRightInd w:val="0"/>
                    <w:snapToGrid w:val="0"/>
                    <w:spacing w:line="320" w:lineRule="exact"/>
                    <w:jc w:val="center"/>
                    <w:rPr>
                      <w:color w:val="auto"/>
                      <w:szCs w:val="21"/>
                    </w:rPr>
                  </w:pPr>
                  <w:r>
                    <w:rPr>
                      <w:color w:val="auto"/>
                      <w:szCs w:val="21"/>
                    </w:rPr>
                    <w:t>70</w:t>
                  </w:r>
                </w:p>
              </w:tc>
            </w:tr>
            <w:tr w14:paraId="5B367F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031" w:type="pct"/>
                  <w:tcBorders>
                    <w:tl2br w:val="nil"/>
                    <w:tr2bl w:val="nil"/>
                  </w:tcBorders>
                  <w:vAlign w:val="center"/>
                </w:tcPr>
                <w:p w14:paraId="391478EA">
                  <w:pPr>
                    <w:adjustRightInd w:val="0"/>
                    <w:snapToGrid w:val="0"/>
                    <w:spacing w:line="320" w:lineRule="exact"/>
                    <w:jc w:val="center"/>
                    <w:rPr>
                      <w:color w:val="auto"/>
                      <w:szCs w:val="21"/>
                    </w:rPr>
                  </w:pPr>
                  <w:r>
                    <w:rPr>
                      <w:color w:val="auto"/>
                      <w:szCs w:val="21"/>
                    </w:rPr>
                    <w:t>沉降速度</w:t>
                  </w:r>
                  <w:r>
                    <w:rPr>
                      <w:rFonts w:hint="eastAsia"/>
                      <w:color w:val="auto"/>
                      <w:szCs w:val="21"/>
                    </w:rPr>
                    <w:t>（</w:t>
                  </w:r>
                  <w:r>
                    <w:rPr>
                      <w:color w:val="auto"/>
                      <w:szCs w:val="21"/>
                    </w:rPr>
                    <w:t>m/s）</w:t>
                  </w:r>
                </w:p>
              </w:tc>
              <w:tc>
                <w:tcPr>
                  <w:tcW w:w="627" w:type="pct"/>
                  <w:tcBorders>
                    <w:tl2br w:val="nil"/>
                    <w:tr2bl w:val="nil"/>
                  </w:tcBorders>
                  <w:vAlign w:val="center"/>
                </w:tcPr>
                <w:p w14:paraId="4742F700">
                  <w:pPr>
                    <w:adjustRightInd w:val="0"/>
                    <w:snapToGrid w:val="0"/>
                    <w:spacing w:line="320" w:lineRule="exact"/>
                    <w:jc w:val="center"/>
                    <w:rPr>
                      <w:color w:val="auto"/>
                      <w:szCs w:val="21"/>
                    </w:rPr>
                  </w:pPr>
                  <w:r>
                    <w:rPr>
                      <w:color w:val="auto"/>
                      <w:szCs w:val="21"/>
                    </w:rPr>
                    <w:t>0.003</w:t>
                  </w:r>
                </w:p>
              </w:tc>
              <w:tc>
                <w:tcPr>
                  <w:tcW w:w="551" w:type="pct"/>
                  <w:tcBorders>
                    <w:tl2br w:val="nil"/>
                    <w:tr2bl w:val="nil"/>
                  </w:tcBorders>
                  <w:vAlign w:val="center"/>
                </w:tcPr>
                <w:p w14:paraId="2F59EC47">
                  <w:pPr>
                    <w:adjustRightInd w:val="0"/>
                    <w:snapToGrid w:val="0"/>
                    <w:spacing w:line="320" w:lineRule="exact"/>
                    <w:jc w:val="center"/>
                    <w:rPr>
                      <w:color w:val="auto"/>
                      <w:szCs w:val="21"/>
                    </w:rPr>
                  </w:pPr>
                  <w:r>
                    <w:rPr>
                      <w:color w:val="auto"/>
                      <w:szCs w:val="21"/>
                    </w:rPr>
                    <w:t>0.012</w:t>
                  </w:r>
                </w:p>
              </w:tc>
              <w:tc>
                <w:tcPr>
                  <w:tcW w:w="557" w:type="pct"/>
                  <w:tcBorders>
                    <w:tl2br w:val="nil"/>
                    <w:tr2bl w:val="nil"/>
                  </w:tcBorders>
                  <w:vAlign w:val="center"/>
                </w:tcPr>
                <w:p w14:paraId="4CCA4983">
                  <w:pPr>
                    <w:adjustRightInd w:val="0"/>
                    <w:snapToGrid w:val="0"/>
                    <w:spacing w:line="320" w:lineRule="exact"/>
                    <w:jc w:val="center"/>
                    <w:rPr>
                      <w:color w:val="auto"/>
                      <w:szCs w:val="21"/>
                    </w:rPr>
                  </w:pPr>
                  <w:r>
                    <w:rPr>
                      <w:color w:val="auto"/>
                      <w:szCs w:val="21"/>
                    </w:rPr>
                    <w:t>0.027</w:t>
                  </w:r>
                </w:p>
              </w:tc>
              <w:tc>
                <w:tcPr>
                  <w:tcW w:w="651" w:type="pct"/>
                  <w:tcBorders>
                    <w:tl2br w:val="nil"/>
                    <w:tr2bl w:val="nil"/>
                  </w:tcBorders>
                  <w:vAlign w:val="center"/>
                </w:tcPr>
                <w:p w14:paraId="7ED3E3E3">
                  <w:pPr>
                    <w:adjustRightInd w:val="0"/>
                    <w:snapToGrid w:val="0"/>
                    <w:spacing w:line="320" w:lineRule="exact"/>
                    <w:jc w:val="center"/>
                    <w:rPr>
                      <w:color w:val="auto"/>
                      <w:szCs w:val="21"/>
                    </w:rPr>
                  </w:pPr>
                  <w:r>
                    <w:rPr>
                      <w:color w:val="auto"/>
                      <w:szCs w:val="21"/>
                    </w:rPr>
                    <w:t>0.048</w:t>
                  </w:r>
                </w:p>
              </w:tc>
              <w:tc>
                <w:tcPr>
                  <w:tcW w:w="581" w:type="pct"/>
                  <w:tcBorders>
                    <w:tl2br w:val="nil"/>
                    <w:tr2bl w:val="nil"/>
                  </w:tcBorders>
                  <w:vAlign w:val="center"/>
                </w:tcPr>
                <w:p w14:paraId="10D55B48">
                  <w:pPr>
                    <w:adjustRightInd w:val="0"/>
                    <w:snapToGrid w:val="0"/>
                    <w:spacing w:line="320" w:lineRule="exact"/>
                    <w:jc w:val="center"/>
                    <w:rPr>
                      <w:color w:val="auto"/>
                      <w:szCs w:val="21"/>
                    </w:rPr>
                  </w:pPr>
                  <w:r>
                    <w:rPr>
                      <w:color w:val="auto"/>
                      <w:szCs w:val="21"/>
                    </w:rPr>
                    <w:t>0.07</w:t>
                  </w:r>
                </w:p>
              </w:tc>
              <w:tc>
                <w:tcPr>
                  <w:tcW w:w="551" w:type="pct"/>
                  <w:tcBorders>
                    <w:tl2br w:val="nil"/>
                    <w:tr2bl w:val="nil"/>
                  </w:tcBorders>
                  <w:vAlign w:val="center"/>
                </w:tcPr>
                <w:p w14:paraId="584F68AF">
                  <w:pPr>
                    <w:adjustRightInd w:val="0"/>
                    <w:snapToGrid w:val="0"/>
                    <w:spacing w:line="320" w:lineRule="exact"/>
                    <w:jc w:val="center"/>
                    <w:rPr>
                      <w:color w:val="auto"/>
                      <w:szCs w:val="21"/>
                    </w:rPr>
                  </w:pPr>
                  <w:r>
                    <w:rPr>
                      <w:color w:val="auto"/>
                      <w:szCs w:val="21"/>
                    </w:rPr>
                    <w:t>0.108</w:t>
                  </w:r>
                </w:p>
              </w:tc>
              <w:tc>
                <w:tcPr>
                  <w:tcW w:w="447" w:type="pct"/>
                  <w:tcBorders>
                    <w:tl2br w:val="nil"/>
                    <w:tr2bl w:val="nil"/>
                  </w:tcBorders>
                  <w:vAlign w:val="center"/>
                </w:tcPr>
                <w:p w14:paraId="4DA50225">
                  <w:pPr>
                    <w:adjustRightInd w:val="0"/>
                    <w:snapToGrid w:val="0"/>
                    <w:spacing w:line="320" w:lineRule="exact"/>
                    <w:jc w:val="center"/>
                    <w:rPr>
                      <w:color w:val="auto"/>
                      <w:szCs w:val="21"/>
                    </w:rPr>
                  </w:pPr>
                  <w:r>
                    <w:rPr>
                      <w:color w:val="auto"/>
                      <w:szCs w:val="21"/>
                    </w:rPr>
                    <w:t>0.147</w:t>
                  </w:r>
                </w:p>
              </w:tc>
            </w:tr>
            <w:tr w14:paraId="3938FF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031" w:type="pct"/>
                  <w:tcBorders>
                    <w:tl2br w:val="nil"/>
                    <w:tr2bl w:val="nil"/>
                  </w:tcBorders>
                  <w:vAlign w:val="center"/>
                </w:tcPr>
                <w:p w14:paraId="22FAECFD">
                  <w:pPr>
                    <w:adjustRightInd w:val="0"/>
                    <w:snapToGrid w:val="0"/>
                    <w:spacing w:line="320" w:lineRule="exact"/>
                    <w:jc w:val="center"/>
                    <w:rPr>
                      <w:color w:val="auto"/>
                      <w:szCs w:val="21"/>
                    </w:rPr>
                  </w:pPr>
                  <w:r>
                    <w:rPr>
                      <w:color w:val="auto"/>
                      <w:szCs w:val="21"/>
                    </w:rPr>
                    <w:t>粒径</w:t>
                  </w:r>
                  <w:r>
                    <w:rPr>
                      <w:rFonts w:hint="eastAsia"/>
                      <w:color w:val="auto"/>
                      <w:szCs w:val="21"/>
                    </w:rPr>
                    <w:t>（</w:t>
                  </w:r>
                  <w:r>
                    <w:rPr>
                      <w:color w:val="auto"/>
                      <w:szCs w:val="21"/>
                    </w:rPr>
                    <w:t>μm）</w:t>
                  </w:r>
                </w:p>
              </w:tc>
              <w:tc>
                <w:tcPr>
                  <w:tcW w:w="627" w:type="pct"/>
                  <w:tcBorders>
                    <w:tl2br w:val="nil"/>
                    <w:tr2bl w:val="nil"/>
                  </w:tcBorders>
                  <w:vAlign w:val="center"/>
                </w:tcPr>
                <w:p w14:paraId="16E69FDB">
                  <w:pPr>
                    <w:adjustRightInd w:val="0"/>
                    <w:snapToGrid w:val="0"/>
                    <w:spacing w:line="320" w:lineRule="exact"/>
                    <w:jc w:val="center"/>
                    <w:rPr>
                      <w:color w:val="auto"/>
                      <w:szCs w:val="21"/>
                    </w:rPr>
                  </w:pPr>
                  <w:r>
                    <w:rPr>
                      <w:color w:val="auto"/>
                      <w:szCs w:val="21"/>
                    </w:rPr>
                    <w:t>80</w:t>
                  </w:r>
                </w:p>
              </w:tc>
              <w:tc>
                <w:tcPr>
                  <w:tcW w:w="551" w:type="pct"/>
                  <w:tcBorders>
                    <w:tl2br w:val="nil"/>
                    <w:tr2bl w:val="nil"/>
                  </w:tcBorders>
                  <w:vAlign w:val="center"/>
                </w:tcPr>
                <w:p w14:paraId="5416CE6A">
                  <w:pPr>
                    <w:adjustRightInd w:val="0"/>
                    <w:snapToGrid w:val="0"/>
                    <w:spacing w:line="320" w:lineRule="exact"/>
                    <w:jc w:val="center"/>
                    <w:rPr>
                      <w:color w:val="auto"/>
                      <w:szCs w:val="21"/>
                    </w:rPr>
                  </w:pPr>
                  <w:r>
                    <w:rPr>
                      <w:color w:val="auto"/>
                      <w:szCs w:val="21"/>
                    </w:rPr>
                    <w:t>90</w:t>
                  </w:r>
                </w:p>
              </w:tc>
              <w:tc>
                <w:tcPr>
                  <w:tcW w:w="557" w:type="pct"/>
                  <w:tcBorders>
                    <w:tl2br w:val="nil"/>
                    <w:tr2bl w:val="nil"/>
                  </w:tcBorders>
                  <w:vAlign w:val="center"/>
                </w:tcPr>
                <w:p w14:paraId="23F1AC29">
                  <w:pPr>
                    <w:adjustRightInd w:val="0"/>
                    <w:snapToGrid w:val="0"/>
                    <w:spacing w:line="320" w:lineRule="exact"/>
                    <w:jc w:val="center"/>
                    <w:rPr>
                      <w:color w:val="auto"/>
                      <w:szCs w:val="21"/>
                    </w:rPr>
                  </w:pPr>
                  <w:r>
                    <w:rPr>
                      <w:color w:val="auto"/>
                      <w:szCs w:val="21"/>
                    </w:rPr>
                    <w:t>100</w:t>
                  </w:r>
                </w:p>
              </w:tc>
              <w:tc>
                <w:tcPr>
                  <w:tcW w:w="651" w:type="pct"/>
                  <w:tcBorders>
                    <w:tl2br w:val="nil"/>
                    <w:tr2bl w:val="nil"/>
                  </w:tcBorders>
                  <w:vAlign w:val="center"/>
                </w:tcPr>
                <w:p w14:paraId="0D9F2C35">
                  <w:pPr>
                    <w:adjustRightInd w:val="0"/>
                    <w:snapToGrid w:val="0"/>
                    <w:spacing w:line="320" w:lineRule="exact"/>
                    <w:jc w:val="center"/>
                    <w:rPr>
                      <w:color w:val="auto"/>
                      <w:szCs w:val="21"/>
                    </w:rPr>
                  </w:pPr>
                  <w:r>
                    <w:rPr>
                      <w:color w:val="auto"/>
                      <w:szCs w:val="21"/>
                    </w:rPr>
                    <w:t>150</w:t>
                  </w:r>
                </w:p>
              </w:tc>
              <w:tc>
                <w:tcPr>
                  <w:tcW w:w="581" w:type="pct"/>
                  <w:tcBorders>
                    <w:tl2br w:val="nil"/>
                    <w:tr2bl w:val="nil"/>
                  </w:tcBorders>
                  <w:vAlign w:val="center"/>
                </w:tcPr>
                <w:p w14:paraId="154463A4">
                  <w:pPr>
                    <w:adjustRightInd w:val="0"/>
                    <w:snapToGrid w:val="0"/>
                    <w:spacing w:line="320" w:lineRule="exact"/>
                    <w:jc w:val="center"/>
                    <w:rPr>
                      <w:color w:val="auto"/>
                      <w:szCs w:val="21"/>
                    </w:rPr>
                  </w:pPr>
                  <w:r>
                    <w:rPr>
                      <w:color w:val="auto"/>
                      <w:szCs w:val="21"/>
                    </w:rPr>
                    <w:t>200</w:t>
                  </w:r>
                </w:p>
              </w:tc>
              <w:tc>
                <w:tcPr>
                  <w:tcW w:w="551" w:type="pct"/>
                  <w:tcBorders>
                    <w:tl2br w:val="nil"/>
                    <w:tr2bl w:val="nil"/>
                  </w:tcBorders>
                  <w:vAlign w:val="center"/>
                </w:tcPr>
                <w:p w14:paraId="275FE47B">
                  <w:pPr>
                    <w:adjustRightInd w:val="0"/>
                    <w:snapToGrid w:val="0"/>
                    <w:spacing w:line="320" w:lineRule="exact"/>
                    <w:jc w:val="center"/>
                    <w:rPr>
                      <w:color w:val="auto"/>
                      <w:szCs w:val="21"/>
                    </w:rPr>
                  </w:pPr>
                  <w:r>
                    <w:rPr>
                      <w:color w:val="auto"/>
                      <w:szCs w:val="21"/>
                    </w:rPr>
                    <w:t>250</w:t>
                  </w:r>
                </w:p>
              </w:tc>
              <w:tc>
                <w:tcPr>
                  <w:tcW w:w="447" w:type="pct"/>
                  <w:tcBorders>
                    <w:tl2br w:val="nil"/>
                    <w:tr2bl w:val="nil"/>
                  </w:tcBorders>
                  <w:vAlign w:val="center"/>
                </w:tcPr>
                <w:p w14:paraId="5AF20543">
                  <w:pPr>
                    <w:adjustRightInd w:val="0"/>
                    <w:snapToGrid w:val="0"/>
                    <w:spacing w:line="320" w:lineRule="exact"/>
                    <w:jc w:val="center"/>
                    <w:rPr>
                      <w:color w:val="auto"/>
                      <w:szCs w:val="21"/>
                    </w:rPr>
                  </w:pPr>
                  <w:r>
                    <w:rPr>
                      <w:color w:val="auto"/>
                      <w:szCs w:val="21"/>
                    </w:rPr>
                    <w:t>350</w:t>
                  </w:r>
                </w:p>
              </w:tc>
            </w:tr>
            <w:tr w14:paraId="5830BC3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031" w:type="pct"/>
                  <w:tcBorders>
                    <w:tl2br w:val="nil"/>
                    <w:tr2bl w:val="nil"/>
                  </w:tcBorders>
                  <w:vAlign w:val="center"/>
                </w:tcPr>
                <w:p w14:paraId="3EB37DC4">
                  <w:pPr>
                    <w:adjustRightInd w:val="0"/>
                    <w:snapToGrid w:val="0"/>
                    <w:spacing w:line="320" w:lineRule="exact"/>
                    <w:jc w:val="center"/>
                    <w:rPr>
                      <w:color w:val="auto"/>
                      <w:szCs w:val="21"/>
                    </w:rPr>
                  </w:pPr>
                  <w:r>
                    <w:rPr>
                      <w:color w:val="auto"/>
                      <w:szCs w:val="21"/>
                    </w:rPr>
                    <w:t>沉降速度</w:t>
                  </w:r>
                  <w:r>
                    <w:rPr>
                      <w:rFonts w:hint="eastAsia"/>
                      <w:color w:val="auto"/>
                      <w:szCs w:val="21"/>
                    </w:rPr>
                    <w:t>（</w:t>
                  </w:r>
                  <w:r>
                    <w:rPr>
                      <w:color w:val="auto"/>
                      <w:szCs w:val="21"/>
                    </w:rPr>
                    <w:t>m/s）</w:t>
                  </w:r>
                </w:p>
              </w:tc>
              <w:tc>
                <w:tcPr>
                  <w:tcW w:w="627" w:type="pct"/>
                  <w:tcBorders>
                    <w:tl2br w:val="nil"/>
                    <w:tr2bl w:val="nil"/>
                  </w:tcBorders>
                  <w:vAlign w:val="center"/>
                </w:tcPr>
                <w:p w14:paraId="1954026A">
                  <w:pPr>
                    <w:adjustRightInd w:val="0"/>
                    <w:snapToGrid w:val="0"/>
                    <w:spacing w:line="320" w:lineRule="exact"/>
                    <w:jc w:val="center"/>
                    <w:rPr>
                      <w:color w:val="auto"/>
                      <w:szCs w:val="21"/>
                    </w:rPr>
                  </w:pPr>
                  <w:r>
                    <w:rPr>
                      <w:color w:val="auto"/>
                      <w:szCs w:val="21"/>
                    </w:rPr>
                    <w:t>0.138</w:t>
                  </w:r>
                </w:p>
              </w:tc>
              <w:tc>
                <w:tcPr>
                  <w:tcW w:w="551" w:type="pct"/>
                  <w:tcBorders>
                    <w:tl2br w:val="nil"/>
                    <w:tr2bl w:val="nil"/>
                  </w:tcBorders>
                  <w:vAlign w:val="center"/>
                </w:tcPr>
                <w:p w14:paraId="0CEBAD9D">
                  <w:pPr>
                    <w:adjustRightInd w:val="0"/>
                    <w:snapToGrid w:val="0"/>
                    <w:spacing w:line="320" w:lineRule="exact"/>
                    <w:jc w:val="center"/>
                    <w:rPr>
                      <w:color w:val="auto"/>
                      <w:szCs w:val="21"/>
                    </w:rPr>
                  </w:pPr>
                  <w:r>
                    <w:rPr>
                      <w:color w:val="auto"/>
                      <w:szCs w:val="21"/>
                    </w:rPr>
                    <w:t>0.174</w:t>
                  </w:r>
                </w:p>
              </w:tc>
              <w:tc>
                <w:tcPr>
                  <w:tcW w:w="557" w:type="pct"/>
                  <w:tcBorders>
                    <w:tl2br w:val="nil"/>
                    <w:tr2bl w:val="nil"/>
                  </w:tcBorders>
                  <w:vAlign w:val="center"/>
                </w:tcPr>
                <w:p w14:paraId="1F6839BA">
                  <w:pPr>
                    <w:adjustRightInd w:val="0"/>
                    <w:snapToGrid w:val="0"/>
                    <w:spacing w:line="320" w:lineRule="exact"/>
                    <w:jc w:val="center"/>
                    <w:rPr>
                      <w:color w:val="auto"/>
                      <w:szCs w:val="21"/>
                    </w:rPr>
                  </w:pPr>
                  <w:r>
                    <w:rPr>
                      <w:color w:val="auto"/>
                      <w:szCs w:val="21"/>
                    </w:rPr>
                    <w:t>0.182</w:t>
                  </w:r>
                </w:p>
              </w:tc>
              <w:tc>
                <w:tcPr>
                  <w:tcW w:w="651" w:type="pct"/>
                  <w:tcBorders>
                    <w:tl2br w:val="nil"/>
                    <w:tr2bl w:val="nil"/>
                  </w:tcBorders>
                  <w:vAlign w:val="center"/>
                </w:tcPr>
                <w:p w14:paraId="381BED6C">
                  <w:pPr>
                    <w:adjustRightInd w:val="0"/>
                    <w:snapToGrid w:val="0"/>
                    <w:spacing w:line="320" w:lineRule="exact"/>
                    <w:jc w:val="center"/>
                    <w:rPr>
                      <w:color w:val="auto"/>
                      <w:szCs w:val="21"/>
                    </w:rPr>
                  </w:pPr>
                  <w:r>
                    <w:rPr>
                      <w:color w:val="auto"/>
                      <w:szCs w:val="21"/>
                    </w:rPr>
                    <w:t>0.209</w:t>
                  </w:r>
                </w:p>
              </w:tc>
              <w:tc>
                <w:tcPr>
                  <w:tcW w:w="581" w:type="pct"/>
                  <w:tcBorders>
                    <w:tl2br w:val="nil"/>
                    <w:tr2bl w:val="nil"/>
                  </w:tcBorders>
                  <w:vAlign w:val="center"/>
                </w:tcPr>
                <w:p w14:paraId="25D9D85B">
                  <w:pPr>
                    <w:adjustRightInd w:val="0"/>
                    <w:snapToGrid w:val="0"/>
                    <w:spacing w:line="320" w:lineRule="exact"/>
                    <w:jc w:val="center"/>
                    <w:rPr>
                      <w:color w:val="auto"/>
                      <w:szCs w:val="21"/>
                    </w:rPr>
                  </w:pPr>
                  <w:r>
                    <w:rPr>
                      <w:color w:val="auto"/>
                      <w:szCs w:val="21"/>
                    </w:rPr>
                    <w:t>0.804</w:t>
                  </w:r>
                </w:p>
              </w:tc>
              <w:tc>
                <w:tcPr>
                  <w:tcW w:w="551" w:type="pct"/>
                  <w:tcBorders>
                    <w:tl2br w:val="nil"/>
                    <w:tr2bl w:val="nil"/>
                  </w:tcBorders>
                  <w:vAlign w:val="center"/>
                </w:tcPr>
                <w:p w14:paraId="12B72CEE">
                  <w:pPr>
                    <w:adjustRightInd w:val="0"/>
                    <w:snapToGrid w:val="0"/>
                    <w:spacing w:line="320" w:lineRule="exact"/>
                    <w:jc w:val="center"/>
                    <w:rPr>
                      <w:color w:val="auto"/>
                      <w:szCs w:val="21"/>
                    </w:rPr>
                  </w:pPr>
                  <w:r>
                    <w:rPr>
                      <w:color w:val="auto"/>
                      <w:szCs w:val="21"/>
                    </w:rPr>
                    <w:t>1.005</w:t>
                  </w:r>
                </w:p>
              </w:tc>
              <w:tc>
                <w:tcPr>
                  <w:tcW w:w="447" w:type="pct"/>
                  <w:tcBorders>
                    <w:tl2br w:val="nil"/>
                    <w:tr2bl w:val="nil"/>
                  </w:tcBorders>
                  <w:vAlign w:val="center"/>
                </w:tcPr>
                <w:p w14:paraId="4D797768">
                  <w:pPr>
                    <w:adjustRightInd w:val="0"/>
                    <w:snapToGrid w:val="0"/>
                    <w:spacing w:line="320" w:lineRule="exact"/>
                    <w:jc w:val="center"/>
                    <w:rPr>
                      <w:color w:val="auto"/>
                      <w:szCs w:val="21"/>
                    </w:rPr>
                  </w:pPr>
                  <w:r>
                    <w:rPr>
                      <w:color w:val="auto"/>
                      <w:szCs w:val="21"/>
                    </w:rPr>
                    <w:t>1.829</w:t>
                  </w:r>
                </w:p>
              </w:tc>
            </w:tr>
            <w:tr w14:paraId="579523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031" w:type="pct"/>
                  <w:tcBorders>
                    <w:tl2br w:val="nil"/>
                    <w:tr2bl w:val="nil"/>
                  </w:tcBorders>
                  <w:vAlign w:val="center"/>
                </w:tcPr>
                <w:p w14:paraId="0C548510">
                  <w:pPr>
                    <w:adjustRightInd w:val="0"/>
                    <w:snapToGrid w:val="0"/>
                    <w:spacing w:line="320" w:lineRule="exact"/>
                    <w:jc w:val="center"/>
                    <w:rPr>
                      <w:color w:val="auto"/>
                      <w:szCs w:val="21"/>
                    </w:rPr>
                  </w:pPr>
                  <w:r>
                    <w:rPr>
                      <w:color w:val="auto"/>
                      <w:szCs w:val="21"/>
                    </w:rPr>
                    <w:t>粒径</w:t>
                  </w:r>
                  <w:r>
                    <w:rPr>
                      <w:rFonts w:hint="eastAsia"/>
                      <w:color w:val="auto"/>
                      <w:szCs w:val="21"/>
                    </w:rPr>
                    <w:t>（</w:t>
                  </w:r>
                  <w:r>
                    <w:rPr>
                      <w:color w:val="auto"/>
                      <w:szCs w:val="21"/>
                    </w:rPr>
                    <w:t>μm）</w:t>
                  </w:r>
                </w:p>
              </w:tc>
              <w:tc>
                <w:tcPr>
                  <w:tcW w:w="627" w:type="pct"/>
                  <w:tcBorders>
                    <w:tl2br w:val="nil"/>
                    <w:tr2bl w:val="nil"/>
                  </w:tcBorders>
                  <w:vAlign w:val="center"/>
                </w:tcPr>
                <w:p w14:paraId="46654218">
                  <w:pPr>
                    <w:adjustRightInd w:val="0"/>
                    <w:snapToGrid w:val="0"/>
                    <w:spacing w:line="320" w:lineRule="exact"/>
                    <w:jc w:val="center"/>
                    <w:rPr>
                      <w:color w:val="auto"/>
                      <w:szCs w:val="21"/>
                    </w:rPr>
                  </w:pPr>
                  <w:r>
                    <w:rPr>
                      <w:color w:val="auto"/>
                      <w:szCs w:val="21"/>
                    </w:rPr>
                    <w:t>450</w:t>
                  </w:r>
                </w:p>
              </w:tc>
              <w:tc>
                <w:tcPr>
                  <w:tcW w:w="551" w:type="pct"/>
                  <w:tcBorders>
                    <w:tl2br w:val="nil"/>
                    <w:tr2bl w:val="nil"/>
                  </w:tcBorders>
                  <w:vAlign w:val="center"/>
                </w:tcPr>
                <w:p w14:paraId="58458A45">
                  <w:pPr>
                    <w:adjustRightInd w:val="0"/>
                    <w:snapToGrid w:val="0"/>
                    <w:spacing w:line="320" w:lineRule="exact"/>
                    <w:jc w:val="center"/>
                    <w:rPr>
                      <w:color w:val="auto"/>
                      <w:szCs w:val="21"/>
                    </w:rPr>
                  </w:pPr>
                  <w:r>
                    <w:rPr>
                      <w:color w:val="auto"/>
                      <w:szCs w:val="21"/>
                    </w:rPr>
                    <w:t>550</w:t>
                  </w:r>
                </w:p>
              </w:tc>
              <w:tc>
                <w:tcPr>
                  <w:tcW w:w="557" w:type="pct"/>
                  <w:tcBorders>
                    <w:tl2br w:val="nil"/>
                    <w:tr2bl w:val="nil"/>
                  </w:tcBorders>
                  <w:vAlign w:val="center"/>
                </w:tcPr>
                <w:p w14:paraId="147D918E">
                  <w:pPr>
                    <w:adjustRightInd w:val="0"/>
                    <w:snapToGrid w:val="0"/>
                    <w:spacing w:line="320" w:lineRule="exact"/>
                    <w:jc w:val="center"/>
                    <w:rPr>
                      <w:color w:val="auto"/>
                      <w:szCs w:val="21"/>
                    </w:rPr>
                  </w:pPr>
                  <w:r>
                    <w:rPr>
                      <w:color w:val="auto"/>
                      <w:szCs w:val="21"/>
                    </w:rPr>
                    <w:t>650</w:t>
                  </w:r>
                </w:p>
              </w:tc>
              <w:tc>
                <w:tcPr>
                  <w:tcW w:w="651" w:type="pct"/>
                  <w:tcBorders>
                    <w:tl2br w:val="nil"/>
                    <w:tr2bl w:val="nil"/>
                  </w:tcBorders>
                  <w:vAlign w:val="center"/>
                </w:tcPr>
                <w:p w14:paraId="6A2BFC47">
                  <w:pPr>
                    <w:adjustRightInd w:val="0"/>
                    <w:snapToGrid w:val="0"/>
                    <w:spacing w:line="320" w:lineRule="exact"/>
                    <w:jc w:val="center"/>
                    <w:rPr>
                      <w:color w:val="auto"/>
                      <w:szCs w:val="21"/>
                    </w:rPr>
                  </w:pPr>
                  <w:r>
                    <w:rPr>
                      <w:color w:val="auto"/>
                      <w:szCs w:val="21"/>
                    </w:rPr>
                    <w:t>750</w:t>
                  </w:r>
                </w:p>
              </w:tc>
              <w:tc>
                <w:tcPr>
                  <w:tcW w:w="581" w:type="pct"/>
                  <w:tcBorders>
                    <w:tl2br w:val="nil"/>
                    <w:tr2bl w:val="nil"/>
                  </w:tcBorders>
                  <w:vAlign w:val="center"/>
                </w:tcPr>
                <w:p w14:paraId="629AEE17">
                  <w:pPr>
                    <w:adjustRightInd w:val="0"/>
                    <w:snapToGrid w:val="0"/>
                    <w:spacing w:line="320" w:lineRule="exact"/>
                    <w:jc w:val="center"/>
                    <w:rPr>
                      <w:color w:val="auto"/>
                      <w:szCs w:val="21"/>
                    </w:rPr>
                  </w:pPr>
                  <w:r>
                    <w:rPr>
                      <w:color w:val="auto"/>
                      <w:szCs w:val="21"/>
                    </w:rPr>
                    <w:t>800</w:t>
                  </w:r>
                </w:p>
              </w:tc>
              <w:tc>
                <w:tcPr>
                  <w:tcW w:w="551" w:type="pct"/>
                  <w:tcBorders>
                    <w:tl2br w:val="nil"/>
                    <w:tr2bl w:val="nil"/>
                  </w:tcBorders>
                  <w:vAlign w:val="center"/>
                </w:tcPr>
                <w:p w14:paraId="3F9F56F1">
                  <w:pPr>
                    <w:adjustRightInd w:val="0"/>
                    <w:snapToGrid w:val="0"/>
                    <w:spacing w:line="320" w:lineRule="exact"/>
                    <w:jc w:val="center"/>
                    <w:rPr>
                      <w:color w:val="auto"/>
                      <w:szCs w:val="21"/>
                    </w:rPr>
                  </w:pPr>
                  <w:r>
                    <w:rPr>
                      <w:color w:val="auto"/>
                      <w:szCs w:val="21"/>
                    </w:rPr>
                    <w:t>950</w:t>
                  </w:r>
                </w:p>
              </w:tc>
              <w:tc>
                <w:tcPr>
                  <w:tcW w:w="447" w:type="pct"/>
                  <w:tcBorders>
                    <w:tl2br w:val="nil"/>
                    <w:tr2bl w:val="nil"/>
                  </w:tcBorders>
                  <w:vAlign w:val="center"/>
                </w:tcPr>
                <w:p w14:paraId="3D82C390">
                  <w:pPr>
                    <w:adjustRightInd w:val="0"/>
                    <w:snapToGrid w:val="0"/>
                    <w:spacing w:line="320" w:lineRule="exact"/>
                    <w:jc w:val="center"/>
                    <w:rPr>
                      <w:color w:val="auto"/>
                      <w:szCs w:val="21"/>
                    </w:rPr>
                  </w:pPr>
                  <w:r>
                    <w:rPr>
                      <w:color w:val="auto"/>
                      <w:szCs w:val="21"/>
                    </w:rPr>
                    <w:t>1050</w:t>
                  </w:r>
                </w:p>
              </w:tc>
            </w:tr>
            <w:tr w14:paraId="132EDE6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031" w:type="pct"/>
                  <w:tcBorders>
                    <w:tl2br w:val="nil"/>
                    <w:tr2bl w:val="nil"/>
                  </w:tcBorders>
                  <w:vAlign w:val="center"/>
                </w:tcPr>
                <w:p w14:paraId="6474C83D">
                  <w:pPr>
                    <w:adjustRightInd w:val="0"/>
                    <w:snapToGrid w:val="0"/>
                    <w:spacing w:line="320" w:lineRule="exact"/>
                    <w:jc w:val="center"/>
                    <w:rPr>
                      <w:color w:val="auto"/>
                      <w:szCs w:val="21"/>
                    </w:rPr>
                  </w:pPr>
                  <w:r>
                    <w:rPr>
                      <w:color w:val="auto"/>
                      <w:szCs w:val="21"/>
                    </w:rPr>
                    <w:t>沉降速度</w:t>
                  </w:r>
                  <w:r>
                    <w:rPr>
                      <w:rFonts w:hint="eastAsia"/>
                      <w:color w:val="auto"/>
                      <w:szCs w:val="21"/>
                    </w:rPr>
                    <w:t>（</w:t>
                  </w:r>
                  <w:r>
                    <w:rPr>
                      <w:color w:val="auto"/>
                      <w:szCs w:val="21"/>
                    </w:rPr>
                    <w:t>m/s）</w:t>
                  </w:r>
                </w:p>
              </w:tc>
              <w:tc>
                <w:tcPr>
                  <w:tcW w:w="627" w:type="pct"/>
                  <w:tcBorders>
                    <w:tl2br w:val="nil"/>
                    <w:tr2bl w:val="nil"/>
                  </w:tcBorders>
                  <w:vAlign w:val="center"/>
                </w:tcPr>
                <w:p w14:paraId="52824988">
                  <w:pPr>
                    <w:adjustRightInd w:val="0"/>
                    <w:snapToGrid w:val="0"/>
                    <w:spacing w:line="320" w:lineRule="exact"/>
                    <w:jc w:val="center"/>
                    <w:rPr>
                      <w:color w:val="auto"/>
                      <w:szCs w:val="21"/>
                    </w:rPr>
                  </w:pPr>
                  <w:r>
                    <w:rPr>
                      <w:color w:val="auto"/>
                      <w:szCs w:val="21"/>
                    </w:rPr>
                    <w:t>2.211</w:t>
                  </w:r>
                </w:p>
              </w:tc>
              <w:tc>
                <w:tcPr>
                  <w:tcW w:w="551" w:type="pct"/>
                  <w:tcBorders>
                    <w:tl2br w:val="nil"/>
                    <w:tr2bl w:val="nil"/>
                  </w:tcBorders>
                  <w:vAlign w:val="center"/>
                </w:tcPr>
                <w:p w14:paraId="31AF00B7">
                  <w:pPr>
                    <w:adjustRightInd w:val="0"/>
                    <w:snapToGrid w:val="0"/>
                    <w:spacing w:line="320" w:lineRule="exact"/>
                    <w:jc w:val="center"/>
                    <w:rPr>
                      <w:color w:val="auto"/>
                      <w:szCs w:val="21"/>
                    </w:rPr>
                  </w:pPr>
                  <w:r>
                    <w:rPr>
                      <w:color w:val="auto"/>
                      <w:szCs w:val="21"/>
                    </w:rPr>
                    <w:t>2.614</w:t>
                  </w:r>
                </w:p>
              </w:tc>
              <w:tc>
                <w:tcPr>
                  <w:tcW w:w="557" w:type="pct"/>
                  <w:tcBorders>
                    <w:tl2br w:val="nil"/>
                    <w:tr2bl w:val="nil"/>
                  </w:tcBorders>
                  <w:vAlign w:val="center"/>
                </w:tcPr>
                <w:p w14:paraId="16C02A83">
                  <w:pPr>
                    <w:adjustRightInd w:val="0"/>
                    <w:snapToGrid w:val="0"/>
                    <w:spacing w:line="320" w:lineRule="exact"/>
                    <w:jc w:val="center"/>
                    <w:rPr>
                      <w:color w:val="auto"/>
                      <w:szCs w:val="21"/>
                    </w:rPr>
                  </w:pPr>
                  <w:r>
                    <w:rPr>
                      <w:color w:val="auto"/>
                      <w:szCs w:val="21"/>
                    </w:rPr>
                    <w:t>3.016</w:t>
                  </w:r>
                </w:p>
              </w:tc>
              <w:tc>
                <w:tcPr>
                  <w:tcW w:w="651" w:type="pct"/>
                  <w:tcBorders>
                    <w:tl2br w:val="nil"/>
                    <w:tr2bl w:val="nil"/>
                  </w:tcBorders>
                  <w:vAlign w:val="center"/>
                </w:tcPr>
                <w:p w14:paraId="52F85BCE">
                  <w:pPr>
                    <w:adjustRightInd w:val="0"/>
                    <w:snapToGrid w:val="0"/>
                    <w:spacing w:line="320" w:lineRule="exact"/>
                    <w:jc w:val="center"/>
                    <w:rPr>
                      <w:color w:val="auto"/>
                      <w:szCs w:val="21"/>
                    </w:rPr>
                  </w:pPr>
                  <w:r>
                    <w:rPr>
                      <w:color w:val="auto"/>
                      <w:szCs w:val="21"/>
                    </w:rPr>
                    <w:t>3.418</w:t>
                  </w:r>
                </w:p>
              </w:tc>
              <w:tc>
                <w:tcPr>
                  <w:tcW w:w="581" w:type="pct"/>
                  <w:tcBorders>
                    <w:tl2br w:val="nil"/>
                    <w:tr2bl w:val="nil"/>
                  </w:tcBorders>
                  <w:vAlign w:val="center"/>
                </w:tcPr>
                <w:p w14:paraId="069E4DA0">
                  <w:pPr>
                    <w:adjustRightInd w:val="0"/>
                    <w:snapToGrid w:val="0"/>
                    <w:spacing w:line="320" w:lineRule="exact"/>
                    <w:jc w:val="center"/>
                    <w:rPr>
                      <w:color w:val="auto"/>
                      <w:szCs w:val="21"/>
                    </w:rPr>
                  </w:pPr>
                  <w:r>
                    <w:rPr>
                      <w:color w:val="auto"/>
                      <w:szCs w:val="21"/>
                    </w:rPr>
                    <w:t>3.720</w:t>
                  </w:r>
                </w:p>
              </w:tc>
              <w:tc>
                <w:tcPr>
                  <w:tcW w:w="551" w:type="pct"/>
                  <w:tcBorders>
                    <w:tl2br w:val="nil"/>
                    <w:tr2bl w:val="nil"/>
                  </w:tcBorders>
                  <w:vAlign w:val="center"/>
                </w:tcPr>
                <w:p w14:paraId="550100D1">
                  <w:pPr>
                    <w:adjustRightInd w:val="0"/>
                    <w:snapToGrid w:val="0"/>
                    <w:spacing w:line="320" w:lineRule="exact"/>
                    <w:jc w:val="center"/>
                    <w:rPr>
                      <w:color w:val="auto"/>
                      <w:szCs w:val="21"/>
                    </w:rPr>
                  </w:pPr>
                  <w:r>
                    <w:rPr>
                      <w:color w:val="auto"/>
                      <w:szCs w:val="21"/>
                    </w:rPr>
                    <w:t>4.222</w:t>
                  </w:r>
                </w:p>
              </w:tc>
              <w:tc>
                <w:tcPr>
                  <w:tcW w:w="447" w:type="pct"/>
                  <w:tcBorders>
                    <w:tl2br w:val="nil"/>
                    <w:tr2bl w:val="nil"/>
                  </w:tcBorders>
                  <w:vAlign w:val="center"/>
                </w:tcPr>
                <w:p w14:paraId="612E3192">
                  <w:pPr>
                    <w:adjustRightInd w:val="0"/>
                    <w:snapToGrid w:val="0"/>
                    <w:spacing w:line="320" w:lineRule="exact"/>
                    <w:jc w:val="center"/>
                    <w:rPr>
                      <w:color w:val="auto"/>
                      <w:szCs w:val="21"/>
                    </w:rPr>
                  </w:pPr>
                  <w:r>
                    <w:rPr>
                      <w:color w:val="auto"/>
                      <w:szCs w:val="21"/>
                    </w:rPr>
                    <w:t>4.62</w:t>
                  </w:r>
                </w:p>
              </w:tc>
            </w:tr>
          </w:tbl>
          <w:p w14:paraId="3700D896">
            <w:pPr>
              <w:adjustRightInd w:val="0"/>
              <w:snapToGrid w:val="0"/>
              <w:spacing w:line="500" w:lineRule="exact"/>
              <w:ind w:firstLine="480" w:firstLineChars="200"/>
              <w:rPr>
                <w:color w:val="auto"/>
                <w:sz w:val="24"/>
              </w:rPr>
            </w:pPr>
            <w:r>
              <w:rPr>
                <w:color w:val="auto"/>
                <w:sz w:val="24"/>
              </w:rPr>
              <w:t>由表可知，尘粒的沉降速度随粒径的增大而迅速增大。当粒径为250μm时，沉降速度为1.005m/s，因此可以认为当尘粒大于250μm时，主要影响范围在扬尘点下风向近距离范围内，而真正对外环境产生影响的是一些微小尘粒。根据现场的气候情况不同，其影响范围也有所不同。由起尘计算公式可知，V</w:t>
            </w:r>
            <w:r>
              <w:rPr>
                <w:rFonts w:hint="eastAsia"/>
                <w:color w:val="auto"/>
                <w:sz w:val="24"/>
                <w:vertAlign w:val="subscript"/>
                <w:lang w:val="en-US" w:eastAsia="zh-CN"/>
              </w:rPr>
              <w:t>0</w:t>
            </w:r>
            <w:r>
              <w:rPr>
                <w:color w:val="auto"/>
                <w:sz w:val="24"/>
              </w:rPr>
              <w:t>与粒径和含水率有关。因此，本工程在施工过程中，应将建筑材料堆场设置在距环境敏感点较远的地方，通过采取减少露天堆放、保证一定的含水率、使用土工布遮挡及减少裸露地面等措施，尽量将起尘量降到最低，从而减少其对周围环境空气质量的影响。</w:t>
            </w:r>
          </w:p>
          <w:p w14:paraId="717237A0">
            <w:pPr>
              <w:adjustRightInd w:val="0"/>
              <w:snapToGrid w:val="0"/>
              <w:spacing w:line="500" w:lineRule="exact"/>
              <w:ind w:firstLine="480" w:firstLineChars="200"/>
              <w:rPr>
                <w:color w:val="auto"/>
                <w:sz w:val="24"/>
              </w:rPr>
            </w:pPr>
            <w:r>
              <w:rPr>
                <w:color w:val="auto"/>
                <w:sz w:val="24"/>
              </w:rPr>
              <w:t>③运输道路扬尘</w:t>
            </w:r>
          </w:p>
          <w:p w14:paraId="734486A6">
            <w:pPr>
              <w:adjustRightInd w:val="0"/>
              <w:snapToGrid w:val="0"/>
              <w:spacing w:line="500" w:lineRule="exact"/>
              <w:ind w:firstLine="480" w:firstLineChars="200"/>
              <w:rPr>
                <w:color w:val="auto"/>
                <w:sz w:val="24"/>
              </w:rPr>
            </w:pPr>
            <w:r>
              <w:rPr>
                <w:color w:val="auto"/>
                <w:sz w:val="24"/>
              </w:rPr>
              <w:t>施工区内车辆运输引起的道路扬尘约占场地扬尘总量的</w:t>
            </w:r>
            <w:r>
              <w:rPr>
                <w:rFonts w:hint="eastAsia"/>
                <w:color w:val="auto"/>
                <w:sz w:val="24"/>
              </w:rPr>
              <w:t>6</w:t>
            </w:r>
            <w:r>
              <w:rPr>
                <w:color w:val="auto"/>
                <w:sz w:val="24"/>
              </w:rPr>
              <w:t>0%以上，道路扬尘的起尘量与运输车辆的车速、载重量、路面含尘量、相对湿度等因素有关。根据同类工程建设经验，施工期施工区内运输车辆大多行驶在土路便道上，路面含尘量高，道路扬尘比较严重。因此，应加强路面洒水抑尘。运输道路扬尘在完全干燥</w:t>
            </w:r>
            <w:r>
              <w:rPr>
                <w:rFonts w:hint="eastAsia"/>
                <w:color w:val="auto"/>
                <w:sz w:val="24"/>
              </w:rPr>
              <w:t>的</w:t>
            </w:r>
            <w:r>
              <w:rPr>
                <w:color w:val="auto"/>
                <w:sz w:val="24"/>
              </w:rPr>
              <w:t>情况下，可按下列经验公式计算：</w:t>
            </w:r>
          </w:p>
          <w:p w14:paraId="5DA52550">
            <w:pPr>
              <w:spacing w:line="500" w:lineRule="exact"/>
              <w:ind w:firstLine="1200" w:firstLineChars="500"/>
              <w:rPr>
                <w:color w:val="auto"/>
                <w:sz w:val="24"/>
                <w:vertAlign w:val="superscript"/>
              </w:rPr>
            </w:pPr>
            <w:r>
              <w:rPr>
                <w:color w:val="auto"/>
                <w:sz w:val="24"/>
              </w:rPr>
              <w:t>Q=0.123</w:t>
            </w:r>
            <w:r>
              <w:rPr>
                <w:rFonts w:hint="eastAsia"/>
                <w:color w:val="auto"/>
                <w:sz w:val="24"/>
              </w:rPr>
              <w:t>（</w:t>
            </w:r>
            <w:r>
              <w:rPr>
                <w:color w:val="auto"/>
                <w:sz w:val="24"/>
              </w:rPr>
              <w:t>V/5）</w:t>
            </w:r>
            <w:r>
              <w:rPr>
                <w:rFonts w:hint="eastAsia"/>
                <w:color w:val="auto"/>
                <w:sz w:val="24"/>
              </w:rPr>
              <w:t>（</w:t>
            </w:r>
            <w:r>
              <w:rPr>
                <w:color w:val="auto"/>
                <w:sz w:val="24"/>
              </w:rPr>
              <w:t>W/6.8</w:t>
            </w:r>
            <w:r>
              <w:rPr>
                <w:rFonts w:hint="eastAsia"/>
                <w:color w:val="auto"/>
                <w:sz w:val="24"/>
              </w:rPr>
              <w:t>）</w:t>
            </w:r>
            <w:r>
              <w:rPr>
                <w:color w:val="auto"/>
                <w:sz w:val="24"/>
                <w:vertAlign w:val="superscript"/>
              </w:rPr>
              <w:t>0.85</w:t>
            </w:r>
            <w:r>
              <w:rPr>
                <w:rFonts w:hint="eastAsia"/>
                <w:color w:val="auto"/>
                <w:sz w:val="24"/>
              </w:rPr>
              <w:t>（</w:t>
            </w:r>
            <w:r>
              <w:rPr>
                <w:color w:val="auto"/>
                <w:sz w:val="24"/>
              </w:rPr>
              <w:t>P/0.5</w:t>
            </w:r>
            <w:r>
              <w:rPr>
                <w:rFonts w:hint="eastAsia"/>
                <w:color w:val="auto"/>
                <w:sz w:val="24"/>
              </w:rPr>
              <w:t>）</w:t>
            </w:r>
            <w:r>
              <w:rPr>
                <w:color w:val="auto"/>
                <w:sz w:val="24"/>
                <w:vertAlign w:val="superscript"/>
              </w:rPr>
              <w:t>0.7</w:t>
            </w:r>
            <w:r>
              <w:rPr>
                <w:rFonts w:hint="eastAsia"/>
                <w:color w:val="auto"/>
                <w:sz w:val="24"/>
                <w:vertAlign w:val="superscript"/>
              </w:rPr>
              <w:t>5</w:t>
            </w:r>
          </w:p>
          <w:p w14:paraId="66A03EE1">
            <w:pPr>
              <w:spacing w:line="500" w:lineRule="exact"/>
              <w:ind w:firstLine="480" w:firstLineChars="200"/>
              <w:rPr>
                <w:color w:val="auto"/>
                <w:sz w:val="24"/>
              </w:rPr>
            </w:pPr>
            <w:r>
              <w:rPr>
                <w:color w:val="auto"/>
                <w:sz w:val="24"/>
              </w:rPr>
              <w:t>式中：Q</w:t>
            </w:r>
            <w:r>
              <w:rPr>
                <w:rFonts w:hint="eastAsia"/>
                <w:color w:val="auto"/>
                <w:sz w:val="24"/>
              </w:rPr>
              <w:t>--</w:t>
            </w:r>
            <w:r>
              <w:rPr>
                <w:color w:val="auto"/>
                <w:sz w:val="24"/>
              </w:rPr>
              <w:t>汽车行驶的扬尘，kg/km·辆；</w:t>
            </w:r>
          </w:p>
          <w:p w14:paraId="1306D9FA">
            <w:pPr>
              <w:spacing w:line="500" w:lineRule="exact"/>
              <w:ind w:firstLine="1200" w:firstLineChars="500"/>
              <w:rPr>
                <w:color w:val="auto"/>
                <w:sz w:val="24"/>
              </w:rPr>
            </w:pPr>
            <w:r>
              <w:rPr>
                <w:color w:val="auto"/>
                <w:sz w:val="24"/>
              </w:rPr>
              <w:t>V</w:t>
            </w:r>
            <w:r>
              <w:rPr>
                <w:rFonts w:hint="eastAsia"/>
                <w:color w:val="auto"/>
                <w:sz w:val="24"/>
              </w:rPr>
              <w:t>--</w:t>
            </w:r>
            <w:r>
              <w:rPr>
                <w:color w:val="auto"/>
                <w:sz w:val="24"/>
              </w:rPr>
              <w:t>汽车速度，km/h；</w:t>
            </w:r>
          </w:p>
          <w:p w14:paraId="2C373A90">
            <w:pPr>
              <w:spacing w:line="500" w:lineRule="exact"/>
              <w:ind w:firstLine="1200" w:firstLineChars="500"/>
              <w:rPr>
                <w:color w:val="auto"/>
                <w:sz w:val="24"/>
              </w:rPr>
            </w:pPr>
            <w:r>
              <w:rPr>
                <w:color w:val="auto"/>
                <w:sz w:val="24"/>
              </w:rPr>
              <w:t>W</w:t>
            </w:r>
            <w:r>
              <w:rPr>
                <w:rFonts w:hint="eastAsia"/>
                <w:color w:val="auto"/>
                <w:sz w:val="24"/>
              </w:rPr>
              <w:t>--</w:t>
            </w:r>
            <w:r>
              <w:rPr>
                <w:color w:val="auto"/>
                <w:sz w:val="24"/>
              </w:rPr>
              <w:t>汽车载重量，t；</w:t>
            </w:r>
          </w:p>
          <w:p w14:paraId="2E7D180E">
            <w:pPr>
              <w:spacing w:line="500" w:lineRule="exact"/>
              <w:ind w:firstLine="1200" w:firstLineChars="500"/>
              <w:rPr>
                <w:color w:val="auto"/>
                <w:sz w:val="24"/>
              </w:rPr>
            </w:pPr>
            <w:r>
              <w:rPr>
                <w:color w:val="auto"/>
                <w:sz w:val="24"/>
              </w:rPr>
              <w:t>P</w:t>
            </w:r>
            <w:r>
              <w:rPr>
                <w:rFonts w:hint="eastAsia"/>
                <w:color w:val="auto"/>
                <w:sz w:val="24"/>
              </w:rPr>
              <w:t>--</w:t>
            </w:r>
            <w:r>
              <w:rPr>
                <w:color w:val="auto"/>
                <w:sz w:val="24"/>
              </w:rPr>
              <w:t>道路表面粉尘量，kg/㎡。</w:t>
            </w:r>
          </w:p>
          <w:p w14:paraId="70C748BC">
            <w:pPr>
              <w:spacing w:line="500" w:lineRule="exact"/>
              <w:ind w:firstLine="480" w:firstLineChars="200"/>
              <w:rPr>
                <w:color w:val="auto"/>
                <w:sz w:val="24"/>
              </w:rPr>
            </w:pPr>
            <w:r>
              <w:rPr>
                <w:color w:val="auto"/>
                <w:sz w:val="24"/>
              </w:rPr>
              <w:t>以下为一辆10t卡车通过一段长度为1km路面时，不同行驶速度下的扬尘量按经验公式计算后的路表扬尘量见表4</w:t>
            </w:r>
            <w:r>
              <w:rPr>
                <w:rFonts w:hint="eastAsia"/>
                <w:color w:val="auto"/>
                <w:sz w:val="24"/>
              </w:rPr>
              <w:t>-2</w:t>
            </w:r>
            <w:r>
              <w:rPr>
                <w:color w:val="auto"/>
                <w:sz w:val="24"/>
              </w:rPr>
              <w:t>。</w:t>
            </w:r>
          </w:p>
          <w:p w14:paraId="3E79637C">
            <w:pPr>
              <w:spacing w:line="500" w:lineRule="exact"/>
              <w:ind w:firstLine="1446" w:firstLineChars="600"/>
              <w:rPr>
                <w:b/>
                <w:bCs/>
                <w:color w:val="auto"/>
                <w:kern w:val="0"/>
                <w:sz w:val="24"/>
              </w:rPr>
            </w:pPr>
            <w:r>
              <w:rPr>
                <w:b/>
                <w:bCs/>
                <w:color w:val="auto"/>
                <w:kern w:val="0"/>
                <w:sz w:val="24"/>
              </w:rPr>
              <w:t>表</w:t>
            </w:r>
            <w:r>
              <w:rPr>
                <w:rFonts w:hint="eastAsia"/>
                <w:b/>
                <w:bCs/>
                <w:color w:val="auto"/>
                <w:kern w:val="0"/>
                <w:sz w:val="24"/>
              </w:rPr>
              <w:t xml:space="preserve">4-2    </w:t>
            </w:r>
            <w:r>
              <w:rPr>
                <w:b/>
                <w:bCs/>
                <w:color w:val="auto"/>
                <w:kern w:val="0"/>
                <w:sz w:val="24"/>
              </w:rPr>
              <w:t>不同车速下的</w:t>
            </w:r>
            <w:r>
              <w:rPr>
                <w:b/>
                <w:bCs/>
                <w:color w:val="auto"/>
                <w:sz w:val="24"/>
              </w:rPr>
              <w:t>路表扬尘量</w:t>
            </w:r>
            <w:r>
              <w:rPr>
                <w:rFonts w:hint="eastAsia"/>
                <w:b/>
                <w:bCs/>
                <w:color w:val="auto"/>
                <w:kern w:val="0"/>
                <w:sz w:val="24"/>
              </w:rPr>
              <w:t xml:space="preserve">   </w:t>
            </w:r>
            <w:r>
              <w:rPr>
                <w:b/>
                <w:bCs/>
                <w:color w:val="auto"/>
                <w:kern w:val="0"/>
                <w:sz w:val="24"/>
              </w:rPr>
              <w:t xml:space="preserve"> 单位：kg/辆·km</w:t>
            </w:r>
          </w:p>
          <w:tbl>
            <w:tblPr>
              <w:tblStyle w:val="30"/>
              <w:tblW w:w="499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94"/>
              <w:gridCol w:w="1441"/>
              <w:gridCol w:w="1054"/>
              <w:gridCol w:w="1065"/>
              <w:gridCol w:w="1010"/>
              <w:gridCol w:w="927"/>
              <w:gridCol w:w="900"/>
              <w:gridCol w:w="824"/>
            </w:tblGrid>
            <w:tr w14:paraId="4988D5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1523" w:type="pct"/>
                  <w:gridSpan w:val="2"/>
                  <w:tcBorders>
                    <w:tl2br w:val="nil"/>
                    <w:tr2bl w:val="nil"/>
                  </w:tcBorders>
                  <w:vAlign w:val="center"/>
                </w:tcPr>
                <w:p w14:paraId="7B25B310">
                  <w:pPr>
                    <w:spacing w:line="320" w:lineRule="exact"/>
                    <w:jc w:val="center"/>
                    <w:rPr>
                      <w:color w:val="auto"/>
                      <w:szCs w:val="21"/>
                    </w:rPr>
                  </w:pPr>
                  <w:r>
                    <w:rPr>
                      <w:color w:val="auto"/>
                      <w:szCs w:val="21"/>
                    </w:rPr>
                    <w:t>地面清洁情况</w:t>
                  </w:r>
                  <w:r>
                    <w:rPr>
                      <w:rFonts w:hint="eastAsia"/>
                      <w:color w:val="auto"/>
                      <w:szCs w:val="21"/>
                    </w:rPr>
                    <w:t>（</w:t>
                  </w:r>
                  <w:r>
                    <w:rPr>
                      <w:color w:val="auto"/>
                      <w:szCs w:val="21"/>
                    </w:rPr>
                    <w:t>kg/m²）</w:t>
                  </w:r>
                </w:p>
              </w:tc>
              <w:tc>
                <w:tcPr>
                  <w:tcW w:w="633" w:type="pct"/>
                  <w:tcBorders>
                    <w:tl2br w:val="nil"/>
                    <w:tr2bl w:val="nil"/>
                  </w:tcBorders>
                  <w:vAlign w:val="center"/>
                </w:tcPr>
                <w:p w14:paraId="3194C68E">
                  <w:pPr>
                    <w:spacing w:line="320" w:lineRule="exact"/>
                    <w:jc w:val="center"/>
                    <w:rPr>
                      <w:color w:val="auto"/>
                      <w:szCs w:val="21"/>
                    </w:rPr>
                  </w:pPr>
                  <w:r>
                    <w:rPr>
                      <w:color w:val="auto"/>
                      <w:szCs w:val="21"/>
                    </w:rPr>
                    <w:t>0.1</w:t>
                  </w:r>
                </w:p>
              </w:tc>
              <w:tc>
                <w:tcPr>
                  <w:tcW w:w="640" w:type="pct"/>
                  <w:tcBorders>
                    <w:tl2br w:val="nil"/>
                    <w:tr2bl w:val="nil"/>
                  </w:tcBorders>
                  <w:vAlign w:val="center"/>
                </w:tcPr>
                <w:p w14:paraId="2BBFBD97">
                  <w:pPr>
                    <w:spacing w:line="320" w:lineRule="exact"/>
                    <w:jc w:val="center"/>
                    <w:rPr>
                      <w:color w:val="auto"/>
                      <w:szCs w:val="21"/>
                    </w:rPr>
                  </w:pPr>
                  <w:r>
                    <w:rPr>
                      <w:color w:val="auto"/>
                      <w:szCs w:val="21"/>
                    </w:rPr>
                    <w:t>0.2</w:t>
                  </w:r>
                </w:p>
              </w:tc>
              <w:tc>
                <w:tcPr>
                  <w:tcW w:w="607" w:type="pct"/>
                  <w:tcBorders>
                    <w:tl2br w:val="nil"/>
                    <w:tr2bl w:val="nil"/>
                  </w:tcBorders>
                  <w:vAlign w:val="center"/>
                </w:tcPr>
                <w:p w14:paraId="1F7E2A60">
                  <w:pPr>
                    <w:spacing w:line="320" w:lineRule="exact"/>
                    <w:jc w:val="center"/>
                    <w:rPr>
                      <w:color w:val="auto"/>
                      <w:szCs w:val="21"/>
                    </w:rPr>
                  </w:pPr>
                  <w:r>
                    <w:rPr>
                      <w:color w:val="auto"/>
                      <w:szCs w:val="21"/>
                    </w:rPr>
                    <w:t>0.3</w:t>
                  </w:r>
                </w:p>
              </w:tc>
              <w:tc>
                <w:tcPr>
                  <w:tcW w:w="557" w:type="pct"/>
                  <w:tcBorders>
                    <w:tl2br w:val="nil"/>
                    <w:tr2bl w:val="nil"/>
                  </w:tcBorders>
                  <w:vAlign w:val="center"/>
                </w:tcPr>
                <w:p w14:paraId="5A83B96F">
                  <w:pPr>
                    <w:spacing w:line="320" w:lineRule="exact"/>
                    <w:jc w:val="center"/>
                    <w:rPr>
                      <w:color w:val="auto"/>
                      <w:szCs w:val="21"/>
                    </w:rPr>
                  </w:pPr>
                  <w:r>
                    <w:rPr>
                      <w:color w:val="auto"/>
                      <w:szCs w:val="21"/>
                    </w:rPr>
                    <w:t>0.4</w:t>
                  </w:r>
                </w:p>
              </w:tc>
              <w:tc>
                <w:tcPr>
                  <w:tcW w:w="541" w:type="pct"/>
                  <w:tcBorders>
                    <w:tl2br w:val="nil"/>
                    <w:tr2bl w:val="nil"/>
                  </w:tcBorders>
                  <w:vAlign w:val="center"/>
                </w:tcPr>
                <w:p w14:paraId="26556067">
                  <w:pPr>
                    <w:spacing w:line="320" w:lineRule="exact"/>
                    <w:jc w:val="center"/>
                    <w:rPr>
                      <w:color w:val="auto"/>
                      <w:szCs w:val="21"/>
                    </w:rPr>
                  </w:pPr>
                  <w:r>
                    <w:rPr>
                      <w:color w:val="auto"/>
                      <w:szCs w:val="21"/>
                    </w:rPr>
                    <w:t>0.5</w:t>
                  </w:r>
                </w:p>
              </w:tc>
              <w:tc>
                <w:tcPr>
                  <w:tcW w:w="495" w:type="pct"/>
                  <w:tcBorders>
                    <w:tl2br w:val="nil"/>
                    <w:tr2bl w:val="nil"/>
                  </w:tcBorders>
                  <w:vAlign w:val="center"/>
                </w:tcPr>
                <w:p w14:paraId="01F1FD6D">
                  <w:pPr>
                    <w:spacing w:line="320" w:lineRule="exact"/>
                    <w:jc w:val="center"/>
                    <w:rPr>
                      <w:color w:val="auto"/>
                      <w:szCs w:val="21"/>
                    </w:rPr>
                  </w:pPr>
                  <w:r>
                    <w:rPr>
                      <w:color w:val="auto"/>
                      <w:szCs w:val="21"/>
                    </w:rPr>
                    <w:t>1.0</w:t>
                  </w:r>
                </w:p>
              </w:tc>
            </w:tr>
            <w:tr w14:paraId="4F2226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57" w:type="pct"/>
                  <w:vMerge w:val="restart"/>
                  <w:tcBorders>
                    <w:tl2br w:val="nil"/>
                    <w:tr2bl w:val="nil"/>
                  </w:tcBorders>
                  <w:vAlign w:val="center"/>
                </w:tcPr>
                <w:p w14:paraId="509C3950">
                  <w:pPr>
                    <w:spacing w:line="320" w:lineRule="exact"/>
                    <w:jc w:val="center"/>
                    <w:rPr>
                      <w:color w:val="auto"/>
                      <w:szCs w:val="21"/>
                    </w:rPr>
                  </w:pPr>
                  <w:r>
                    <w:rPr>
                      <w:color w:val="auto"/>
                      <w:szCs w:val="21"/>
                    </w:rPr>
                    <w:t>不同车速</w:t>
                  </w:r>
                  <w:r>
                    <w:rPr>
                      <w:rFonts w:hint="eastAsia"/>
                      <w:color w:val="auto"/>
                      <w:szCs w:val="21"/>
                    </w:rPr>
                    <w:t>（</w:t>
                  </w:r>
                  <w:r>
                    <w:rPr>
                      <w:color w:val="auto"/>
                      <w:szCs w:val="21"/>
                    </w:rPr>
                    <w:t>km/h）</w:t>
                  </w:r>
                </w:p>
              </w:tc>
              <w:tc>
                <w:tcPr>
                  <w:tcW w:w="865" w:type="pct"/>
                  <w:tcBorders>
                    <w:tl2br w:val="nil"/>
                    <w:tr2bl w:val="nil"/>
                  </w:tcBorders>
                  <w:vAlign w:val="center"/>
                </w:tcPr>
                <w:p w14:paraId="1EF5ACE4">
                  <w:pPr>
                    <w:spacing w:line="320" w:lineRule="exact"/>
                    <w:jc w:val="center"/>
                    <w:rPr>
                      <w:color w:val="auto"/>
                      <w:szCs w:val="21"/>
                    </w:rPr>
                  </w:pPr>
                  <w:r>
                    <w:rPr>
                      <w:color w:val="auto"/>
                      <w:szCs w:val="21"/>
                    </w:rPr>
                    <w:t>5</w:t>
                  </w:r>
                </w:p>
              </w:tc>
              <w:tc>
                <w:tcPr>
                  <w:tcW w:w="633" w:type="pct"/>
                  <w:tcBorders>
                    <w:tl2br w:val="nil"/>
                    <w:tr2bl w:val="nil"/>
                  </w:tcBorders>
                  <w:vAlign w:val="center"/>
                </w:tcPr>
                <w:p w14:paraId="6074F12C">
                  <w:pPr>
                    <w:spacing w:line="320" w:lineRule="exact"/>
                    <w:jc w:val="center"/>
                    <w:rPr>
                      <w:color w:val="auto"/>
                      <w:szCs w:val="21"/>
                    </w:rPr>
                  </w:pPr>
                  <w:r>
                    <w:rPr>
                      <w:color w:val="auto"/>
                      <w:szCs w:val="21"/>
                    </w:rPr>
                    <w:t>0.0511</w:t>
                  </w:r>
                </w:p>
              </w:tc>
              <w:tc>
                <w:tcPr>
                  <w:tcW w:w="640" w:type="pct"/>
                  <w:tcBorders>
                    <w:tl2br w:val="nil"/>
                    <w:tr2bl w:val="nil"/>
                  </w:tcBorders>
                  <w:vAlign w:val="center"/>
                </w:tcPr>
                <w:p w14:paraId="690D249C">
                  <w:pPr>
                    <w:spacing w:line="320" w:lineRule="exact"/>
                    <w:jc w:val="center"/>
                    <w:rPr>
                      <w:color w:val="auto"/>
                      <w:szCs w:val="21"/>
                    </w:rPr>
                  </w:pPr>
                  <w:r>
                    <w:rPr>
                      <w:color w:val="auto"/>
                      <w:szCs w:val="21"/>
                    </w:rPr>
                    <w:t>0.0859</w:t>
                  </w:r>
                </w:p>
              </w:tc>
              <w:tc>
                <w:tcPr>
                  <w:tcW w:w="607" w:type="pct"/>
                  <w:tcBorders>
                    <w:tl2br w:val="nil"/>
                    <w:tr2bl w:val="nil"/>
                  </w:tcBorders>
                  <w:vAlign w:val="center"/>
                </w:tcPr>
                <w:p w14:paraId="717DE1BC">
                  <w:pPr>
                    <w:spacing w:line="320" w:lineRule="exact"/>
                    <w:jc w:val="center"/>
                    <w:rPr>
                      <w:color w:val="auto"/>
                      <w:szCs w:val="21"/>
                    </w:rPr>
                  </w:pPr>
                  <w:r>
                    <w:rPr>
                      <w:color w:val="auto"/>
                      <w:szCs w:val="21"/>
                    </w:rPr>
                    <w:t>0.1164</w:t>
                  </w:r>
                </w:p>
              </w:tc>
              <w:tc>
                <w:tcPr>
                  <w:tcW w:w="557" w:type="pct"/>
                  <w:tcBorders>
                    <w:tl2br w:val="nil"/>
                    <w:tr2bl w:val="nil"/>
                  </w:tcBorders>
                  <w:vAlign w:val="center"/>
                </w:tcPr>
                <w:p w14:paraId="4840F8F8">
                  <w:pPr>
                    <w:spacing w:line="320" w:lineRule="exact"/>
                    <w:jc w:val="center"/>
                    <w:rPr>
                      <w:color w:val="auto"/>
                      <w:szCs w:val="21"/>
                    </w:rPr>
                  </w:pPr>
                  <w:r>
                    <w:rPr>
                      <w:color w:val="auto"/>
                      <w:szCs w:val="21"/>
                    </w:rPr>
                    <w:t>0.1444</w:t>
                  </w:r>
                </w:p>
              </w:tc>
              <w:tc>
                <w:tcPr>
                  <w:tcW w:w="541" w:type="pct"/>
                  <w:tcBorders>
                    <w:tl2br w:val="nil"/>
                    <w:tr2bl w:val="nil"/>
                  </w:tcBorders>
                  <w:vAlign w:val="center"/>
                </w:tcPr>
                <w:p w14:paraId="1E785D60">
                  <w:pPr>
                    <w:spacing w:line="320" w:lineRule="exact"/>
                    <w:jc w:val="center"/>
                    <w:rPr>
                      <w:color w:val="auto"/>
                      <w:szCs w:val="21"/>
                    </w:rPr>
                  </w:pPr>
                  <w:r>
                    <w:rPr>
                      <w:color w:val="auto"/>
                      <w:szCs w:val="21"/>
                    </w:rPr>
                    <w:t>0.1707</w:t>
                  </w:r>
                </w:p>
              </w:tc>
              <w:tc>
                <w:tcPr>
                  <w:tcW w:w="495" w:type="pct"/>
                  <w:tcBorders>
                    <w:tl2br w:val="nil"/>
                    <w:tr2bl w:val="nil"/>
                  </w:tcBorders>
                  <w:vAlign w:val="center"/>
                </w:tcPr>
                <w:p w14:paraId="5F7390DF">
                  <w:pPr>
                    <w:spacing w:line="320" w:lineRule="exact"/>
                    <w:jc w:val="center"/>
                    <w:rPr>
                      <w:color w:val="auto"/>
                      <w:szCs w:val="21"/>
                    </w:rPr>
                  </w:pPr>
                  <w:r>
                    <w:rPr>
                      <w:color w:val="auto"/>
                      <w:szCs w:val="21"/>
                    </w:rPr>
                    <w:t>0.2871</w:t>
                  </w:r>
                </w:p>
              </w:tc>
            </w:tr>
            <w:tr w14:paraId="16CEDB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57" w:type="pct"/>
                  <w:vMerge w:val="continue"/>
                  <w:tcBorders>
                    <w:tl2br w:val="nil"/>
                    <w:tr2bl w:val="nil"/>
                  </w:tcBorders>
                  <w:vAlign w:val="center"/>
                </w:tcPr>
                <w:p w14:paraId="28DADAD8">
                  <w:pPr>
                    <w:spacing w:line="320" w:lineRule="exact"/>
                    <w:jc w:val="center"/>
                    <w:rPr>
                      <w:color w:val="auto"/>
                      <w:szCs w:val="21"/>
                    </w:rPr>
                  </w:pPr>
                </w:p>
              </w:tc>
              <w:tc>
                <w:tcPr>
                  <w:tcW w:w="865" w:type="pct"/>
                  <w:tcBorders>
                    <w:tl2br w:val="nil"/>
                    <w:tr2bl w:val="nil"/>
                  </w:tcBorders>
                  <w:vAlign w:val="center"/>
                </w:tcPr>
                <w:p w14:paraId="64CF82B8">
                  <w:pPr>
                    <w:spacing w:line="320" w:lineRule="exact"/>
                    <w:jc w:val="center"/>
                    <w:rPr>
                      <w:color w:val="auto"/>
                      <w:szCs w:val="21"/>
                    </w:rPr>
                  </w:pPr>
                  <w:r>
                    <w:rPr>
                      <w:color w:val="auto"/>
                      <w:szCs w:val="21"/>
                    </w:rPr>
                    <w:t>10</w:t>
                  </w:r>
                </w:p>
              </w:tc>
              <w:tc>
                <w:tcPr>
                  <w:tcW w:w="633" w:type="pct"/>
                  <w:tcBorders>
                    <w:tl2br w:val="nil"/>
                    <w:tr2bl w:val="nil"/>
                  </w:tcBorders>
                  <w:vAlign w:val="center"/>
                </w:tcPr>
                <w:p w14:paraId="6835D9AD">
                  <w:pPr>
                    <w:spacing w:line="320" w:lineRule="exact"/>
                    <w:jc w:val="center"/>
                    <w:rPr>
                      <w:color w:val="auto"/>
                      <w:szCs w:val="21"/>
                    </w:rPr>
                  </w:pPr>
                  <w:r>
                    <w:rPr>
                      <w:color w:val="auto"/>
                      <w:szCs w:val="21"/>
                    </w:rPr>
                    <w:t>0.1021</w:t>
                  </w:r>
                </w:p>
              </w:tc>
              <w:tc>
                <w:tcPr>
                  <w:tcW w:w="640" w:type="pct"/>
                  <w:tcBorders>
                    <w:tl2br w:val="nil"/>
                    <w:tr2bl w:val="nil"/>
                  </w:tcBorders>
                  <w:vAlign w:val="center"/>
                </w:tcPr>
                <w:p w14:paraId="075888A3">
                  <w:pPr>
                    <w:spacing w:line="320" w:lineRule="exact"/>
                    <w:jc w:val="center"/>
                    <w:rPr>
                      <w:color w:val="auto"/>
                      <w:szCs w:val="21"/>
                    </w:rPr>
                  </w:pPr>
                  <w:r>
                    <w:rPr>
                      <w:color w:val="auto"/>
                      <w:szCs w:val="21"/>
                    </w:rPr>
                    <w:t>0.1717</w:t>
                  </w:r>
                </w:p>
              </w:tc>
              <w:tc>
                <w:tcPr>
                  <w:tcW w:w="607" w:type="pct"/>
                  <w:tcBorders>
                    <w:tl2br w:val="nil"/>
                    <w:tr2bl w:val="nil"/>
                  </w:tcBorders>
                  <w:vAlign w:val="center"/>
                </w:tcPr>
                <w:p w14:paraId="483FC888">
                  <w:pPr>
                    <w:spacing w:line="320" w:lineRule="exact"/>
                    <w:jc w:val="center"/>
                    <w:rPr>
                      <w:color w:val="auto"/>
                      <w:szCs w:val="21"/>
                    </w:rPr>
                  </w:pPr>
                  <w:r>
                    <w:rPr>
                      <w:color w:val="auto"/>
                      <w:szCs w:val="21"/>
                    </w:rPr>
                    <w:t>0.2328</w:t>
                  </w:r>
                </w:p>
              </w:tc>
              <w:tc>
                <w:tcPr>
                  <w:tcW w:w="557" w:type="pct"/>
                  <w:tcBorders>
                    <w:tl2br w:val="nil"/>
                    <w:tr2bl w:val="nil"/>
                  </w:tcBorders>
                  <w:vAlign w:val="center"/>
                </w:tcPr>
                <w:p w14:paraId="4C002077">
                  <w:pPr>
                    <w:spacing w:line="320" w:lineRule="exact"/>
                    <w:jc w:val="center"/>
                    <w:rPr>
                      <w:color w:val="auto"/>
                      <w:szCs w:val="21"/>
                    </w:rPr>
                  </w:pPr>
                  <w:r>
                    <w:rPr>
                      <w:color w:val="auto"/>
                      <w:szCs w:val="21"/>
                    </w:rPr>
                    <w:t>0.2888</w:t>
                  </w:r>
                </w:p>
              </w:tc>
              <w:tc>
                <w:tcPr>
                  <w:tcW w:w="541" w:type="pct"/>
                  <w:tcBorders>
                    <w:tl2br w:val="nil"/>
                    <w:tr2bl w:val="nil"/>
                  </w:tcBorders>
                  <w:vAlign w:val="center"/>
                </w:tcPr>
                <w:p w14:paraId="072F583D">
                  <w:pPr>
                    <w:spacing w:line="320" w:lineRule="exact"/>
                    <w:jc w:val="center"/>
                    <w:rPr>
                      <w:color w:val="auto"/>
                      <w:szCs w:val="21"/>
                    </w:rPr>
                  </w:pPr>
                  <w:r>
                    <w:rPr>
                      <w:color w:val="auto"/>
                      <w:szCs w:val="21"/>
                    </w:rPr>
                    <w:t>0.3414</w:t>
                  </w:r>
                </w:p>
              </w:tc>
              <w:tc>
                <w:tcPr>
                  <w:tcW w:w="495" w:type="pct"/>
                  <w:tcBorders>
                    <w:tl2br w:val="nil"/>
                    <w:tr2bl w:val="nil"/>
                  </w:tcBorders>
                  <w:vAlign w:val="center"/>
                </w:tcPr>
                <w:p w14:paraId="659C9BA3">
                  <w:pPr>
                    <w:spacing w:line="320" w:lineRule="exact"/>
                    <w:jc w:val="center"/>
                    <w:rPr>
                      <w:color w:val="auto"/>
                      <w:szCs w:val="21"/>
                    </w:rPr>
                  </w:pPr>
                  <w:r>
                    <w:rPr>
                      <w:color w:val="auto"/>
                      <w:szCs w:val="21"/>
                    </w:rPr>
                    <w:t>0.5742</w:t>
                  </w:r>
                </w:p>
              </w:tc>
            </w:tr>
            <w:tr w14:paraId="30C064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57" w:type="pct"/>
                  <w:vMerge w:val="continue"/>
                  <w:tcBorders>
                    <w:tl2br w:val="nil"/>
                    <w:tr2bl w:val="nil"/>
                  </w:tcBorders>
                  <w:vAlign w:val="center"/>
                </w:tcPr>
                <w:p w14:paraId="2B7D0492">
                  <w:pPr>
                    <w:spacing w:line="320" w:lineRule="exact"/>
                    <w:jc w:val="center"/>
                    <w:rPr>
                      <w:color w:val="auto"/>
                      <w:szCs w:val="21"/>
                    </w:rPr>
                  </w:pPr>
                </w:p>
              </w:tc>
              <w:tc>
                <w:tcPr>
                  <w:tcW w:w="865" w:type="pct"/>
                  <w:tcBorders>
                    <w:tl2br w:val="nil"/>
                    <w:tr2bl w:val="nil"/>
                  </w:tcBorders>
                  <w:vAlign w:val="center"/>
                </w:tcPr>
                <w:p w14:paraId="15636ED0">
                  <w:pPr>
                    <w:spacing w:line="320" w:lineRule="exact"/>
                    <w:jc w:val="center"/>
                    <w:rPr>
                      <w:color w:val="auto"/>
                      <w:szCs w:val="21"/>
                    </w:rPr>
                  </w:pPr>
                  <w:r>
                    <w:rPr>
                      <w:color w:val="auto"/>
                      <w:szCs w:val="21"/>
                    </w:rPr>
                    <w:t>15</w:t>
                  </w:r>
                </w:p>
              </w:tc>
              <w:tc>
                <w:tcPr>
                  <w:tcW w:w="633" w:type="pct"/>
                  <w:tcBorders>
                    <w:tl2br w:val="nil"/>
                    <w:tr2bl w:val="nil"/>
                  </w:tcBorders>
                  <w:vAlign w:val="center"/>
                </w:tcPr>
                <w:p w14:paraId="1ED2D2D7">
                  <w:pPr>
                    <w:spacing w:line="320" w:lineRule="exact"/>
                    <w:jc w:val="center"/>
                    <w:rPr>
                      <w:color w:val="auto"/>
                      <w:szCs w:val="21"/>
                    </w:rPr>
                  </w:pPr>
                  <w:r>
                    <w:rPr>
                      <w:color w:val="auto"/>
                      <w:szCs w:val="21"/>
                    </w:rPr>
                    <w:t>0.1532</w:t>
                  </w:r>
                </w:p>
              </w:tc>
              <w:tc>
                <w:tcPr>
                  <w:tcW w:w="640" w:type="pct"/>
                  <w:tcBorders>
                    <w:tl2br w:val="nil"/>
                    <w:tr2bl w:val="nil"/>
                  </w:tcBorders>
                  <w:vAlign w:val="center"/>
                </w:tcPr>
                <w:p w14:paraId="1A43485E">
                  <w:pPr>
                    <w:spacing w:line="320" w:lineRule="exact"/>
                    <w:jc w:val="center"/>
                    <w:rPr>
                      <w:color w:val="auto"/>
                      <w:szCs w:val="21"/>
                    </w:rPr>
                  </w:pPr>
                  <w:r>
                    <w:rPr>
                      <w:color w:val="auto"/>
                      <w:szCs w:val="21"/>
                    </w:rPr>
                    <w:t>0.2576</w:t>
                  </w:r>
                </w:p>
              </w:tc>
              <w:tc>
                <w:tcPr>
                  <w:tcW w:w="607" w:type="pct"/>
                  <w:tcBorders>
                    <w:tl2br w:val="nil"/>
                    <w:tr2bl w:val="nil"/>
                  </w:tcBorders>
                  <w:vAlign w:val="center"/>
                </w:tcPr>
                <w:p w14:paraId="1BEAA1E4">
                  <w:pPr>
                    <w:spacing w:line="320" w:lineRule="exact"/>
                    <w:jc w:val="center"/>
                    <w:rPr>
                      <w:color w:val="auto"/>
                      <w:szCs w:val="21"/>
                    </w:rPr>
                  </w:pPr>
                  <w:r>
                    <w:rPr>
                      <w:color w:val="auto"/>
                      <w:szCs w:val="21"/>
                    </w:rPr>
                    <w:t>0.3491</w:t>
                  </w:r>
                </w:p>
              </w:tc>
              <w:tc>
                <w:tcPr>
                  <w:tcW w:w="557" w:type="pct"/>
                  <w:tcBorders>
                    <w:tl2br w:val="nil"/>
                    <w:tr2bl w:val="nil"/>
                  </w:tcBorders>
                  <w:vAlign w:val="center"/>
                </w:tcPr>
                <w:p w14:paraId="40A8AACC">
                  <w:pPr>
                    <w:spacing w:line="320" w:lineRule="exact"/>
                    <w:jc w:val="center"/>
                    <w:rPr>
                      <w:color w:val="auto"/>
                      <w:szCs w:val="21"/>
                    </w:rPr>
                  </w:pPr>
                  <w:r>
                    <w:rPr>
                      <w:color w:val="auto"/>
                      <w:szCs w:val="21"/>
                    </w:rPr>
                    <w:t>0.4332</w:t>
                  </w:r>
                </w:p>
              </w:tc>
              <w:tc>
                <w:tcPr>
                  <w:tcW w:w="541" w:type="pct"/>
                  <w:tcBorders>
                    <w:tl2br w:val="nil"/>
                    <w:tr2bl w:val="nil"/>
                  </w:tcBorders>
                  <w:vAlign w:val="center"/>
                </w:tcPr>
                <w:p w14:paraId="2C451E96">
                  <w:pPr>
                    <w:spacing w:line="320" w:lineRule="exact"/>
                    <w:jc w:val="center"/>
                    <w:rPr>
                      <w:color w:val="auto"/>
                      <w:szCs w:val="21"/>
                    </w:rPr>
                  </w:pPr>
                  <w:r>
                    <w:rPr>
                      <w:color w:val="auto"/>
                      <w:szCs w:val="21"/>
                    </w:rPr>
                    <w:t>0.5121</w:t>
                  </w:r>
                </w:p>
              </w:tc>
              <w:tc>
                <w:tcPr>
                  <w:tcW w:w="495" w:type="pct"/>
                  <w:tcBorders>
                    <w:tl2br w:val="nil"/>
                    <w:tr2bl w:val="nil"/>
                  </w:tcBorders>
                  <w:vAlign w:val="center"/>
                </w:tcPr>
                <w:p w14:paraId="5A153779">
                  <w:pPr>
                    <w:spacing w:line="320" w:lineRule="exact"/>
                    <w:jc w:val="center"/>
                    <w:rPr>
                      <w:color w:val="auto"/>
                      <w:szCs w:val="21"/>
                    </w:rPr>
                  </w:pPr>
                  <w:r>
                    <w:rPr>
                      <w:color w:val="auto"/>
                      <w:szCs w:val="21"/>
                    </w:rPr>
                    <w:t>0.8613</w:t>
                  </w:r>
                </w:p>
              </w:tc>
            </w:tr>
            <w:tr w14:paraId="0C9BE1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657" w:type="pct"/>
                  <w:vMerge w:val="continue"/>
                  <w:tcBorders>
                    <w:tl2br w:val="nil"/>
                    <w:tr2bl w:val="nil"/>
                  </w:tcBorders>
                  <w:vAlign w:val="center"/>
                </w:tcPr>
                <w:p w14:paraId="3667AF4D">
                  <w:pPr>
                    <w:spacing w:line="320" w:lineRule="exact"/>
                    <w:jc w:val="center"/>
                    <w:rPr>
                      <w:color w:val="auto"/>
                      <w:szCs w:val="21"/>
                    </w:rPr>
                  </w:pPr>
                </w:p>
              </w:tc>
              <w:tc>
                <w:tcPr>
                  <w:tcW w:w="865" w:type="pct"/>
                  <w:tcBorders>
                    <w:tl2br w:val="nil"/>
                    <w:tr2bl w:val="nil"/>
                  </w:tcBorders>
                  <w:vAlign w:val="center"/>
                </w:tcPr>
                <w:p w14:paraId="3113084F">
                  <w:pPr>
                    <w:spacing w:line="320" w:lineRule="exact"/>
                    <w:jc w:val="center"/>
                    <w:rPr>
                      <w:color w:val="auto"/>
                      <w:szCs w:val="21"/>
                    </w:rPr>
                  </w:pPr>
                  <w:r>
                    <w:rPr>
                      <w:color w:val="auto"/>
                      <w:szCs w:val="21"/>
                    </w:rPr>
                    <w:t>25</w:t>
                  </w:r>
                </w:p>
              </w:tc>
              <w:tc>
                <w:tcPr>
                  <w:tcW w:w="633" w:type="pct"/>
                  <w:tcBorders>
                    <w:tl2br w:val="nil"/>
                    <w:tr2bl w:val="nil"/>
                  </w:tcBorders>
                  <w:vAlign w:val="center"/>
                </w:tcPr>
                <w:p w14:paraId="35CE04D4">
                  <w:pPr>
                    <w:spacing w:line="320" w:lineRule="exact"/>
                    <w:jc w:val="center"/>
                    <w:rPr>
                      <w:color w:val="auto"/>
                      <w:szCs w:val="21"/>
                    </w:rPr>
                  </w:pPr>
                  <w:r>
                    <w:rPr>
                      <w:color w:val="auto"/>
                      <w:szCs w:val="21"/>
                    </w:rPr>
                    <w:t>0.2553</w:t>
                  </w:r>
                </w:p>
              </w:tc>
              <w:tc>
                <w:tcPr>
                  <w:tcW w:w="640" w:type="pct"/>
                  <w:tcBorders>
                    <w:tl2br w:val="nil"/>
                    <w:tr2bl w:val="nil"/>
                  </w:tcBorders>
                  <w:vAlign w:val="center"/>
                </w:tcPr>
                <w:p w14:paraId="2172967F">
                  <w:pPr>
                    <w:spacing w:line="320" w:lineRule="exact"/>
                    <w:jc w:val="center"/>
                    <w:rPr>
                      <w:color w:val="auto"/>
                      <w:szCs w:val="21"/>
                    </w:rPr>
                  </w:pPr>
                  <w:r>
                    <w:rPr>
                      <w:color w:val="auto"/>
                      <w:szCs w:val="21"/>
                    </w:rPr>
                    <w:t>0.4293</w:t>
                  </w:r>
                </w:p>
              </w:tc>
              <w:tc>
                <w:tcPr>
                  <w:tcW w:w="607" w:type="pct"/>
                  <w:tcBorders>
                    <w:tl2br w:val="nil"/>
                    <w:tr2bl w:val="nil"/>
                  </w:tcBorders>
                  <w:vAlign w:val="center"/>
                </w:tcPr>
                <w:p w14:paraId="76E96AC7">
                  <w:pPr>
                    <w:spacing w:line="320" w:lineRule="exact"/>
                    <w:jc w:val="center"/>
                    <w:rPr>
                      <w:color w:val="auto"/>
                      <w:szCs w:val="21"/>
                    </w:rPr>
                  </w:pPr>
                  <w:r>
                    <w:rPr>
                      <w:color w:val="auto"/>
                      <w:szCs w:val="21"/>
                    </w:rPr>
                    <w:t>0.5819</w:t>
                  </w:r>
                </w:p>
              </w:tc>
              <w:tc>
                <w:tcPr>
                  <w:tcW w:w="557" w:type="pct"/>
                  <w:tcBorders>
                    <w:tl2br w:val="nil"/>
                    <w:tr2bl w:val="nil"/>
                  </w:tcBorders>
                  <w:vAlign w:val="center"/>
                </w:tcPr>
                <w:p w14:paraId="32BD6B6B">
                  <w:pPr>
                    <w:spacing w:line="320" w:lineRule="exact"/>
                    <w:jc w:val="center"/>
                    <w:rPr>
                      <w:color w:val="auto"/>
                      <w:szCs w:val="21"/>
                    </w:rPr>
                  </w:pPr>
                  <w:r>
                    <w:rPr>
                      <w:color w:val="auto"/>
                      <w:szCs w:val="21"/>
                    </w:rPr>
                    <w:t>0.7220</w:t>
                  </w:r>
                </w:p>
              </w:tc>
              <w:tc>
                <w:tcPr>
                  <w:tcW w:w="541" w:type="pct"/>
                  <w:tcBorders>
                    <w:tl2br w:val="nil"/>
                    <w:tr2bl w:val="nil"/>
                  </w:tcBorders>
                  <w:vAlign w:val="center"/>
                </w:tcPr>
                <w:p w14:paraId="62E9F78B">
                  <w:pPr>
                    <w:spacing w:line="320" w:lineRule="exact"/>
                    <w:jc w:val="center"/>
                    <w:rPr>
                      <w:color w:val="auto"/>
                      <w:szCs w:val="21"/>
                    </w:rPr>
                  </w:pPr>
                  <w:r>
                    <w:rPr>
                      <w:color w:val="auto"/>
                      <w:szCs w:val="21"/>
                    </w:rPr>
                    <w:t>0.8536</w:t>
                  </w:r>
                </w:p>
              </w:tc>
              <w:tc>
                <w:tcPr>
                  <w:tcW w:w="495" w:type="pct"/>
                  <w:tcBorders>
                    <w:tl2br w:val="nil"/>
                    <w:tr2bl w:val="nil"/>
                  </w:tcBorders>
                  <w:vAlign w:val="center"/>
                </w:tcPr>
                <w:p w14:paraId="7929C218">
                  <w:pPr>
                    <w:spacing w:line="320" w:lineRule="exact"/>
                    <w:jc w:val="center"/>
                    <w:rPr>
                      <w:color w:val="auto"/>
                      <w:szCs w:val="21"/>
                    </w:rPr>
                  </w:pPr>
                  <w:r>
                    <w:rPr>
                      <w:color w:val="auto"/>
                      <w:szCs w:val="21"/>
                    </w:rPr>
                    <w:t>1.4355</w:t>
                  </w:r>
                </w:p>
              </w:tc>
            </w:tr>
          </w:tbl>
          <w:p w14:paraId="4B6578AB">
            <w:pPr>
              <w:adjustRightInd w:val="0"/>
              <w:snapToGrid w:val="0"/>
              <w:spacing w:line="500" w:lineRule="exact"/>
              <w:ind w:firstLine="480" w:firstLineChars="200"/>
              <w:rPr>
                <w:color w:val="auto"/>
                <w:sz w:val="24"/>
              </w:rPr>
            </w:pPr>
            <w:r>
              <w:rPr>
                <w:rFonts w:hint="eastAsia"/>
                <w:color w:val="auto"/>
                <w:sz w:val="24"/>
              </w:rPr>
              <w:t>由此可见，在同样路面清洁程度条件下，车速越快，扬尘量越大；而在同样车速的情况下，路面越脏，则扬尘量越大。因此对出入施工场地车辆限速行驶及保持路面清洁是减少和</w:t>
            </w:r>
            <w:r>
              <w:rPr>
                <w:rFonts w:hint="eastAsia"/>
                <w:color w:val="auto"/>
                <w:sz w:val="24"/>
                <w:lang w:val="en-US" w:eastAsia="zh-CN"/>
              </w:rPr>
              <w:t>防治</w:t>
            </w:r>
            <w:r>
              <w:rPr>
                <w:rFonts w:hint="eastAsia"/>
                <w:color w:val="auto"/>
                <w:sz w:val="24"/>
              </w:rPr>
              <w:t>汽车扬尘的有效手段。本次评价要求必须采取抑尘措施，如施工场地洒水抑尘，做到施工现场泥土及时清理，车辆限速行驶，减少二次扬尘</w:t>
            </w:r>
            <w:r>
              <w:rPr>
                <w:rFonts w:hint="eastAsia"/>
                <w:color w:val="auto"/>
                <w:sz w:val="24"/>
                <w:lang w:eastAsia="zh-CN"/>
              </w:rPr>
              <w:t>，</w:t>
            </w:r>
            <w:r>
              <w:rPr>
                <w:rFonts w:hint="eastAsia"/>
                <w:color w:val="auto"/>
                <w:sz w:val="24"/>
              </w:rPr>
              <w:t>做到有效缓解施工期扬尘对周围环境的不利影响。</w:t>
            </w:r>
          </w:p>
          <w:p w14:paraId="490039AF">
            <w:pPr>
              <w:spacing w:line="500" w:lineRule="exact"/>
              <w:ind w:firstLine="480" w:firstLineChars="200"/>
              <w:outlineLvl w:val="1"/>
              <w:rPr>
                <w:rFonts w:hint="default" w:eastAsia="宋体"/>
                <w:color w:val="auto"/>
                <w:sz w:val="24"/>
                <w:lang w:val="en-US" w:eastAsia="zh-CN"/>
              </w:rPr>
            </w:pPr>
            <w:r>
              <w:rPr>
                <w:rFonts w:hint="eastAsia"/>
                <w:color w:val="auto"/>
                <w:sz w:val="24"/>
              </w:rPr>
              <w:t>④</w:t>
            </w:r>
            <w:r>
              <w:rPr>
                <w:rFonts w:hint="eastAsia"/>
                <w:color w:val="auto"/>
                <w:sz w:val="24"/>
                <w:lang w:val="en-US" w:eastAsia="zh-CN"/>
              </w:rPr>
              <w:t>井巷施工产生的煤尘</w:t>
            </w:r>
          </w:p>
          <w:p w14:paraId="7E2CFCB2">
            <w:pPr>
              <w:spacing w:line="500" w:lineRule="exact"/>
              <w:ind w:firstLine="480" w:firstLineChars="200"/>
              <w:outlineLvl w:val="1"/>
              <w:rPr>
                <w:rFonts w:hint="default" w:eastAsia="宋体"/>
                <w:color w:val="auto"/>
                <w:sz w:val="24"/>
                <w:lang w:val="en-US" w:eastAsia="zh-CN"/>
              </w:rPr>
            </w:pPr>
            <w:r>
              <w:rPr>
                <w:rFonts w:hint="eastAsia"/>
                <w:color w:val="auto"/>
                <w:sz w:val="24"/>
                <w:lang w:val="en-US" w:eastAsia="zh-CN"/>
              </w:rPr>
              <w:t>井巷施工时会产生少量煤尘，通过采用湿法作业，湿式钻孔、湿式钻眼等防尘措施，可减少煤尘的产生量。</w:t>
            </w:r>
          </w:p>
          <w:p w14:paraId="51F3D97A">
            <w:pPr>
              <w:spacing w:line="500" w:lineRule="exact"/>
              <w:ind w:firstLine="480" w:firstLineChars="200"/>
              <w:outlineLvl w:val="1"/>
              <w:rPr>
                <w:color w:val="auto"/>
                <w:sz w:val="24"/>
              </w:rPr>
            </w:pPr>
            <w:r>
              <w:rPr>
                <w:rFonts w:hint="eastAsia"/>
                <w:color w:val="auto"/>
                <w:sz w:val="24"/>
              </w:rPr>
              <w:t>（</w:t>
            </w:r>
            <w:r>
              <w:rPr>
                <w:color w:val="auto"/>
                <w:sz w:val="24"/>
              </w:rPr>
              <w:t>2）施工机械与运输车辆的燃油废气</w:t>
            </w:r>
          </w:p>
          <w:p w14:paraId="3F21ACD9">
            <w:pPr>
              <w:adjustRightInd w:val="0"/>
              <w:snapToGrid w:val="0"/>
              <w:spacing w:line="500" w:lineRule="exact"/>
              <w:ind w:firstLine="480" w:firstLineChars="200"/>
              <w:rPr>
                <w:color w:val="auto"/>
                <w:sz w:val="24"/>
              </w:rPr>
            </w:pPr>
            <w:r>
              <w:rPr>
                <w:color w:val="auto"/>
                <w:kern w:val="0"/>
                <w:sz w:val="24"/>
              </w:rPr>
              <w:t>本项目施工过程用到的施工机械主要有装载机、推土机以及各种运输车辆等，以柴油和汽油为主要燃料，间断运行，运行过程中都会产生一定量的废气，主要以NO</w:t>
            </w:r>
            <w:r>
              <w:rPr>
                <w:color w:val="auto"/>
                <w:kern w:val="0"/>
                <w:sz w:val="24"/>
                <w:vertAlign w:val="subscript"/>
              </w:rPr>
              <w:t>X</w:t>
            </w:r>
            <w:r>
              <w:rPr>
                <w:color w:val="auto"/>
                <w:kern w:val="0"/>
                <w:sz w:val="24"/>
              </w:rPr>
              <w:t>、CO和THC为主，为无组织排放，污染物排放量的大小与机械质量、油品质量、车辆运输量、设备类型以及运行的工况有关。本项目施工期</w:t>
            </w:r>
            <w:r>
              <w:rPr>
                <w:rFonts w:hint="eastAsia"/>
                <w:color w:val="auto"/>
                <w:kern w:val="0"/>
                <w:sz w:val="24"/>
              </w:rPr>
              <w:t>间</w:t>
            </w:r>
            <w:r>
              <w:rPr>
                <w:color w:val="auto"/>
                <w:kern w:val="0"/>
                <w:sz w:val="24"/>
              </w:rPr>
              <w:t>各机械设备使用满足标准的油品，且本次工程施工场地空旷，在加强施工机械、车辆等运行管理与维护保养情况下，可减少尾气排放对环境的污染，经扩散后对环境影响小。</w:t>
            </w:r>
          </w:p>
          <w:p w14:paraId="782A02E9">
            <w:pPr>
              <w:snapToGrid w:val="0"/>
              <w:spacing w:line="500" w:lineRule="exact"/>
              <w:ind w:firstLine="482" w:firstLineChars="200"/>
              <w:rPr>
                <w:b/>
                <w:bCs/>
                <w:color w:val="auto"/>
                <w:sz w:val="24"/>
              </w:rPr>
            </w:pPr>
            <w:r>
              <w:rPr>
                <w:rFonts w:hint="eastAsia"/>
                <w:b/>
                <w:bCs/>
                <w:color w:val="auto"/>
                <w:sz w:val="24"/>
              </w:rPr>
              <w:t>3</w:t>
            </w:r>
            <w:r>
              <w:rPr>
                <w:b/>
                <w:bCs/>
                <w:color w:val="auto"/>
                <w:sz w:val="24"/>
              </w:rPr>
              <w:t>、水环境影响分析</w:t>
            </w:r>
          </w:p>
          <w:p w14:paraId="0C17145A">
            <w:pPr>
              <w:spacing w:line="500" w:lineRule="exact"/>
              <w:ind w:firstLine="480" w:firstLineChars="200"/>
              <w:rPr>
                <w:color w:val="auto"/>
                <w:kern w:val="0"/>
                <w:sz w:val="24"/>
              </w:rPr>
            </w:pPr>
            <w:r>
              <w:rPr>
                <w:color w:val="auto"/>
                <w:kern w:val="0"/>
                <w:sz w:val="24"/>
              </w:rPr>
              <w:t>本项目</w:t>
            </w:r>
            <w:r>
              <w:rPr>
                <w:rFonts w:hint="eastAsia"/>
                <w:color w:val="auto"/>
                <w:kern w:val="0"/>
                <w:sz w:val="24"/>
                <w:lang w:val="en-US" w:eastAsia="zh-CN"/>
              </w:rPr>
              <w:t>施工期产生的</w:t>
            </w:r>
            <w:r>
              <w:rPr>
                <w:color w:val="auto"/>
                <w:kern w:val="0"/>
                <w:sz w:val="24"/>
              </w:rPr>
              <w:t>废水主要为施工</w:t>
            </w:r>
            <w:r>
              <w:rPr>
                <w:color w:val="auto"/>
                <w:sz w:val="24"/>
              </w:rPr>
              <w:t>人员</w:t>
            </w:r>
            <w:r>
              <w:rPr>
                <w:color w:val="auto"/>
                <w:kern w:val="0"/>
                <w:sz w:val="24"/>
              </w:rPr>
              <w:t>生活污水</w:t>
            </w:r>
            <w:r>
              <w:rPr>
                <w:rFonts w:hint="eastAsia"/>
                <w:color w:val="auto"/>
                <w:kern w:val="0"/>
                <w:sz w:val="24"/>
              </w:rPr>
              <w:t>、</w:t>
            </w:r>
            <w:r>
              <w:rPr>
                <w:color w:val="auto"/>
                <w:kern w:val="0"/>
                <w:sz w:val="24"/>
              </w:rPr>
              <w:t>施工废水和</w:t>
            </w:r>
            <w:r>
              <w:rPr>
                <w:rFonts w:hint="eastAsia"/>
                <w:color w:val="auto"/>
                <w:kern w:val="0"/>
                <w:sz w:val="24"/>
              </w:rPr>
              <w:t>井筒废水</w:t>
            </w:r>
            <w:r>
              <w:rPr>
                <w:color w:val="auto"/>
                <w:kern w:val="0"/>
                <w:sz w:val="24"/>
              </w:rPr>
              <w:t>。</w:t>
            </w:r>
          </w:p>
          <w:p w14:paraId="1C70F958">
            <w:pPr>
              <w:spacing w:line="500" w:lineRule="exact"/>
              <w:ind w:firstLine="480" w:firstLineChars="200"/>
              <w:rPr>
                <w:color w:val="auto"/>
                <w:kern w:val="0"/>
                <w:sz w:val="24"/>
              </w:rPr>
            </w:pPr>
            <w:r>
              <w:rPr>
                <w:rFonts w:hint="eastAsia"/>
                <w:color w:val="auto"/>
                <w:kern w:val="0"/>
                <w:sz w:val="24"/>
              </w:rPr>
              <w:t>（</w:t>
            </w:r>
            <w:r>
              <w:rPr>
                <w:rFonts w:hint="eastAsia"/>
                <w:color w:val="auto"/>
                <w:kern w:val="0"/>
                <w:sz w:val="24"/>
                <w:lang w:val="en-US" w:eastAsia="zh-CN"/>
              </w:rPr>
              <w:t>1</w:t>
            </w:r>
            <w:r>
              <w:rPr>
                <w:color w:val="auto"/>
                <w:kern w:val="0"/>
                <w:sz w:val="24"/>
              </w:rPr>
              <w:t>）生活污水</w:t>
            </w:r>
          </w:p>
          <w:p w14:paraId="644A12E7">
            <w:pPr>
              <w:keepNext w:val="0"/>
              <w:keepLines w:val="0"/>
              <w:pageBreakBefore w:val="0"/>
              <w:widowControl w:val="0"/>
              <w:kinsoku/>
              <w:wordWrap/>
              <w:overflowPunct/>
              <w:topLinePunct w:val="0"/>
              <w:autoSpaceDE/>
              <w:autoSpaceDN/>
              <w:bidi w:val="0"/>
              <w:adjustRightInd/>
              <w:spacing w:line="480" w:lineRule="exact"/>
              <w:ind w:firstLine="480" w:firstLineChars="200"/>
              <w:textAlignment w:val="auto"/>
              <w:rPr>
                <w:color w:val="auto"/>
                <w:kern w:val="0"/>
                <w:sz w:val="24"/>
              </w:rPr>
            </w:pPr>
            <w:r>
              <w:rPr>
                <w:color w:val="auto"/>
                <w:sz w:val="24"/>
              </w:rPr>
              <w:t>在项目建设期间施工人员会产生一定量的生活污水，按项目施工情况，施工高峰期每天约</w:t>
            </w:r>
            <w:r>
              <w:rPr>
                <w:rFonts w:hint="eastAsia"/>
                <w:color w:val="auto"/>
                <w:sz w:val="24"/>
              </w:rPr>
              <w:t>3</w:t>
            </w:r>
            <w:r>
              <w:rPr>
                <w:color w:val="auto"/>
                <w:sz w:val="24"/>
              </w:rPr>
              <w:t>0人，根据《内蒙古自治区行业用水定额》</w:t>
            </w:r>
            <w:r>
              <w:rPr>
                <w:rFonts w:hint="eastAsia"/>
                <w:color w:val="auto"/>
                <w:sz w:val="24"/>
              </w:rPr>
              <w:t>（</w:t>
            </w:r>
            <w:r>
              <w:rPr>
                <w:color w:val="auto"/>
                <w:sz w:val="24"/>
              </w:rPr>
              <w:t>DB15/T 385</w:t>
            </w:r>
            <w:r>
              <w:rPr>
                <w:rFonts w:hint="eastAsia"/>
                <w:color w:val="auto"/>
                <w:sz w:val="24"/>
              </w:rPr>
              <w:t>-2020</w:t>
            </w:r>
            <w:r>
              <w:rPr>
                <w:color w:val="auto"/>
                <w:sz w:val="24"/>
              </w:rPr>
              <w:t>），参考农村居民用水定额60 L/</w:t>
            </w:r>
            <w:r>
              <w:rPr>
                <w:rFonts w:hint="eastAsia"/>
                <w:color w:val="auto"/>
                <w:sz w:val="24"/>
              </w:rPr>
              <w:t>（</w:t>
            </w:r>
            <w:r>
              <w:rPr>
                <w:color w:val="auto"/>
                <w:sz w:val="24"/>
              </w:rPr>
              <w:t>人·d），产污系数按0.8计，施工人员生活污水产生量为1.</w:t>
            </w:r>
            <w:r>
              <w:rPr>
                <w:rFonts w:hint="eastAsia"/>
                <w:color w:val="auto"/>
                <w:sz w:val="24"/>
              </w:rPr>
              <w:t>8</w:t>
            </w:r>
            <w:r>
              <w:rPr>
                <w:color w:val="auto"/>
                <w:sz w:val="24"/>
              </w:rPr>
              <w:t> m</w:t>
            </w:r>
            <w:r>
              <w:rPr>
                <w:color w:val="auto"/>
                <w:sz w:val="24"/>
                <w:vertAlign w:val="superscript"/>
              </w:rPr>
              <w:t>3</w:t>
            </w:r>
            <w:r>
              <w:rPr>
                <w:color w:val="auto"/>
                <w:sz w:val="24"/>
              </w:rPr>
              <w:t>/d，施工期共产生生活污水</w:t>
            </w:r>
            <w:r>
              <w:rPr>
                <w:rFonts w:hint="eastAsia"/>
                <w:color w:val="auto"/>
                <w:sz w:val="24"/>
              </w:rPr>
              <w:t>1161</w:t>
            </w:r>
            <w:r>
              <w:rPr>
                <w:color w:val="auto"/>
                <w:sz w:val="24"/>
              </w:rPr>
              <w:t>m</w:t>
            </w:r>
            <w:r>
              <w:rPr>
                <w:color w:val="auto"/>
                <w:sz w:val="24"/>
                <w:vertAlign w:val="superscript"/>
              </w:rPr>
              <w:t>3</w:t>
            </w:r>
            <w:r>
              <w:rPr>
                <w:color w:val="auto"/>
                <w:sz w:val="24"/>
              </w:rPr>
              <w:t>，主要污染物为COD、BOD</w:t>
            </w:r>
            <w:r>
              <w:rPr>
                <w:color w:val="auto"/>
                <w:sz w:val="24"/>
                <w:vertAlign w:val="subscript"/>
              </w:rPr>
              <w:t>5</w:t>
            </w:r>
            <w:r>
              <w:rPr>
                <w:color w:val="auto"/>
                <w:sz w:val="24"/>
              </w:rPr>
              <w:t>、NH</w:t>
            </w:r>
            <w:r>
              <w:rPr>
                <w:color w:val="auto"/>
                <w:sz w:val="24"/>
                <w:vertAlign w:val="subscript"/>
              </w:rPr>
              <w:t>3</w:t>
            </w:r>
            <w:r>
              <w:rPr>
                <w:rFonts w:hint="eastAsia"/>
                <w:color w:val="auto"/>
                <w:sz w:val="24"/>
              </w:rPr>
              <w:t>-</w:t>
            </w:r>
            <w:r>
              <w:rPr>
                <w:color w:val="auto"/>
                <w:sz w:val="24"/>
              </w:rPr>
              <w:t>N、SS。</w:t>
            </w:r>
            <w:r>
              <w:rPr>
                <w:color w:val="auto"/>
                <w:spacing w:val="-3"/>
                <w:sz w:val="24"/>
              </w:rPr>
              <w:t>在施工场地</w:t>
            </w:r>
            <w:r>
              <w:rPr>
                <w:rFonts w:hint="eastAsia"/>
                <w:color w:val="auto"/>
                <w:spacing w:val="-3"/>
                <w:sz w:val="24"/>
              </w:rPr>
              <w:t>设置临时化粪池，</w:t>
            </w:r>
            <w:r>
              <w:rPr>
                <w:color w:val="auto"/>
                <w:sz w:val="24"/>
              </w:rPr>
              <w:t>定期由吸粪车输送至工业场地既有生活污水处理站统一处理后回用，不向地表水环境排放对环境影响较小。</w:t>
            </w:r>
          </w:p>
          <w:p w14:paraId="4C88BC2B">
            <w:pPr>
              <w:spacing w:line="500" w:lineRule="exact"/>
              <w:ind w:firstLine="480" w:firstLineChars="200"/>
              <w:rPr>
                <w:color w:val="auto"/>
                <w:kern w:val="0"/>
                <w:sz w:val="24"/>
              </w:rPr>
            </w:pPr>
            <w:r>
              <w:rPr>
                <w:rFonts w:hint="eastAsia"/>
                <w:color w:val="auto"/>
                <w:kern w:val="0"/>
                <w:sz w:val="24"/>
              </w:rPr>
              <w:t>（</w:t>
            </w:r>
            <w:r>
              <w:rPr>
                <w:rFonts w:hint="eastAsia"/>
                <w:color w:val="auto"/>
                <w:kern w:val="0"/>
                <w:sz w:val="24"/>
                <w:lang w:val="en-US" w:eastAsia="zh-CN"/>
              </w:rPr>
              <w:t>2</w:t>
            </w:r>
            <w:r>
              <w:rPr>
                <w:color w:val="auto"/>
                <w:kern w:val="0"/>
                <w:sz w:val="24"/>
              </w:rPr>
              <w:t>）施工废水</w:t>
            </w:r>
          </w:p>
          <w:p w14:paraId="06DBCEEC">
            <w:pPr>
              <w:spacing w:line="500" w:lineRule="exact"/>
              <w:ind w:firstLine="480" w:firstLineChars="200"/>
              <w:rPr>
                <w:color w:val="auto"/>
                <w:kern w:val="0"/>
                <w:sz w:val="24"/>
              </w:rPr>
            </w:pPr>
            <w:r>
              <w:rPr>
                <w:color w:val="auto"/>
                <w:kern w:val="0"/>
                <w:sz w:val="24"/>
              </w:rPr>
              <w:t>项目施工废水是清洗施工设备以及清洗机械车辆产生的废水，主要污染物为SS，浓度为1500～2500mg/L。施工场地内设置</w:t>
            </w:r>
            <w:r>
              <w:rPr>
                <w:rFonts w:hint="eastAsia"/>
                <w:color w:val="auto"/>
                <w:kern w:val="0"/>
                <w:sz w:val="24"/>
                <w:lang w:val="en-US" w:eastAsia="zh-CN"/>
              </w:rPr>
              <w:t>临时</w:t>
            </w:r>
            <w:r>
              <w:rPr>
                <w:color w:val="auto"/>
                <w:kern w:val="0"/>
                <w:sz w:val="24"/>
              </w:rPr>
              <w:t>沉淀池，施工废水经沉淀池处理后循环利用，对周围地表水环境质量影响</w:t>
            </w:r>
            <w:r>
              <w:rPr>
                <w:rFonts w:hint="eastAsia"/>
                <w:color w:val="auto"/>
                <w:kern w:val="0"/>
                <w:sz w:val="24"/>
                <w:lang w:val="en-US" w:eastAsia="zh-CN"/>
              </w:rPr>
              <w:t>较小</w:t>
            </w:r>
            <w:r>
              <w:rPr>
                <w:color w:val="auto"/>
                <w:kern w:val="0"/>
                <w:sz w:val="24"/>
              </w:rPr>
              <w:t>。</w:t>
            </w:r>
          </w:p>
          <w:p w14:paraId="0EDC0BC9">
            <w:pPr>
              <w:keepNext w:val="0"/>
              <w:keepLines w:val="0"/>
              <w:pageBreakBefore w:val="0"/>
              <w:widowControl w:val="0"/>
              <w:kinsoku/>
              <w:wordWrap/>
              <w:overflowPunct/>
              <w:topLinePunct w:val="0"/>
              <w:autoSpaceDE/>
              <w:autoSpaceDN/>
              <w:bidi w:val="0"/>
              <w:adjustRightInd/>
              <w:spacing w:line="480" w:lineRule="exact"/>
              <w:ind w:firstLine="480" w:firstLineChars="200"/>
              <w:textAlignment w:val="auto"/>
              <w:rPr>
                <w:rFonts w:hint="eastAsia"/>
                <w:color w:val="auto"/>
                <w:kern w:val="0"/>
                <w:sz w:val="24"/>
                <w:lang w:eastAsia="zh-CN"/>
              </w:rPr>
            </w:pPr>
            <w:r>
              <w:rPr>
                <w:rFonts w:hint="eastAsia"/>
                <w:color w:val="auto"/>
                <w:kern w:val="0"/>
                <w:sz w:val="24"/>
              </w:rPr>
              <w:t>（3）</w:t>
            </w:r>
            <w:r>
              <w:rPr>
                <w:rFonts w:hint="eastAsia"/>
                <w:color w:val="auto"/>
                <w:kern w:val="0"/>
                <w:sz w:val="24"/>
                <w:lang w:eastAsia="zh-CN"/>
              </w:rPr>
              <w:t>井筒掘进涌水</w:t>
            </w:r>
          </w:p>
          <w:p w14:paraId="5A8EE23B">
            <w:pPr>
              <w:keepNext w:val="0"/>
              <w:keepLines w:val="0"/>
              <w:pageBreakBefore w:val="0"/>
              <w:widowControl w:val="0"/>
              <w:kinsoku/>
              <w:wordWrap/>
              <w:overflowPunct/>
              <w:topLinePunct w:val="0"/>
              <w:autoSpaceDE/>
              <w:autoSpaceDN/>
              <w:bidi w:val="0"/>
              <w:adjustRightInd/>
              <w:spacing w:line="480" w:lineRule="exact"/>
              <w:ind w:firstLine="480" w:firstLineChars="200"/>
              <w:textAlignment w:val="auto"/>
              <w:rPr>
                <w:color w:val="auto"/>
                <w:kern w:val="0"/>
                <w:sz w:val="24"/>
              </w:rPr>
            </w:pPr>
            <w:r>
              <w:rPr>
                <w:rFonts w:hint="eastAsia"/>
                <w:color w:val="auto"/>
                <w:kern w:val="0"/>
                <w:sz w:val="24"/>
              </w:rPr>
              <w:t>风井场地井筒掘进过程中产生</w:t>
            </w:r>
            <w:r>
              <w:rPr>
                <w:rFonts w:hint="eastAsia"/>
                <w:color w:val="auto"/>
                <w:kern w:val="0"/>
                <w:sz w:val="24"/>
                <w:lang w:val="en-US" w:eastAsia="zh-CN"/>
              </w:rPr>
              <w:t>少量涌水</w:t>
            </w:r>
            <w:r>
              <w:rPr>
                <w:rFonts w:hint="eastAsia"/>
                <w:color w:val="auto"/>
                <w:kern w:val="0"/>
                <w:sz w:val="24"/>
              </w:rPr>
              <w:t>，</w:t>
            </w:r>
            <w:r>
              <w:rPr>
                <w:color w:val="auto"/>
                <w:spacing w:val="-3"/>
                <w:sz w:val="24"/>
              </w:rPr>
              <w:t>废水主要受井下施</w:t>
            </w:r>
            <w:r>
              <w:rPr>
                <w:color w:val="auto"/>
                <w:spacing w:val="-2"/>
                <w:sz w:val="24"/>
              </w:rPr>
              <w:t>工作业面活动污染，主要</w:t>
            </w:r>
            <w:r>
              <w:rPr>
                <w:rFonts w:hint="eastAsia"/>
                <w:color w:val="auto"/>
                <w:spacing w:val="-2"/>
                <w:sz w:val="24"/>
                <w:lang w:val="en-US" w:eastAsia="zh-CN"/>
              </w:rPr>
              <w:t>以</w:t>
            </w:r>
            <w:r>
              <w:rPr>
                <w:color w:val="auto"/>
                <w:spacing w:val="-2"/>
                <w:sz w:val="24"/>
              </w:rPr>
              <w:t>岩粉、煤粉为主</w:t>
            </w:r>
            <w:r>
              <w:rPr>
                <w:rFonts w:hint="eastAsia"/>
                <w:color w:val="auto"/>
                <w:spacing w:val="-2"/>
                <w:sz w:val="24"/>
              </w:rPr>
              <w:t>，主要污染物为SS，</w:t>
            </w:r>
            <w:r>
              <w:rPr>
                <w:rFonts w:hint="eastAsia"/>
                <w:color w:val="auto"/>
                <w:sz w:val="24"/>
              </w:rPr>
              <w:t>根据《国能包头能源有限责任公司李家壕煤矿新建进、回风立井项目初步设计》，矿井正常涌水量106m</w:t>
            </w:r>
            <w:r>
              <w:rPr>
                <w:rFonts w:hint="eastAsia"/>
                <w:color w:val="auto"/>
                <w:sz w:val="24"/>
                <w:vertAlign w:val="superscript"/>
              </w:rPr>
              <w:t>3</w:t>
            </w:r>
            <w:r>
              <w:rPr>
                <w:rFonts w:hint="eastAsia"/>
                <w:color w:val="auto"/>
                <w:sz w:val="24"/>
              </w:rPr>
              <w:t>/h，最大涌水量202m</w:t>
            </w:r>
            <w:r>
              <w:rPr>
                <w:rFonts w:hint="eastAsia"/>
                <w:color w:val="auto"/>
                <w:sz w:val="24"/>
                <w:vertAlign w:val="superscript"/>
              </w:rPr>
              <w:t>3</w:t>
            </w:r>
            <w:r>
              <w:rPr>
                <w:rFonts w:hint="eastAsia"/>
                <w:color w:val="auto"/>
                <w:sz w:val="24"/>
              </w:rPr>
              <w:t>/h</w:t>
            </w:r>
            <w:r>
              <w:rPr>
                <w:color w:val="auto"/>
                <w:sz w:val="24"/>
              </w:rPr>
              <w:t>。</w:t>
            </w:r>
            <w:r>
              <w:rPr>
                <w:rFonts w:hint="eastAsia"/>
                <w:color w:val="auto"/>
                <w:kern w:val="0"/>
                <w:sz w:val="24"/>
              </w:rPr>
              <w:t>由抽水车定期集中抽排，运送至李家壕煤矿工业场地既有矿井水处理站处理后回用</w:t>
            </w:r>
            <w:r>
              <w:rPr>
                <w:rFonts w:hint="eastAsia"/>
                <w:color w:val="auto"/>
                <w:spacing w:val="-2"/>
                <w:sz w:val="24"/>
              </w:rPr>
              <w:t>。</w:t>
            </w:r>
          </w:p>
          <w:p w14:paraId="257E16D1">
            <w:pPr>
              <w:keepNext w:val="0"/>
              <w:keepLines w:val="0"/>
              <w:pageBreakBefore w:val="0"/>
              <w:widowControl w:val="0"/>
              <w:kinsoku/>
              <w:wordWrap/>
              <w:overflowPunct/>
              <w:topLinePunct w:val="0"/>
              <w:autoSpaceDE/>
              <w:autoSpaceDN/>
              <w:bidi w:val="0"/>
              <w:adjustRightInd/>
              <w:snapToGrid w:val="0"/>
              <w:spacing w:line="480" w:lineRule="exact"/>
              <w:ind w:firstLine="482" w:firstLineChars="200"/>
              <w:textAlignment w:val="auto"/>
              <w:rPr>
                <w:b/>
                <w:bCs/>
                <w:color w:val="auto"/>
                <w:sz w:val="24"/>
              </w:rPr>
            </w:pPr>
            <w:r>
              <w:rPr>
                <w:rFonts w:hint="eastAsia"/>
                <w:b/>
                <w:bCs/>
                <w:color w:val="auto"/>
                <w:sz w:val="24"/>
              </w:rPr>
              <w:t>4</w:t>
            </w:r>
            <w:r>
              <w:rPr>
                <w:b/>
                <w:bCs/>
                <w:color w:val="auto"/>
                <w:sz w:val="24"/>
              </w:rPr>
              <w:t>、声环境影响分析</w:t>
            </w:r>
          </w:p>
          <w:p w14:paraId="0A3C973A">
            <w:pPr>
              <w:keepNext w:val="0"/>
              <w:keepLines w:val="0"/>
              <w:pageBreakBefore w:val="0"/>
              <w:widowControl w:val="0"/>
              <w:tabs>
                <w:tab w:val="left" w:pos="624"/>
              </w:tabs>
              <w:kinsoku/>
              <w:wordWrap/>
              <w:overflowPunct/>
              <w:topLinePunct w:val="0"/>
              <w:autoSpaceDE/>
              <w:autoSpaceDN/>
              <w:bidi w:val="0"/>
              <w:adjustRightInd/>
              <w:spacing w:line="480" w:lineRule="exact"/>
              <w:ind w:firstLine="480" w:firstLineChars="200"/>
              <w:textAlignment w:val="auto"/>
              <w:rPr>
                <w:color w:val="auto"/>
                <w:sz w:val="24"/>
              </w:rPr>
            </w:pPr>
            <w:r>
              <w:rPr>
                <w:color w:val="auto"/>
                <w:sz w:val="24"/>
              </w:rPr>
              <w:t>本项目施工期间主要噪声源为</w:t>
            </w:r>
            <w:r>
              <w:rPr>
                <w:rFonts w:hint="eastAsia"/>
                <w:color w:val="auto"/>
                <w:sz w:val="24"/>
              </w:rPr>
              <w:t>推土机、挖掘机、装载机</w:t>
            </w:r>
            <w:r>
              <w:rPr>
                <w:color w:val="auto"/>
                <w:sz w:val="24"/>
              </w:rPr>
              <w:t>等施工机械以及运输车辆，噪声源的特点属于移动声源且分散。施工机械噪声源强见下表</w:t>
            </w:r>
            <w:r>
              <w:rPr>
                <w:rFonts w:hint="eastAsia"/>
                <w:color w:val="auto"/>
                <w:sz w:val="24"/>
              </w:rPr>
              <w:t>。</w:t>
            </w:r>
          </w:p>
          <w:p w14:paraId="5283F78B">
            <w:pPr>
              <w:pStyle w:val="5"/>
              <w:spacing w:before="0" w:after="0" w:line="500" w:lineRule="exact"/>
              <w:ind w:right="0"/>
              <w:jc w:val="center"/>
              <w:rPr>
                <w:b/>
                <w:bCs/>
                <w:color w:val="auto"/>
                <w:sz w:val="24"/>
                <w:szCs w:val="24"/>
              </w:rPr>
            </w:pPr>
            <w:r>
              <w:rPr>
                <w:b/>
                <w:bCs/>
                <w:color w:val="auto"/>
                <w:sz w:val="24"/>
                <w:szCs w:val="24"/>
              </w:rPr>
              <w:t>表</w:t>
            </w:r>
            <w:r>
              <w:rPr>
                <w:rFonts w:hint="eastAsia"/>
                <w:b/>
                <w:bCs/>
                <w:color w:val="auto"/>
                <w:sz w:val="24"/>
                <w:szCs w:val="24"/>
              </w:rPr>
              <w:t>4-3</w:t>
            </w:r>
            <w:r>
              <w:rPr>
                <w:b/>
                <w:bCs/>
                <w:color w:val="auto"/>
                <w:sz w:val="24"/>
                <w:szCs w:val="24"/>
              </w:rPr>
              <w:t xml:space="preserve"> </w:t>
            </w:r>
            <w:r>
              <w:rPr>
                <w:rFonts w:hint="eastAsia"/>
                <w:b/>
                <w:bCs/>
                <w:color w:val="auto"/>
                <w:sz w:val="24"/>
                <w:szCs w:val="24"/>
              </w:rPr>
              <w:t xml:space="preserve">  </w:t>
            </w:r>
            <w:r>
              <w:rPr>
                <w:b/>
                <w:bCs/>
                <w:color w:val="auto"/>
                <w:sz w:val="24"/>
                <w:szCs w:val="24"/>
              </w:rPr>
              <w:t>施工机械产噪值一览表</w:t>
            </w:r>
          </w:p>
          <w:tbl>
            <w:tblPr>
              <w:tblStyle w:val="2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1"/>
              <w:gridCol w:w="2289"/>
              <w:gridCol w:w="2374"/>
              <w:gridCol w:w="2638"/>
            </w:tblGrid>
            <w:tr w14:paraId="63BFB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vAlign w:val="center"/>
                </w:tcPr>
                <w:p w14:paraId="15488E93">
                  <w:pPr>
                    <w:widowControl/>
                    <w:tabs>
                      <w:tab w:val="left" w:pos="810"/>
                    </w:tabs>
                    <w:adjustRightInd w:val="0"/>
                    <w:snapToGrid w:val="0"/>
                    <w:spacing w:line="320" w:lineRule="exact"/>
                    <w:jc w:val="center"/>
                    <w:rPr>
                      <w:bCs/>
                      <w:color w:val="auto"/>
                      <w:szCs w:val="21"/>
                    </w:rPr>
                  </w:pPr>
                  <w:r>
                    <w:rPr>
                      <w:bCs/>
                      <w:color w:val="auto"/>
                      <w:szCs w:val="21"/>
                    </w:rPr>
                    <w:t>序号</w:t>
                  </w:r>
                </w:p>
              </w:tc>
              <w:tc>
                <w:tcPr>
                  <w:tcW w:w="1375" w:type="pct"/>
                  <w:vAlign w:val="center"/>
                </w:tcPr>
                <w:p w14:paraId="169F9DA7">
                  <w:pPr>
                    <w:widowControl/>
                    <w:tabs>
                      <w:tab w:val="left" w:pos="810"/>
                    </w:tabs>
                    <w:adjustRightInd w:val="0"/>
                    <w:snapToGrid w:val="0"/>
                    <w:spacing w:line="320" w:lineRule="exact"/>
                    <w:jc w:val="center"/>
                    <w:rPr>
                      <w:bCs/>
                      <w:color w:val="auto"/>
                      <w:szCs w:val="21"/>
                    </w:rPr>
                  </w:pPr>
                  <w:r>
                    <w:rPr>
                      <w:bCs/>
                      <w:color w:val="auto"/>
                      <w:kern w:val="0"/>
                      <w:szCs w:val="21"/>
                    </w:rPr>
                    <w:t>设备名称</w:t>
                  </w:r>
                </w:p>
              </w:tc>
              <w:tc>
                <w:tcPr>
                  <w:tcW w:w="1426" w:type="pct"/>
                  <w:vAlign w:val="center"/>
                </w:tcPr>
                <w:p w14:paraId="129FF123">
                  <w:pPr>
                    <w:widowControl/>
                    <w:spacing w:line="320" w:lineRule="exact"/>
                    <w:jc w:val="center"/>
                    <w:rPr>
                      <w:bCs/>
                      <w:color w:val="auto"/>
                      <w:szCs w:val="21"/>
                    </w:rPr>
                  </w:pPr>
                  <w:r>
                    <w:rPr>
                      <w:bCs/>
                      <w:color w:val="auto"/>
                      <w:kern w:val="0"/>
                      <w:szCs w:val="21"/>
                    </w:rPr>
                    <w:t>噪声强度</w:t>
                  </w:r>
                  <w:r>
                    <w:rPr>
                      <w:rFonts w:hint="eastAsia"/>
                      <w:bCs/>
                      <w:color w:val="auto"/>
                      <w:kern w:val="0"/>
                      <w:szCs w:val="21"/>
                    </w:rPr>
                    <w:t>（</w:t>
                  </w:r>
                  <w:r>
                    <w:rPr>
                      <w:bCs/>
                      <w:color w:val="auto"/>
                      <w:kern w:val="0"/>
                      <w:szCs w:val="21"/>
                    </w:rPr>
                    <w:t>dB</w:t>
                  </w:r>
                  <w:r>
                    <w:rPr>
                      <w:rFonts w:hint="eastAsia"/>
                      <w:bCs/>
                      <w:color w:val="auto"/>
                      <w:kern w:val="0"/>
                      <w:szCs w:val="21"/>
                    </w:rPr>
                    <w:t>（</w:t>
                  </w:r>
                  <w:r>
                    <w:rPr>
                      <w:bCs/>
                      <w:color w:val="auto"/>
                      <w:kern w:val="0"/>
                      <w:szCs w:val="21"/>
                    </w:rPr>
                    <w:t>A</w:t>
                  </w:r>
                  <w:r>
                    <w:rPr>
                      <w:rFonts w:hint="eastAsia"/>
                      <w:bCs/>
                      <w:color w:val="auto"/>
                      <w:kern w:val="0"/>
                      <w:szCs w:val="21"/>
                    </w:rPr>
                    <w:t>））</w:t>
                  </w:r>
                </w:p>
              </w:tc>
              <w:tc>
                <w:tcPr>
                  <w:tcW w:w="1584" w:type="pct"/>
                  <w:vAlign w:val="center"/>
                </w:tcPr>
                <w:p w14:paraId="559C1918">
                  <w:pPr>
                    <w:widowControl/>
                    <w:spacing w:line="320" w:lineRule="exact"/>
                    <w:jc w:val="center"/>
                    <w:rPr>
                      <w:rFonts w:ascii="宋体" w:hAnsi="宋体" w:cs="宋体"/>
                      <w:bCs/>
                      <w:color w:val="auto"/>
                      <w:kern w:val="0"/>
                      <w:szCs w:val="21"/>
                    </w:rPr>
                  </w:pPr>
                  <w:r>
                    <w:rPr>
                      <w:rFonts w:hint="eastAsia" w:ascii="宋体" w:hAnsi="宋体" w:cs="宋体"/>
                      <w:bCs/>
                      <w:color w:val="auto"/>
                      <w:kern w:val="0"/>
                      <w:szCs w:val="21"/>
                    </w:rPr>
                    <w:t>备注</w:t>
                  </w:r>
                </w:p>
              </w:tc>
            </w:tr>
            <w:tr w14:paraId="7ACD2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vAlign w:val="center"/>
                </w:tcPr>
                <w:p w14:paraId="2AC22773">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0CC3303D">
                  <w:pPr>
                    <w:pStyle w:val="47"/>
                    <w:spacing w:line="320" w:lineRule="exact"/>
                    <w:jc w:val="center"/>
                    <w:rPr>
                      <w:color w:val="auto"/>
                      <w:sz w:val="21"/>
                      <w:szCs w:val="21"/>
                      <w:lang w:eastAsia="zh-CN"/>
                    </w:rPr>
                  </w:pPr>
                  <w:r>
                    <w:rPr>
                      <w:color w:val="auto"/>
                      <w:spacing w:val="6"/>
                      <w:sz w:val="21"/>
                      <w:szCs w:val="21"/>
                    </w:rPr>
                    <w:t>推土机</w:t>
                  </w:r>
                </w:p>
              </w:tc>
              <w:tc>
                <w:tcPr>
                  <w:tcW w:w="1426" w:type="pct"/>
                </w:tcPr>
                <w:p w14:paraId="52A4632B">
                  <w:pPr>
                    <w:pStyle w:val="47"/>
                    <w:spacing w:line="320" w:lineRule="exact"/>
                    <w:jc w:val="center"/>
                    <w:rPr>
                      <w:rFonts w:ascii="Times New Roman" w:hAnsi="Times New Roman" w:cs="Times New Roman"/>
                      <w:color w:val="auto"/>
                      <w:sz w:val="21"/>
                      <w:szCs w:val="21"/>
                    </w:rPr>
                  </w:pPr>
                  <w:r>
                    <w:rPr>
                      <w:rFonts w:ascii="Times New Roman" w:hAnsi="Times New Roman" w:eastAsia="Times New Roman" w:cs="Times New Roman"/>
                      <w:color w:val="auto"/>
                      <w:spacing w:val="4"/>
                      <w:position w:val="1"/>
                      <w:sz w:val="21"/>
                      <w:szCs w:val="21"/>
                    </w:rPr>
                    <w:t>73</w:t>
                  </w:r>
                  <w:r>
                    <w:rPr>
                      <w:rFonts w:ascii="Times New Roman" w:hAnsi="Times New Roman" w:cs="Times New Roman"/>
                      <w:color w:val="auto"/>
                      <w:spacing w:val="4"/>
                      <w:position w:val="1"/>
                      <w:sz w:val="21"/>
                      <w:szCs w:val="21"/>
                    </w:rPr>
                    <w:t>～</w:t>
                  </w:r>
                  <w:r>
                    <w:rPr>
                      <w:rFonts w:ascii="Times New Roman" w:hAnsi="Times New Roman" w:eastAsia="Times New Roman" w:cs="Times New Roman"/>
                      <w:color w:val="auto"/>
                      <w:spacing w:val="4"/>
                      <w:position w:val="1"/>
                      <w:sz w:val="21"/>
                      <w:szCs w:val="21"/>
                    </w:rPr>
                    <w:t>83</w:t>
                  </w:r>
                </w:p>
              </w:tc>
              <w:tc>
                <w:tcPr>
                  <w:tcW w:w="1584" w:type="pct"/>
                </w:tcPr>
                <w:p w14:paraId="7D557922">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距声源15m</w:t>
                  </w:r>
                </w:p>
              </w:tc>
            </w:tr>
            <w:tr w14:paraId="3BC51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vAlign w:val="center"/>
                </w:tcPr>
                <w:p w14:paraId="4207B2DA">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59236AF7">
                  <w:pPr>
                    <w:pStyle w:val="47"/>
                    <w:spacing w:line="320" w:lineRule="exact"/>
                    <w:jc w:val="center"/>
                    <w:rPr>
                      <w:color w:val="auto"/>
                      <w:sz w:val="21"/>
                      <w:szCs w:val="21"/>
                      <w:lang w:eastAsia="zh-CN"/>
                    </w:rPr>
                  </w:pPr>
                  <w:r>
                    <w:rPr>
                      <w:color w:val="auto"/>
                      <w:spacing w:val="7"/>
                      <w:sz w:val="21"/>
                      <w:szCs w:val="21"/>
                    </w:rPr>
                    <w:t>挖掘机</w:t>
                  </w:r>
                </w:p>
              </w:tc>
              <w:tc>
                <w:tcPr>
                  <w:tcW w:w="1426" w:type="pct"/>
                </w:tcPr>
                <w:p w14:paraId="678A5681">
                  <w:pPr>
                    <w:pStyle w:val="47"/>
                    <w:spacing w:line="320" w:lineRule="exact"/>
                    <w:jc w:val="center"/>
                    <w:rPr>
                      <w:rFonts w:ascii="Times New Roman" w:hAnsi="Times New Roman" w:cs="Times New Roman"/>
                      <w:color w:val="auto"/>
                      <w:sz w:val="21"/>
                      <w:szCs w:val="21"/>
                    </w:rPr>
                  </w:pPr>
                  <w:r>
                    <w:rPr>
                      <w:rFonts w:ascii="Times New Roman" w:hAnsi="Times New Roman" w:eastAsia="Times New Roman" w:cs="Times New Roman"/>
                      <w:color w:val="auto"/>
                      <w:spacing w:val="4"/>
                      <w:position w:val="1"/>
                      <w:sz w:val="21"/>
                      <w:szCs w:val="21"/>
                    </w:rPr>
                    <w:t>67</w:t>
                  </w:r>
                  <w:r>
                    <w:rPr>
                      <w:rFonts w:ascii="Times New Roman" w:hAnsi="Times New Roman" w:cs="Times New Roman"/>
                      <w:color w:val="auto"/>
                      <w:spacing w:val="4"/>
                      <w:position w:val="1"/>
                      <w:sz w:val="21"/>
                      <w:szCs w:val="21"/>
                    </w:rPr>
                    <w:t>～</w:t>
                  </w:r>
                  <w:r>
                    <w:rPr>
                      <w:rFonts w:ascii="Times New Roman" w:hAnsi="Times New Roman" w:eastAsia="Times New Roman" w:cs="Times New Roman"/>
                      <w:color w:val="auto"/>
                      <w:spacing w:val="4"/>
                      <w:position w:val="1"/>
                      <w:sz w:val="21"/>
                      <w:szCs w:val="21"/>
                    </w:rPr>
                    <w:t>77</w:t>
                  </w:r>
                </w:p>
              </w:tc>
              <w:tc>
                <w:tcPr>
                  <w:tcW w:w="1584" w:type="pct"/>
                </w:tcPr>
                <w:p w14:paraId="615EC959">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 15m</w:t>
                  </w:r>
                </w:p>
              </w:tc>
            </w:tr>
            <w:tr w14:paraId="41466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vAlign w:val="center"/>
                </w:tcPr>
                <w:p w14:paraId="5AB5BB38">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065CBE60">
                  <w:pPr>
                    <w:pStyle w:val="47"/>
                    <w:spacing w:line="320" w:lineRule="exact"/>
                    <w:jc w:val="center"/>
                    <w:rPr>
                      <w:color w:val="auto"/>
                      <w:sz w:val="21"/>
                      <w:szCs w:val="21"/>
                      <w:lang w:eastAsia="zh-CN"/>
                    </w:rPr>
                  </w:pPr>
                  <w:r>
                    <w:rPr>
                      <w:color w:val="auto"/>
                      <w:spacing w:val="6"/>
                      <w:sz w:val="21"/>
                      <w:szCs w:val="21"/>
                    </w:rPr>
                    <w:t>装载机</w:t>
                  </w:r>
                </w:p>
              </w:tc>
              <w:tc>
                <w:tcPr>
                  <w:tcW w:w="1426" w:type="pct"/>
                </w:tcPr>
                <w:p w14:paraId="58095BDD">
                  <w:pPr>
                    <w:spacing w:line="320" w:lineRule="exact"/>
                    <w:jc w:val="center"/>
                    <w:rPr>
                      <w:color w:val="auto"/>
                      <w:kern w:val="0"/>
                      <w:szCs w:val="21"/>
                    </w:rPr>
                  </w:pPr>
                  <w:r>
                    <w:rPr>
                      <w:rFonts w:eastAsia="Times New Roman"/>
                      <w:color w:val="auto"/>
                      <w:spacing w:val="-2"/>
                      <w:szCs w:val="21"/>
                    </w:rPr>
                    <w:t>80</w:t>
                  </w:r>
                </w:p>
              </w:tc>
              <w:tc>
                <w:tcPr>
                  <w:tcW w:w="1584" w:type="pct"/>
                </w:tcPr>
                <w:p w14:paraId="64C2C0D1">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距声源15m</w:t>
                  </w:r>
                </w:p>
              </w:tc>
            </w:tr>
            <w:tr w14:paraId="483969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vAlign w:val="center"/>
                </w:tcPr>
                <w:p w14:paraId="69D938CB">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63E9E451">
                  <w:pPr>
                    <w:pStyle w:val="47"/>
                    <w:spacing w:line="320" w:lineRule="exact"/>
                    <w:jc w:val="center"/>
                    <w:rPr>
                      <w:color w:val="auto"/>
                      <w:sz w:val="21"/>
                      <w:szCs w:val="21"/>
                      <w:lang w:eastAsia="zh-CN"/>
                    </w:rPr>
                  </w:pPr>
                  <w:r>
                    <w:rPr>
                      <w:color w:val="auto"/>
                      <w:spacing w:val="7"/>
                      <w:sz w:val="21"/>
                      <w:szCs w:val="21"/>
                    </w:rPr>
                    <w:t>振捣机</w:t>
                  </w:r>
                </w:p>
              </w:tc>
              <w:tc>
                <w:tcPr>
                  <w:tcW w:w="1426" w:type="pct"/>
                  <w:vAlign w:val="center"/>
                </w:tcPr>
                <w:p w14:paraId="52E88F28">
                  <w:pPr>
                    <w:pStyle w:val="4"/>
                    <w:snapToGrid/>
                    <w:spacing w:before="0" w:after="0" w:line="320" w:lineRule="exact"/>
                    <w:ind w:right="0"/>
                    <w:rPr>
                      <w:rFonts w:ascii="Times New Roman" w:hAnsi="Times New Roman" w:eastAsia="宋体"/>
                      <w:color w:val="auto"/>
                      <w:szCs w:val="21"/>
                    </w:rPr>
                  </w:pPr>
                  <w:r>
                    <w:rPr>
                      <w:rFonts w:ascii="Times New Roman" w:hAnsi="Times New Roman"/>
                      <w:color w:val="auto"/>
                      <w:szCs w:val="21"/>
                    </w:rPr>
                    <w:t>93</w:t>
                  </w:r>
                </w:p>
              </w:tc>
              <w:tc>
                <w:tcPr>
                  <w:tcW w:w="1584" w:type="pct"/>
                </w:tcPr>
                <w:p w14:paraId="69C9E85C">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 1m</w:t>
                  </w:r>
                </w:p>
              </w:tc>
            </w:tr>
            <w:tr w14:paraId="3182D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vAlign w:val="center"/>
                </w:tcPr>
                <w:p w14:paraId="2E88D92A">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303A4978">
                  <w:pPr>
                    <w:pStyle w:val="47"/>
                    <w:spacing w:line="320" w:lineRule="exact"/>
                    <w:jc w:val="center"/>
                    <w:rPr>
                      <w:color w:val="auto"/>
                      <w:spacing w:val="7"/>
                      <w:sz w:val="21"/>
                      <w:szCs w:val="21"/>
                    </w:rPr>
                  </w:pPr>
                  <w:r>
                    <w:rPr>
                      <w:color w:val="auto"/>
                      <w:spacing w:val="7"/>
                      <w:sz w:val="21"/>
                      <w:szCs w:val="21"/>
                    </w:rPr>
                    <w:t>电锯</w:t>
                  </w:r>
                </w:p>
              </w:tc>
              <w:tc>
                <w:tcPr>
                  <w:tcW w:w="1426" w:type="pct"/>
                </w:tcPr>
                <w:p w14:paraId="7778A0A4">
                  <w:pPr>
                    <w:pStyle w:val="47"/>
                    <w:spacing w:line="320" w:lineRule="exact"/>
                    <w:jc w:val="center"/>
                    <w:rPr>
                      <w:rFonts w:ascii="Times New Roman" w:hAnsi="Times New Roman" w:cs="Times New Roman"/>
                      <w:color w:val="auto"/>
                      <w:spacing w:val="7"/>
                      <w:sz w:val="21"/>
                      <w:szCs w:val="21"/>
                    </w:rPr>
                  </w:pPr>
                  <w:r>
                    <w:rPr>
                      <w:rFonts w:ascii="Times New Roman" w:hAnsi="Times New Roman" w:cs="Times New Roman"/>
                      <w:color w:val="auto"/>
                      <w:spacing w:val="7"/>
                      <w:sz w:val="21"/>
                      <w:szCs w:val="21"/>
                    </w:rPr>
                    <w:t>103</w:t>
                  </w:r>
                </w:p>
              </w:tc>
              <w:tc>
                <w:tcPr>
                  <w:tcW w:w="1584" w:type="pct"/>
                </w:tcPr>
                <w:p w14:paraId="1C8F7321">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距声源1m</w:t>
                  </w:r>
                </w:p>
              </w:tc>
            </w:tr>
            <w:tr w14:paraId="6D331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vAlign w:val="center"/>
                </w:tcPr>
                <w:p w14:paraId="4AF3BD09">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1BACB443">
                  <w:pPr>
                    <w:pStyle w:val="47"/>
                    <w:spacing w:line="320" w:lineRule="exact"/>
                    <w:jc w:val="center"/>
                    <w:rPr>
                      <w:color w:val="auto"/>
                      <w:sz w:val="21"/>
                      <w:szCs w:val="21"/>
                      <w:lang w:eastAsia="zh-CN"/>
                    </w:rPr>
                  </w:pPr>
                  <w:r>
                    <w:rPr>
                      <w:color w:val="auto"/>
                      <w:spacing w:val="-8"/>
                      <w:sz w:val="21"/>
                      <w:szCs w:val="21"/>
                    </w:rPr>
                    <w:t>吊车</w:t>
                  </w:r>
                </w:p>
              </w:tc>
              <w:tc>
                <w:tcPr>
                  <w:tcW w:w="1426" w:type="pct"/>
                  <w:vAlign w:val="center"/>
                </w:tcPr>
                <w:p w14:paraId="43FBBB0C">
                  <w:pPr>
                    <w:pStyle w:val="4"/>
                    <w:snapToGrid/>
                    <w:spacing w:before="0" w:after="0" w:line="320" w:lineRule="exact"/>
                    <w:ind w:right="0"/>
                    <w:rPr>
                      <w:rFonts w:ascii="Times New Roman" w:hAnsi="Times New Roman" w:eastAsia="宋体"/>
                      <w:color w:val="auto"/>
                      <w:szCs w:val="21"/>
                    </w:rPr>
                  </w:pPr>
                  <w:r>
                    <w:rPr>
                      <w:rFonts w:ascii="Times New Roman" w:hAnsi="Times New Roman"/>
                      <w:color w:val="auto"/>
                      <w:szCs w:val="21"/>
                    </w:rPr>
                    <w:t>72～73</w:t>
                  </w:r>
                </w:p>
              </w:tc>
              <w:tc>
                <w:tcPr>
                  <w:tcW w:w="1584" w:type="pct"/>
                </w:tcPr>
                <w:p w14:paraId="76C5C425">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距声源15m</w:t>
                  </w:r>
                </w:p>
              </w:tc>
            </w:tr>
            <w:tr w14:paraId="5B218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tcPr>
                <w:p w14:paraId="4FA62A25">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58635528">
                  <w:pPr>
                    <w:pStyle w:val="47"/>
                    <w:spacing w:line="320" w:lineRule="exact"/>
                    <w:jc w:val="center"/>
                    <w:rPr>
                      <w:color w:val="auto"/>
                      <w:sz w:val="21"/>
                      <w:szCs w:val="21"/>
                      <w:lang w:eastAsia="zh-CN"/>
                    </w:rPr>
                  </w:pPr>
                  <w:r>
                    <w:rPr>
                      <w:color w:val="auto"/>
                      <w:spacing w:val="6"/>
                      <w:sz w:val="21"/>
                      <w:szCs w:val="21"/>
                    </w:rPr>
                    <w:t>升降机</w:t>
                  </w:r>
                </w:p>
              </w:tc>
              <w:tc>
                <w:tcPr>
                  <w:tcW w:w="1426" w:type="pct"/>
                  <w:vAlign w:val="center"/>
                </w:tcPr>
                <w:p w14:paraId="1B801855">
                  <w:pPr>
                    <w:pStyle w:val="4"/>
                    <w:snapToGrid/>
                    <w:spacing w:before="0" w:after="0" w:line="320" w:lineRule="exact"/>
                    <w:ind w:right="0"/>
                    <w:rPr>
                      <w:rFonts w:ascii="Times New Roman" w:hAnsi="Times New Roman" w:eastAsia="宋体"/>
                      <w:color w:val="auto"/>
                      <w:szCs w:val="21"/>
                    </w:rPr>
                  </w:pPr>
                  <w:r>
                    <w:rPr>
                      <w:rFonts w:ascii="Times New Roman" w:hAnsi="Times New Roman"/>
                      <w:color w:val="auto"/>
                      <w:szCs w:val="21"/>
                    </w:rPr>
                    <w:t>78</w:t>
                  </w:r>
                </w:p>
              </w:tc>
              <w:tc>
                <w:tcPr>
                  <w:tcW w:w="1584" w:type="pct"/>
                </w:tcPr>
                <w:p w14:paraId="2610EF75">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距声源1m</w:t>
                  </w:r>
                </w:p>
              </w:tc>
            </w:tr>
            <w:tr w14:paraId="162CF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13" w:type="pct"/>
                </w:tcPr>
                <w:p w14:paraId="3F20AB81">
                  <w:pPr>
                    <w:widowControl/>
                    <w:numPr>
                      <w:ilvl w:val="0"/>
                      <w:numId w:val="2"/>
                    </w:numPr>
                    <w:tabs>
                      <w:tab w:val="left" w:pos="810"/>
                    </w:tabs>
                    <w:adjustRightInd w:val="0"/>
                    <w:snapToGrid w:val="0"/>
                    <w:spacing w:line="320" w:lineRule="exact"/>
                    <w:jc w:val="center"/>
                    <w:rPr>
                      <w:color w:val="auto"/>
                      <w:szCs w:val="21"/>
                    </w:rPr>
                  </w:pPr>
                </w:p>
              </w:tc>
              <w:tc>
                <w:tcPr>
                  <w:tcW w:w="1375" w:type="pct"/>
                </w:tcPr>
                <w:p w14:paraId="5FC3B48B">
                  <w:pPr>
                    <w:pStyle w:val="47"/>
                    <w:spacing w:line="320" w:lineRule="exact"/>
                    <w:jc w:val="center"/>
                    <w:rPr>
                      <w:color w:val="auto"/>
                      <w:spacing w:val="-3"/>
                      <w:sz w:val="21"/>
                      <w:szCs w:val="21"/>
                    </w:rPr>
                  </w:pPr>
                  <w:r>
                    <w:rPr>
                      <w:color w:val="auto"/>
                      <w:sz w:val="21"/>
                      <w:szCs w:val="21"/>
                    </w:rPr>
                    <w:t>重型卡车</w:t>
                  </w:r>
                </w:p>
              </w:tc>
              <w:tc>
                <w:tcPr>
                  <w:tcW w:w="1426" w:type="pct"/>
                </w:tcPr>
                <w:p w14:paraId="08B91D5D">
                  <w:pPr>
                    <w:widowControl/>
                    <w:tabs>
                      <w:tab w:val="left" w:pos="810"/>
                    </w:tabs>
                    <w:adjustRightInd w:val="0"/>
                    <w:snapToGrid w:val="0"/>
                    <w:spacing w:line="320" w:lineRule="exact"/>
                    <w:jc w:val="center"/>
                    <w:rPr>
                      <w:color w:val="auto"/>
                      <w:kern w:val="0"/>
                      <w:szCs w:val="21"/>
                    </w:rPr>
                  </w:pPr>
                  <w:r>
                    <w:rPr>
                      <w:rFonts w:eastAsia="Times New Roman"/>
                      <w:color w:val="auto"/>
                      <w:spacing w:val="3"/>
                      <w:position w:val="1"/>
                      <w:szCs w:val="21"/>
                    </w:rPr>
                    <w:t>80</w:t>
                  </w:r>
                  <w:r>
                    <w:rPr>
                      <w:color w:val="auto"/>
                      <w:spacing w:val="3"/>
                      <w:position w:val="1"/>
                      <w:szCs w:val="21"/>
                    </w:rPr>
                    <w:t>～</w:t>
                  </w:r>
                  <w:r>
                    <w:rPr>
                      <w:rFonts w:eastAsia="Times New Roman"/>
                      <w:color w:val="auto"/>
                      <w:spacing w:val="3"/>
                      <w:position w:val="1"/>
                      <w:szCs w:val="21"/>
                    </w:rPr>
                    <w:t>85</w:t>
                  </w:r>
                </w:p>
              </w:tc>
              <w:tc>
                <w:tcPr>
                  <w:tcW w:w="1584" w:type="pct"/>
                </w:tcPr>
                <w:p w14:paraId="7A67DC73">
                  <w:pPr>
                    <w:pStyle w:val="47"/>
                    <w:spacing w:line="320" w:lineRule="exact"/>
                    <w:jc w:val="center"/>
                    <w:rPr>
                      <w:rFonts w:ascii="Times New Roman" w:hAnsi="Times New Roman" w:cs="Times New Roman"/>
                      <w:color w:val="auto"/>
                      <w:spacing w:val="6"/>
                      <w:sz w:val="21"/>
                      <w:szCs w:val="21"/>
                    </w:rPr>
                  </w:pPr>
                  <w:r>
                    <w:rPr>
                      <w:rFonts w:ascii="Times New Roman" w:hAnsi="Times New Roman" w:cs="Times New Roman"/>
                      <w:color w:val="auto"/>
                      <w:spacing w:val="6"/>
                      <w:sz w:val="21"/>
                      <w:szCs w:val="21"/>
                    </w:rPr>
                    <w:t>距声源7.5m</w:t>
                  </w:r>
                </w:p>
              </w:tc>
            </w:tr>
          </w:tbl>
          <w:p w14:paraId="352BCD3B">
            <w:pPr>
              <w:spacing w:line="500" w:lineRule="exact"/>
              <w:ind w:firstLine="482"/>
              <w:textAlignment w:val="baseline"/>
              <w:rPr>
                <w:color w:val="auto"/>
                <w:sz w:val="24"/>
              </w:rPr>
            </w:pPr>
            <w:r>
              <w:rPr>
                <w:color w:val="auto"/>
                <w:sz w:val="24"/>
              </w:rPr>
              <w:t>本次评价采用点源衰减模式，预测计算声源至受声点的几何发散衰减，计算中不考虑声屏障、空气吸收等衰减。预测公式如下：</w:t>
            </w:r>
          </w:p>
          <w:p w14:paraId="696455A4">
            <w:pPr>
              <w:spacing w:line="500" w:lineRule="exact"/>
              <w:ind w:firstLine="1267" w:firstLineChars="528"/>
              <w:textAlignment w:val="baseline"/>
              <w:rPr>
                <w:color w:val="auto"/>
                <w:sz w:val="24"/>
              </w:rPr>
            </w:pPr>
            <w:r>
              <w:rPr>
                <w:color w:val="auto"/>
                <w:sz w:val="24"/>
              </w:rPr>
              <w:t>L</w:t>
            </w:r>
            <w:r>
              <w:rPr>
                <w:rFonts w:hint="eastAsia"/>
                <w:color w:val="auto"/>
                <w:sz w:val="24"/>
                <w:vertAlign w:val="subscript"/>
              </w:rPr>
              <w:t>p</w:t>
            </w:r>
            <w:r>
              <w:rPr>
                <w:rFonts w:hint="eastAsia"/>
                <w:color w:val="auto"/>
                <w:sz w:val="24"/>
              </w:rPr>
              <w:t>（</w:t>
            </w:r>
            <w:r>
              <w:rPr>
                <w:color w:val="auto"/>
                <w:sz w:val="24"/>
              </w:rPr>
              <w:t>r</w:t>
            </w:r>
            <w:r>
              <w:rPr>
                <w:rFonts w:hint="eastAsia"/>
                <w:color w:val="auto"/>
                <w:sz w:val="24"/>
              </w:rPr>
              <w:t>）</w:t>
            </w:r>
            <w:r>
              <w:rPr>
                <w:color w:val="auto"/>
                <w:sz w:val="24"/>
              </w:rPr>
              <w:t>=L</w:t>
            </w:r>
            <w:r>
              <w:rPr>
                <w:rFonts w:hint="eastAsia"/>
                <w:color w:val="auto"/>
                <w:sz w:val="24"/>
                <w:vertAlign w:val="subscript"/>
              </w:rPr>
              <w:t>p</w:t>
            </w:r>
            <w:r>
              <w:rPr>
                <w:rFonts w:hint="eastAsia"/>
                <w:color w:val="auto"/>
                <w:sz w:val="24"/>
              </w:rPr>
              <w:t>（</w:t>
            </w:r>
            <w:r>
              <w:rPr>
                <w:color w:val="auto"/>
                <w:sz w:val="24"/>
              </w:rPr>
              <w:t>r</w:t>
            </w:r>
            <w:r>
              <w:rPr>
                <w:color w:val="auto"/>
                <w:sz w:val="24"/>
                <w:vertAlign w:val="subscript"/>
              </w:rPr>
              <w:t>0</w:t>
            </w:r>
            <w:r>
              <w:rPr>
                <w:rFonts w:hint="eastAsia"/>
                <w:color w:val="auto"/>
                <w:sz w:val="24"/>
              </w:rPr>
              <w:t>）-</w:t>
            </w:r>
            <w:r>
              <w:rPr>
                <w:color w:val="auto"/>
                <w:sz w:val="24"/>
              </w:rPr>
              <w:t>20lg</w:t>
            </w:r>
            <w:r>
              <w:rPr>
                <w:rFonts w:hint="eastAsia"/>
                <w:color w:val="auto"/>
                <w:sz w:val="24"/>
              </w:rPr>
              <w:t>（</w:t>
            </w:r>
            <w:r>
              <w:rPr>
                <w:color w:val="auto"/>
                <w:sz w:val="24"/>
              </w:rPr>
              <w:t>r/r</w:t>
            </w:r>
            <w:r>
              <w:rPr>
                <w:color w:val="auto"/>
                <w:sz w:val="24"/>
                <w:vertAlign w:val="subscript"/>
              </w:rPr>
              <w:t>0</w:t>
            </w:r>
            <w:r>
              <w:rPr>
                <w:rFonts w:hint="eastAsia"/>
                <w:color w:val="auto"/>
                <w:sz w:val="24"/>
              </w:rPr>
              <w:t>）</w:t>
            </w:r>
          </w:p>
          <w:p w14:paraId="00311C0E">
            <w:pPr>
              <w:spacing w:line="500" w:lineRule="exact"/>
              <w:ind w:firstLine="482"/>
              <w:textAlignment w:val="baseline"/>
              <w:rPr>
                <w:color w:val="auto"/>
                <w:sz w:val="24"/>
              </w:rPr>
            </w:pPr>
            <w:r>
              <w:rPr>
                <w:color w:val="auto"/>
                <w:sz w:val="24"/>
              </w:rPr>
              <w:t>式中：L</w:t>
            </w:r>
            <w:r>
              <w:rPr>
                <w:rFonts w:hint="eastAsia"/>
                <w:color w:val="auto"/>
                <w:sz w:val="24"/>
                <w:vertAlign w:val="subscript"/>
              </w:rPr>
              <w:t>p</w:t>
            </w:r>
            <w:r>
              <w:rPr>
                <w:rFonts w:hint="eastAsia"/>
                <w:color w:val="auto"/>
                <w:sz w:val="24"/>
              </w:rPr>
              <w:t>（</w:t>
            </w:r>
            <w:r>
              <w:rPr>
                <w:color w:val="auto"/>
                <w:sz w:val="24"/>
              </w:rPr>
              <w:t>r</w:t>
            </w:r>
            <w:r>
              <w:rPr>
                <w:rFonts w:hint="eastAsia"/>
                <w:color w:val="auto"/>
                <w:sz w:val="24"/>
              </w:rPr>
              <w:t>）--</w:t>
            </w:r>
            <w:r>
              <w:rPr>
                <w:color w:val="auto"/>
                <w:sz w:val="24"/>
              </w:rPr>
              <w:t>预测点</w:t>
            </w:r>
            <w:r>
              <w:rPr>
                <w:rFonts w:hint="eastAsia"/>
                <w:color w:val="auto"/>
                <w:sz w:val="24"/>
              </w:rPr>
              <w:t>处声压级</w:t>
            </w:r>
            <w:r>
              <w:rPr>
                <w:color w:val="auto"/>
                <w:sz w:val="24"/>
              </w:rPr>
              <w:t>，dB</w:t>
            </w:r>
            <w:r>
              <w:rPr>
                <w:rFonts w:hint="eastAsia"/>
                <w:color w:val="auto"/>
                <w:sz w:val="24"/>
              </w:rPr>
              <w:t>（</w:t>
            </w:r>
            <w:r>
              <w:rPr>
                <w:color w:val="auto"/>
                <w:sz w:val="24"/>
              </w:rPr>
              <w:t>A</w:t>
            </w:r>
            <w:r>
              <w:rPr>
                <w:rFonts w:hint="eastAsia"/>
                <w:color w:val="auto"/>
                <w:sz w:val="24"/>
              </w:rPr>
              <w:t>）</w:t>
            </w:r>
            <w:r>
              <w:rPr>
                <w:color w:val="auto"/>
                <w:sz w:val="24"/>
              </w:rPr>
              <w:t>；</w:t>
            </w:r>
          </w:p>
          <w:p w14:paraId="24C8B4B5">
            <w:pPr>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baseline"/>
              <w:rPr>
                <w:color w:val="auto"/>
                <w:sz w:val="24"/>
              </w:rPr>
            </w:pPr>
            <w:r>
              <w:rPr>
                <w:color w:val="auto"/>
                <w:sz w:val="24"/>
              </w:rPr>
              <w:t>L</w:t>
            </w:r>
            <w:r>
              <w:rPr>
                <w:rFonts w:hint="eastAsia"/>
                <w:color w:val="auto"/>
                <w:sz w:val="24"/>
                <w:vertAlign w:val="subscript"/>
              </w:rPr>
              <w:t>p</w:t>
            </w:r>
            <w:r>
              <w:rPr>
                <w:rFonts w:hint="eastAsia"/>
                <w:color w:val="auto"/>
                <w:sz w:val="24"/>
              </w:rPr>
              <w:t>（</w:t>
            </w:r>
            <w:r>
              <w:rPr>
                <w:color w:val="auto"/>
                <w:sz w:val="24"/>
              </w:rPr>
              <w:t>r</w:t>
            </w:r>
            <w:r>
              <w:rPr>
                <w:color w:val="auto"/>
                <w:sz w:val="24"/>
                <w:vertAlign w:val="subscript"/>
              </w:rPr>
              <w:t>0</w:t>
            </w:r>
            <w:r>
              <w:rPr>
                <w:rFonts w:hint="eastAsia"/>
                <w:color w:val="auto"/>
                <w:sz w:val="24"/>
              </w:rPr>
              <w:t>）--参考位置</w:t>
            </w:r>
            <w:r>
              <w:rPr>
                <w:color w:val="auto"/>
                <w:sz w:val="24"/>
              </w:rPr>
              <w:t>r</w:t>
            </w:r>
            <w:r>
              <w:rPr>
                <w:color w:val="auto"/>
                <w:sz w:val="24"/>
                <w:vertAlign w:val="subscript"/>
              </w:rPr>
              <w:t>0</w:t>
            </w:r>
            <w:r>
              <w:rPr>
                <w:color w:val="auto"/>
                <w:sz w:val="24"/>
              </w:rPr>
              <w:t>处的声压级，dB</w:t>
            </w:r>
            <w:r>
              <w:rPr>
                <w:rFonts w:hint="eastAsia"/>
                <w:color w:val="auto"/>
                <w:sz w:val="24"/>
              </w:rPr>
              <w:t>（</w:t>
            </w:r>
            <w:r>
              <w:rPr>
                <w:color w:val="auto"/>
                <w:sz w:val="24"/>
              </w:rPr>
              <w:t>A</w:t>
            </w:r>
            <w:r>
              <w:rPr>
                <w:rFonts w:hint="eastAsia"/>
                <w:color w:val="auto"/>
                <w:sz w:val="24"/>
              </w:rPr>
              <w:t>）</w:t>
            </w:r>
            <w:r>
              <w:rPr>
                <w:color w:val="auto"/>
                <w:sz w:val="24"/>
              </w:rPr>
              <w:t>；</w:t>
            </w:r>
          </w:p>
          <w:p w14:paraId="3CC4019D">
            <w:pPr>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baseline"/>
              <w:rPr>
                <w:color w:val="auto"/>
                <w:sz w:val="24"/>
              </w:rPr>
            </w:pPr>
            <w:r>
              <w:rPr>
                <w:color w:val="auto"/>
                <w:sz w:val="24"/>
              </w:rPr>
              <w:t>r</w:t>
            </w:r>
            <w:r>
              <w:rPr>
                <w:rFonts w:hint="eastAsia"/>
                <w:color w:val="auto"/>
                <w:sz w:val="24"/>
              </w:rPr>
              <w:t>--</w:t>
            </w:r>
            <w:r>
              <w:rPr>
                <w:color w:val="auto"/>
                <w:sz w:val="24"/>
              </w:rPr>
              <w:t>预测点距声源的距离，m；</w:t>
            </w:r>
          </w:p>
          <w:p w14:paraId="61E45EF0">
            <w:pPr>
              <w:keepNext w:val="0"/>
              <w:keepLines w:val="0"/>
              <w:pageBreakBefore w:val="0"/>
              <w:widowControl w:val="0"/>
              <w:kinsoku/>
              <w:wordWrap/>
              <w:overflowPunct/>
              <w:topLinePunct w:val="0"/>
              <w:autoSpaceDE/>
              <w:autoSpaceDN/>
              <w:bidi w:val="0"/>
              <w:adjustRightInd/>
              <w:snapToGrid/>
              <w:spacing w:line="500" w:lineRule="exact"/>
              <w:ind w:firstLine="1200" w:firstLineChars="500"/>
              <w:textAlignment w:val="baseline"/>
              <w:rPr>
                <w:color w:val="auto"/>
                <w:sz w:val="24"/>
              </w:rPr>
            </w:pPr>
            <w:r>
              <w:rPr>
                <w:color w:val="auto"/>
                <w:sz w:val="24"/>
              </w:rPr>
              <w:t>r</w:t>
            </w:r>
            <w:r>
              <w:rPr>
                <w:color w:val="auto"/>
                <w:sz w:val="24"/>
                <w:vertAlign w:val="subscript"/>
              </w:rPr>
              <w:t>0</w:t>
            </w:r>
            <w:r>
              <w:rPr>
                <w:rFonts w:hint="eastAsia"/>
                <w:color w:val="auto"/>
                <w:sz w:val="24"/>
              </w:rPr>
              <w:t>--参考位置距声源的距离</w:t>
            </w:r>
            <w:r>
              <w:rPr>
                <w:color w:val="auto"/>
                <w:sz w:val="24"/>
              </w:rPr>
              <w:t>，m。</w:t>
            </w:r>
          </w:p>
          <w:p w14:paraId="2AC43E6A">
            <w:pPr>
              <w:spacing w:line="500" w:lineRule="exact"/>
              <w:ind w:firstLine="482"/>
              <w:textAlignment w:val="baseline"/>
              <w:rPr>
                <w:color w:val="auto"/>
                <w:sz w:val="24"/>
              </w:rPr>
            </w:pPr>
            <w:r>
              <w:rPr>
                <w:color w:val="auto"/>
                <w:sz w:val="24"/>
              </w:rPr>
              <w:t>各种施工机械噪声经距离衰减后的预测结果见</w:t>
            </w:r>
            <w:r>
              <w:rPr>
                <w:rFonts w:hint="eastAsia"/>
                <w:color w:val="auto"/>
                <w:sz w:val="24"/>
              </w:rPr>
              <w:t>下</w:t>
            </w:r>
            <w:r>
              <w:rPr>
                <w:color w:val="auto"/>
                <w:sz w:val="24"/>
              </w:rPr>
              <w:t>表。</w:t>
            </w:r>
          </w:p>
          <w:p w14:paraId="6C9AA0AE">
            <w:pPr>
              <w:pStyle w:val="5"/>
              <w:spacing w:before="0" w:after="0" w:line="500" w:lineRule="exact"/>
              <w:ind w:right="0"/>
              <w:jc w:val="center"/>
              <w:rPr>
                <w:b/>
                <w:bCs/>
                <w:color w:val="auto"/>
                <w:sz w:val="24"/>
                <w:szCs w:val="24"/>
              </w:rPr>
            </w:pPr>
            <w:r>
              <w:rPr>
                <w:b/>
                <w:bCs/>
                <w:color w:val="auto"/>
                <w:sz w:val="24"/>
                <w:szCs w:val="24"/>
              </w:rPr>
              <w:t>表</w:t>
            </w:r>
            <w:r>
              <w:rPr>
                <w:rFonts w:hint="eastAsia"/>
                <w:b/>
                <w:bCs/>
                <w:color w:val="auto"/>
                <w:sz w:val="24"/>
                <w:szCs w:val="24"/>
              </w:rPr>
              <w:t>4-4</w:t>
            </w:r>
            <w:r>
              <w:rPr>
                <w:b/>
                <w:bCs/>
                <w:color w:val="auto"/>
                <w:sz w:val="24"/>
                <w:szCs w:val="24"/>
              </w:rPr>
              <w:t xml:space="preserve"> </w:t>
            </w:r>
            <w:r>
              <w:rPr>
                <w:rFonts w:hint="eastAsia"/>
                <w:b/>
                <w:bCs/>
                <w:color w:val="auto"/>
                <w:sz w:val="24"/>
                <w:szCs w:val="24"/>
              </w:rPr>
              <w:t xml:space="preserve">   </w:t>
            </w:r>
            <w:r>
              <w:rPr>
                <w:b/>
                <w:bCs/>
                <w:color w:val="auto"/>
                <w:sz w:val="24"/>
                <w:szCs w:val="24"/>
              </w:rPr>
              <w:t>施工噪声随距离的衰减情况</w:t>
            </w:r>
          </w:p>
          <w:tbl>
            <w:tblPr>
              <w:tblStyle w:val="29"/>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906"/>
              <w:gridCol w:w="904"/>
              <w:gridCol w:w="919"/>
              <w:gridCol w:w="906"/>
              <w:gridCol w:w="869"/>
              <w:gridCol w:w="877"/>
              <w:gridCol w:w="867"/>
              <w:gridCol w:w="901"/>
            </w:tblGrid>
            <w:tr w14:paraId="34168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Merge w:val="restart"/>
                  <w:vAlign w:val="center"/>
                </w:tcPr>
                <w:p w14:paraId="644D32D9">
                  <w:pPr>
                    <w:spacing w:line="320" w:lineRule="exact"/>
                    <w:jc w:val="center"/>
                    <w:textAlignment w:val="baseline"/>
                    <w:rPr>
                      <w:color w:val="auto"/>
                      <w:szCs w:val="21"/>
                    </w:rPr>
                  </w:pPr>
                  <w:r>
                    <w:rPr>
                      <w:color w:val="auto"/>
                      <w:szCs w:val="21"/>
                    </w:rPr>
                    <w:t>声级设备</w:t>
                  </w:r>
                </w:p>
              </w:tc>
              <w:tc>
                <w:tcPr>
                  <w:tcW w:w="4294" w:type="pct"/>
                  <w:gridSpan w:val="8"/>
                  <w:vAlign w:val="center"/>
                </w:tcPr>
                <w:p w14:paraId="753FA446">
                  <w:pPr>
                    <w:spacing w:line="320" w:lineRule="exact"/>
                    <w:jc w:val="center"/>
                    <w:textAlignment w:val="baseline"/>
                    <w:rPr>
                      <w:color w:val="auto"/>
                      <w:szCs w:val="21"/>
                    </w:rPr>
                  </w:pPr>
                  <w:r>
                    <w:rPr>
                      <w:color w:val="auto"/>
                      <w:szCs w:val="21"/>
                    </w:rPr>
                    <w:t>距离声源不同距离处的噪声值</w:t>
                  </w:r>
                  <w:r>
                    <w:rPr>
                      <w:rFonts w:hint="eastAsia"/>
                      <w:color w:val="auto"/>
                      <w:szCs w:val="21"/>
                    </w:rPr>
                    <w:t>（</w:t>
                  </w:r>
                  <w:r>
                    <w:rPr>
                      <w:color w:val="auto"/>
                      <w:szCs w:val="21"/>
                    </w:rPr>
                    <w:t>dB</w:t>
                  </w:r>
                  <w:r>
                    <w:rPr>
                      <w:rFonts w:hint="eastAsia"/>
                      <w:color w:val="auto"/>
                      <w:szCs w:val="21"/>
                    </w:rPr>
                    <w:t>（</w:t>
                  </w:r>
                  <w:r>
                    <w:rPr>
                      <w:color w:val="auto"/>
                      <w:szCs w:val="21"/>
                    </w:rPr>
                    <w:t>A））</w:t>
                  </w:r>
                </w:p>
              </w:tc>
            </w:tr>
            <w:tr w14:paraId="08668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705" w:type="pct"/>
                  <w:vMerge w:val="continue"/>
                  <w:vAlign w:val="center"/>
                </w:tcPr>
                <w:p w14:paraId="36B5769D">
                  <w:pPr>
                    <w:spacing w:line="320" w:lineRule="exact"/>
                    <w:jc w:val="center"/>
                    <w:textAlignment w:val="baseline"/>
                    <w:rPr>
                      <w:color w:val="auto"/>
                      <w:szCs w:val="21"/>
                    </w:rPr>
                  </w:pPr>
                </w:p>
              </w:tc>
              <w:tc>
                <w:tcPr>
                  <w:tcW w:w="544" w:type="pct"/>
                  <w:vAlign w:val="center"/>
                </w:tcPr>
                <w:p w14:paraId="0C471348">
                  <w:pPr>
                    <w:spacing w:line="320" w:lineRule="exact"/>
                    <w:jc w:val="center"/>
                    <w:textAlignment w:val="baseline"/>
                    <w:rPr>
                      <w:color w:val="auto"/>
                      <w:szCs w:val="21"/>
                    </w:rPr>
                  </w:pPr>
                  <w:r>
                    <w:rPr>
                      <w:rFonts w:hint="eastAsia"/>
                      <w:color w:val="auto"/>
                      <w:szCs w:val="21"/>
                    </w:rPr>
                    <w:t>1</w:t>
                  </w:r>
                  <w:r>
                    <w:rPr>
                      <w:color w:val="auto"/>
                      <w:szCs w:val="21"/>
                    </w:rPr>
                    <w:t>0</w:t>
                  </w:r>
                  <w:r>
                    <w:rPr>
                      <w:rFonts w:hint="eastAsia"/>
                      <w:color w:val="auto"/>
                      <w:szCs w:val="21"/>
                    </w:rPr>
                    <w:t>m</w:t>
                  </w:r>
                </w:p>
              </w:tc>
              <w:tc>
                <w:tcPr>
                  <w:tcW w:w="543" w:type="pct"/>
                  <w:vAlign w:val="center"/>
                </w:tcPr>
                <w:p w14:paraId="4F874552">
                  <w:pPr>
                    <w:spacing w:line="320" w:lineRule="exact"/>
                    <w:jc w:val="center"/>
                    <w:textAlignment w:val="baseline"/>
                    <w:rPr>
                      <w:color w:val="auto"/>
                      <w:szCs w:val="21"/>
                    </w:rPr>
                  </w:pPr>
                  <w:r>
                    <w:rPr>
                      <w:rFonts w:hint="eastAsia"/>
                      <w:color w:val="auto"/>
                      <w:szCs w:val="21"/>
                    </w:rPr>
                    <w:t>30m</w:t>
                  </w:r>
                </w:p>
              </w:tc>
              <w:tc>
                <w:tcPr>
                  <w:tcW w:w="552" w:type="pct"/>
                  <w:vAlign w:val="center"/>
                </w:tcPr>
                <w:p w14:paraId="6BF3DEFD">
                  <w:pPr>
                    <w:spacing w:line="320" w:lineRule="exact"/>
                    <w:jc w:val="center"/>
                    <w:textAlignment w:val="baseline"/>
                    <w:rPr>
                      <w:color w:val="auto"/>
                      <w:szCs w:val="21"/>
                    </w:rPr>
                  </w:pPr>
                  <w:r>
                    <w:rPr>
                      <w:rFonts w:hint="eastAsia"/>
                      <w:color w:val="auto"/>
                      <w:szCs w:val="21"/>
                    </w:rPr>
                    <w:t>50m</w:t>
                  </w:r>
                </w:p>
              </w:tc>
              <w:tc>
                <w:tcPr>
                  <w:tcW w:w="544" w:type="pct"/>
                  <w:vAlign w:val="center"/>
                </w:tcPr>
                <w:p w14:paraId="3D745267">
                  <w:pPr>
                    <w:spacing w:line="320" w:lineRule="exact"/>
                    <w:jc w:val="center"/>
                    <w:textAlignment w:val="baseline"/>
                    <w:rPr>
                      <w:color w:val="auto"/>
                      <w:szCs w:val="21"/>
                    </w:rPr>
                  </w:pPr>
                  <w:r>
                    <w:rPr>
                      <w:rFonts w:hint="eastAsia"/>
                      <w:color w:val="auto"/>
                      <w:szCs w:val="21"/>
                    </w:rPr>
                    <w:t>70m</w:t>
                  </w:r>
                </w:p>
              </w:tc>
              <w:tc>
                <w:tcPr>
                  <w:tcW w:w="522" w:type="pct"/>
                  <w:vAlign w:val="center"/>
                </w:tcPr>
                <w:p w14:paraId="012BDE0E">
                  <w:pPr>
                    <w:spacing w:line="320" w:lineRule="exact"/>
                    <w:jc w:val="center"/>
                    <w:textAlignment w:val="baseline"/>
                    <w:rPr>
                      <w:color w:val="auto"/>
                      <w:szCs w:val="21"/>
                    </w:rPr>
                  </w:pPr>
                  <w:r>
                    <w:rPr>
                      <w:color w:val="auto"/>
                      <w:szCs w:val="21"/>
                    </w:rPr>
                    <w:t>100</w:t>
                  </w:r>
                  <w:r>
                    <w:rPr>
                      <w:rFonts w:hint="eastAsia"/>
                      <w:color w:val="auto"/>
                      <w:szCs w:val="21"/>
                    </w:rPr>
                    <w:t>m</w:t>
                  </w:r>
                </w:p>
              </w:tc>
              <w:tc>
                <w:tcPr>
                  <w:tcW w:w="527" w:type="pct"/>
                  <w:vAlign w:val="center"/>
                </w:tcPr>
                <w:p w14:paraId="4BA2FA83">
                  <w:pPr>
                    <w:spacing w:line="320" w:lineRule="exact"/>
                    <w:jc w:val="center"/>
                    <w:textAlignment w:val="baseline"/>
                    <w:rPr>
                      <w:color w:val="auto"/>
                      <w:szCs w:val="21"/>
                    </w:rPr>
                  </w:pPr>
                  <w:r>
                    <w:rPr>
                      <w:color w:val="auto"/>
                      <w:szCs w:val="21"/>
                    </w:rPr>
                    <w:t>150</w:t>
                  </w:r>
                  <w:r>
                    <w:rPr>
                      <w:rFonts w:hint="eastAsia"/>
                      <w:color w:val="auto"/>
                      <w:szCs w:val="21"/>
                    </w:rPr>
                    <w:t>m</w:t>
                  </w:r>
                </w:p>
              </w:tc>
              <w:tc>
                <w:tcPr>
                  <w:tcW w:w="521" w:type="pct"/>
                  <w:vAlign w:val="center"/>
                </w:tcPr>
                <w:p w14:paraId="53FB2AEB">
                  <w:pPr>
                    <w:spacing w:line="320" w:lineRule="exact"/>
                    <w:jc w:val="center"/>
                    <w:textAlignment w:val="baseline"/>
                    <w:rPr>
                      <w:color w:val="auto"/>
                      <w:szCs w:val="21"/>
                    </w:rPr>
                  </w:pPr>
                  <w:r>
                    <w:rPr>
                      <w:color w:val="auto"/>
                      <w:szCs w:val="21"/>
                    </w:rPr>
                    <w:t>200</w:t>
                  </w:r>
                  <w:r>
                    <w:rPr>
                      <w:rFonts w:hint="eastAsia"/>
                      <w:color w:val="auto"/>
                      <w:szCs w:val="21"/>
                    </w:rPr>
                    <w:t>m</w:t>
                  </w:r>
                </w:p>
              </w:tc>
              <w:tc>
                <w:tcPr>
                  <w:tcW w:w="538" w:type="pct"/>
                  <w:vAlign w:val="center"/>
                </w:tcPr>
                <w:p w14:paraId="49A954A6">
                  <w:pPr>
                    <w:spacing w:line="320" w:lineRule="exact"/>
                    <w:jc w:val="center"/>
                    <w:textAlignment w:val="baseline"/>
                    <w:rPr>
                      <w:color w:val="auto"/>
                      <w:szCs w:val="21"/>
                    </w:rPr>
                  </w:pPr>
                  <w:r>
                    <w:rPr>
                      <w:rFonts w:hint="eastAsia"/>
                      <w:color w:val="auto"/>
                      <w:szCs w:val="21"/>
                    </w:rPr>
                    <w:t>380m</w:t>
                  </w:r>
                </w:p>
              </w:tc>
            </w:tr>
            <w:tr w14:paraId="2C698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Align w:val="center"/>
                </w:tcPr>
                <w:p w14:paraId="1260B508">
                  <w:pPr>
                    <w:pStyle w:val="47"/>
                    <w:spacing w:line="320" w:lineRule="exact"/>
                    <w:jc w:val="center"/>
                    <w:rPr>
                      <w:color w:val="auto"/>
                      <w:sz w:val="21"/>
                      <w:szCs w:val="21"/>
                      <w:lang w:eastAsia="zh-CN"/>
                    </w:rPr>
                  </w:pPr>
                  <w:r>
                    <w:rPr>
                      <w:color w:val="auto"/>
                      <w:spacing w:val="6"/>
                      <w:sz w:val="21"/>
                      <w:szCs w:val="21"/>
                      <w:lang w:eastAsia="zh-CN"/>
                    </w:rPr>
                    <w:t>推土机</w:t>
                  </w:r>
                </w:p>
              </w:tc>
              <w:tc>
                <w:tcPr>
                  <w:tcW w:w="544" w:type="pct"/>
                  <w:vAlign w:val="center"/>
                </w:tcPr>
                <w:p w14:paraId="112EF316">
                  <w:pPr>
                    <w:spacing w:line="320" w:lineRule="exact"/>
                    <w:jc w:val="center"/>
                    <w:textAlignment w:val="baseline"/>
                    <w:rPr>
                      <w:color w:val="auto"/>
                      <w:szCs w:val="21"/>
                    </w:rPr>
                  </w:pPr>
                  <w:r>
                    <w:rPr>
                      <w:rFonts w:hint="eastAsia"/>
                      <w:color w:val="auto"/>
                      <w:szCs w:val="21"/>
                    </w:rPr>
                    <w:t>86.52</w:t>
                  </w:r>
                </w:p>
              </w:tc>
              <w:tc>
                <w:tcPr>
                  <w:tcW w:w="543" w:type="pct"/>
                  <w:vAlign w:val="center"/>
                </w:tcPr>
                <w:p w14:paraId="3D0B418F">
                  <w:pPr>
                    <w:spacing w:line="320" w:lineRule="exact"/>
                    <w:jc w:val="center"/>
                    <w:textAlignment w:val="baseline"/>
                    <w:rPr>
                      <w:color w:val="auto"/>
                      <w:szCs w:val="21"/>
                    </w:rPr>
                  </w:pPr>
                  <w:r>
                    <w:rPr>
                      <w:rFonts w:hint="eastAsia"/>
                      <w:color w:val="auto"/>
                      <w:szCs w:val="21"/>
                    </w:rPr>
                    <w:t>76.98</w:t>
                  </w:r>
                </w:p>
              </w:tc>
              <w:tc>
                <w:tcPr>
                  <w:tcW w:w="552" w:type="pct"/>
                  <w:vAlign w:val="center"/>
                </w:tcPr>
                <w:p w14:paraId="576C92A7">
                  <w:pPr>
                    <w:spacing w:line="320" w:lineRule="exact"/>
                    <w:jc w:val="center"/>
                    <w:textAlignment w:val="baseline"/>
                    <w:rPr>
                      <w:color w:val="auto"/>
                      <w:szCs w:val="21"/>
                    </w:rPr>
                  </w:pPr>
                  <w:r>
                    <w:rPr>
                      <w:rFonts w:hint="eastAsia"/>
                      <w:color w:val="auto"/>
                      <w:szCs w:val="21"/>
                    </w:rPr>
                    <w:t>72.54</w:t>
                  </w:r>
                </w:p>
              </w:tc>
              <w:tc>
                <w:tcPr>
                  <w:tcW w:w="544" w:type="pct"/>
                  <w:vAlign w:val="center"/>
                </w:tcPr>
                <w:p w14:paraId="64C53BC1">
                  <w:pPr>
                    <w:spacing w:line="320" w:lineRule="exact"/>
                    <w:jc w:val="center"/>
                    <w:textAlignment w:val="baseline"/>
                    <w:rPr>
                      <w:color w:val="auto"/>
                      <w:szCs w:val="21"/>
                    </w:rPr>
                  </w:pPr>
                  <w:r>
                    <w:rPr>
                      <w:rFonts w:hint="eastAsia"/>
                      <w:color w:val="auto"/>
                      <w:szCs w:val="21"/>
                    </w:rPr>
                    <w:t>69.62</w:t>
                  </w:r>
                </w:p>
              </w:tc>
              <w:tc>
                <w:tcPr>
                  <w:tcW w:w="522" w:type="pct"/>
                  <w:vAlign w:val="center"/>
                </w:tcPr>
                <w:p w14:paraId="4987933C">
                  <w:pPr>
                    <w:spacing w:line="320" w:lineRule="exact"/>
                    <w:jc w:val="center"/>
                    <w:textAlignment w:val="baseline"/>
                    <w:rPr>
                      <w:color w:val="auto"/>
                      <w:szCs w:val="21"/>
                    </w:rPr>
                  </w:pPr>
                  <w:r>
                    <w:rPr>
                      <w:rFonts w:hint="eastAsia"/>
                      <w:color w:val="auto"/>
                      <w:szCs w:val="21"/>
                    </w:rPr>
                    <w:t>66.52</w:t>
                  </w:r>
                </w:p>
              </w:tc>
              <w:tc>
                <w:tcPr>
                  <w:tcW w:w="527" w:type="pct"/>
                  <w:vAlign w:val="center"/>
                </w:tcPr>
                <w:p w14:paraId="3FAC4807">
                  <w:pPr>
                    <w:spacing w:line="320" w:lineRule="exact"/>
                    <w:jc w:val="center"/>
                    <w:textAlignment w:val="baseline"/>
                    <w:rPr>
                      <w:color w:val="auto"/>
                      <w:szCs w:val="21"/>
                    </w:rPr>
                  </w:pPr>
                  <w:r>
                    <w:rPr>
                      <w:rFonts w:hint="eastAsia"/>
                      <w:color w:val="auto"/>
                      <w:szCs w:val="21"/>
                    </w:rPr>
                    <w:t>63.00</w:t>
                  </w:r>
                </w:p>
              </w:tc>
              <w:tc>
                <w:tcPr>
                  <w:tcW w:w="521" w:type="pct"/>
                  <w:vAlign w:val="center"/>
                </w:tcPr>
                <w:p w14:paraId="1008206D">
                  <w:pPr>
                    <w:spacing w:line="320" w:lineRule="exact"/>
                    <w:jc w:val="center"/>
                    <w:textAlignment w:val="baseline"/>
                    <w:rPr>
                      <w:color w:val="auto"/>
                      <w:szCs w:val="21"/>
                    </w:rPr>
                  </w:pPr>
                  <w:r>
                    <w:rPr>
                      <w:rFonts w:hint="eastAsia"/>
                      <w:color w:val="auto"/>
                      <w:szCs w:val="21"/>
                    </w:rPr>
                    <w:t>60.50</w:t>
                  </w:r>
                </w:p>
              </w:tc>
              <w:tc>
                <w:tcPr>
                  <w:tcW w:w="538" w:type="pct"/>
                  <w:vAlign w:val="center"/>
                </w:tcPr>
                <w:p w14:paraId="2B787B15">
                  <w:pPr>
                    <w:spacing w:line="320" w:lineRule="exact"/>
                    <w:jc w:val="center"/>
                    <w:textAlignment w:val="baseline"/>
                    <w:rPr>
                      <w:color w:val="auto"/>
                      <w:szCs w:val="21"/>
                    </w:rPr>
                  </w:pPr>
                  <w:r>
                    <w:rPr>
                      <w:rFonts w:hint="eastAsia"/>
                      <w:color w:val="auto"/>
                      <w:szCs w:val="21"/>
                    </w:rPr>
                    <w:t>54.92</w:t>
                  </w:r>
                </w:p>
              </w:tc>
            </w:tr>
            <w:tr w14:paraId="7B115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Align w:val="center"/>
                </w:tcPr>
                <w:p w14:paraId="1CF3764E">
                  <w:pPr>
                    <w:pStyle w:val="47"/>
                    <w:spacing w:line="320" w:lineRule="exact"/>
                    <w:jc w:val="center"/>
                    <w:rPr>
                      <w:color w:val="auto"/>
                      <w:sz w:val="21"/>
                      <w:szCs w:val="21"/>
                      <w:lang w:eastAsia="zh-CN"/>
                    </w:rPr>
                  </w:pPr>
                  <w:r>
                    <w:rPr>
                      <w:color w:val="auto"/>
                      <w:spacing w:val="7"/>
                      <w:sz w:val="21"/>
                      <w:szCs w:val="21"/>
                      <w:lang w:eastAsia="zh-CN"/>
                    </w:rPr>
                    <w:t>挖掘机</w:t>
                  </w:r>
                </w:p>
              </w:tc>
              <w:tc>
                <w:tcPr>
                  <w:tcW w:w="544" w:type="pct"/>
                  <w:vAlign w:val="center"/>
                </w:tcPr>
                <w:p w14:paraId="48F40396">
                  <w:pPr>
                    <w:spacing w:line="320" w:lineRule="exact"/>
                    <w:jc w:val="center"/>
                    <w:textAlignment w:val="baseline"/>
                    <w:rPr>
                      <w:color w:val="auto"/>
                      <w:szCs w:val="21"/>
                    </w:rPr>
                  </w:pPr>
                  <w:r>
                    <w:rPr>
                      <w:rFonts w:hint="eastAsia"/>
                      <w:color w:val="auto"/>
                      <w:szCs w:val="21"/>
                    </w:rPr>
                    <w:t>80.52</w:t>
                  </w:r>
                </w:p>
              </w:tc>
              <w:tc>
                <w:tcPr>
                  <w:tcW w:w="543" w:type="pct"/>
                  <w:vAlign w:val="center"/>
                </w:tcPr>
                <w:p w14:paraId="681597E7">
                  <w:pPr>
                    <w:spacing w:line="320" w:lineRule="exact"/>
                    <w:jc w:val="center"/>
                    <w:textAlignment w:val="baseline"/>
                    <w:rPr>
                      <w:color w:val="auto"/>
                      <w:szCs w:val="21"/>
                    </w:rPr>
                  </w:pPr>
                  <w:r>
                    <w:rPr>
                      <w:rFonts w:hint="eastAsia"/>
                      <w:color w:val="auto"/>
                      <w:szCs w:val="21"/>
                    </w:rPr>
                    <w:t>70.98</w:t>
                  </w:r>
                </w:p>
              </w:tc>
              <w:tc>
                <w:tcPr>
                  <w:tcW w:w="552" w:type="pct"/>
                  <w:vAlign w:val="center"/>
                </w:tcPr>
                <w:p w14:paraId="6E36A0F1">
                  <w:pPr>
                    <w:spacing w:line="320" w:lineRule="exact"/>
                    <w:jc w:val="center"/>
                    <w:textAlignment w:val="baseline"/>
                    <w:rPr>
                      <w:color w:val="auto"/>
                      <w:szCs w:val="21"/>
                    </w:rPr>
                  </w:pPr>
                  <w:r>
                    <w:rPr>
                      <w:color w:val="auto"/>
                      <w:szCs w:val="21"/>
                    </w:rPr>
                    <w:t>66.54</w:t>
                  </w:r>
                </w:p>
              </w:tc>
              <w:tc>
                <w:tcPr>
                  <w:tcW w:w="544" w:type="pct"/>
                  <w:vAlign w:val="center"/>
                </w:tcPr>
                <w:p w14:paraId="255DB761">
                  <w:pPr>
                    <w:spacing w:line="320" w:lineRule="exact"/>
                    <w:jc w:val="center"/>
                    <w:textAlignment w:val="baseline"/>
                    <w:rPr>
                      <w:color w:val="auto"/>
                      <w:szCs w:val="21"/>
                    </w:rPr>
                  </w:pPr>
                  <w:r>
                    <w:rPr>
                      <w:color w:val="auto"/>
                      <w:szCs w:val="21"/>
                    </w:rPr>
                    <w:t>63.6</w:t>
                  </w:r>
                  <w:r>
                    <w:rPr>
                      <w:rFonts w:hint="eastAsia"/>
                      <w:color w:val="auto"/>
                      <w:szCs w:val="21"/>
                    </w:rPr>
                    <w:t>2</w:t>
                  </w:r>
                </w:p>
              </w:tc>
              <w:tc>
                <w:tcPr>
                  <w:tcW w:w="522" w:type="pct"/>
                  <w:vAlign w:val="center"/>
                </w:tcPr>
                <w:p w14:paraId="25C5F6DF">
                  <w:pPr>
                    <w:spacing w:line="320" w:lineRule="exact"/>
                    <w:jc w:val="center"/>
                    <w:textAlignment w:val="baseline"/>
                    <w:rPr>
                      <w:color w:val="auto"/>
                      <w:szCs w:val="21"/>
                    </w:rPr>
                  </w:pPr>
                  <w:r>
                    <w:rPr>
                      <w:rFonts w:hint="eastAsia"/>
                      <w:color w:val="auto"/>
                      <w:szCs w:val="21"/>
                    </w:rPr>
                    <w:t>60.52</w:t>
                  </w:r>
                </w:p>
              </w:tc>
              <w:tc>
                <w:tcPr>
                  <w:tcW w:w="527" w:type="pct"/>
                  <w:vAlign w:val="center"/>
                </w:tcPr>
                <w:p w14:paraId="4B0D6EEF">
                  <w:pPr>
                    <w:spacing w:line="320" w:lineRule="exact"/>
                    <w:jc w:val="center"/>
                    <w:textAlignment w:val="baseline"/>
                    <w:rPr>
                      <w:color w:val="auto"/>
                      <w:szCs w:val="21"/>
                    </w:rPr>
                  </w:pPr>
                  <w:r>
                    <w:rPr>
                      <w:rFonts w:hint="eastAsia"/>
                      <w:color w:val="auto"/>
                      <w:szCs w:val="21"/>
                    </w:rPr>
                    <w:t>57.00</w:t>
                  </w:r>
                </w:p>
              </w:tc>
              <w:tc>
                <w:tcPr>
                  <w:tcW w:w="521" w:type="pct"/>
                  <w:vAlign w:val="center"/>
                </w:tcPr>
                <w:p w14:paraId="069ABB20">
                  <w:pPr>
                    <w:spacing w:line="320" w:lineRule="exact"/>
                    <w:jc w:val="center"/>
                    <w:textAlignment w:val="baseline"/>
                    <w:rPr>
                      <w:color w:val="auto"/>
                      <w:szCs w:val="21"/>
                    </w:rPr>
                  </w:pPr>
                  <w:r>
                    <w:rPr>
                      <w:rFonts w:hint="eastAsia"/>
                      <w:color w:val="auto"/>
                      <w:szCs w:val="21"/>
                    </w:rPr>
                    <w:t>54.50</w:t>
                  </w:r>
                </w:p>
              </w:tc>
              <w:tc>
                <w:tcPr>
                  <w:tcW w:w="538" w:type="pct"/>
                  <w:vAlign w:val="center"/>
                </w:tcPr>
                <w:p w14:paraId="2B87293C">
                  <w:pPr>
                    <w:spacing w:line="320" w:lineRule="exact"/>
                    <w:jc w:val="center"/>
                    <w:textAlignment w:val="baseline"/>
                    <w:rPr>
                      <w:color w:val="auto"/>
                      <w:szCs w:val="21"/>
                    </w:rPr>
                  </w:pPr>
                  <w:r>
                    <w:rPr>
                      <w:rFonts w:hint="eastAsia"/>
                      <w:color w:val="auto"/>
                      <w:szCs w:val="21"/>
                    </w:rPr>
                    <w:t>48.92</w:t>
                  </w:r>
                </w:p>
              </w:tc>
            </w:tr>
            <w:tr w14:paraId="64A18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Align w:val="center"/>
                </w:tcPr>
                <w:p w14:paraId="21D79A9E">
                  <w:pPr>
                    <w:pStyle w:val="47"/>
                    <w:spacing w:line="320" w:lineRule="exact"/>
                    <w:jc w:val="center"/>
                    <w:rPr>
                      <w:color w:val="auto"/>
                      <w:sz w:val="21"/>
                      <w:szCs w:val="21"/>
                      <w:lang w:eastAsia="zh-CN"/>
                    </w:rPr>
                  </w:pPr>
                  <w:r>
                    <w:rPr>
                      <w:color w:val="auto"/>
                      <w:spacing w:val="6"/>
                      <w:sz w:val="21"/>
                      <w:szCs w:val="21"/>
                      <w:lang w:eastAsia="zh-CN"/>
                    </w:rPr>
                    <w:t>装载机</w:t>
                  </w:r>
                </w:p>
              </w:tc>
              <w:tc>
                <w:tcPr>
                  <w:tcW w:w="544" w:type="pct"/>
                  <w:vAlign w:val="center"/>
                </w:tcPr>
                <w:p w14:paraId="13D99ADE">
                  <w:pPr>
                    <w:spacing w:line="320" w:lineRule="exact"/>
                    <w:jc w:val="center"/>
                    <w:textAlignment w:val="baseline"/>
                    <w:rPr>
                      <w:color w:val="auto"/>
                      <w:szCs w:val="21"/>
                    </w:rPr>
                  </w:pPr>
                  <w:r>
                    <w:rPr>
                      <w:rFonts w:hint="eastAsia"/>
                      <w:color w:val="auto"/>
                      <w:szCs w:val="21"/>
                    </w:rPr>
                    <w:t>83.52</w:t>
                  </w:r>
                </w:p>
              </w:tc>
              <w:tc>
                <w:tcPr>
                  <w:tcW w:w="543" w:type="pct"/>
                  <w:vAlign w:val="center"/>
                </w:tcPr>
                <w:p w14:paraId="4F29664C">
                  <w:pPr>
                    <w:spacing w:line="320" w:lineRule="exact"/>
                    <w:jc w:val="center"/>
                    <w:textAlignment w:val="baseline"/>
                    <w:rPr>
                      <w:color w:val="auto"/>
                      <w:szCs w:val="21"/>
                    </w:rPr>
                  </w:pPr>
                  <w:r>
                    <w:rPr>
                      <w:color w:val="auto"/>
                      <w:szCs w:val="21"/>
                    </w:rPr>
                    <w:t>73.9</w:t>
                  </w:r>
                  <w:r>
                    <w:rPr>
                      <w:rFonts w:hint="eastAsia"/>
                      <w:color w:val="auto"/>
                      <w:szCs w:val="21"/>
                    </w:rPr>
                    <w:t>8</w:t>
                  </w:r>
                </w:p>
              </w:tc>
              <w:tc>
                <w:tcPr>
                  <w:tcW w:w="552" w:type="pct"/>
                  <w:vAlign w:val="center"/>
                </w:tcPr>
                <w:p w14:paraId="36823D87">
                  <w:pPr>
                    <w:spacing w:line="320" w:lineRule="exact"/>
                    <w:jc w:val="center"/>
                    <w:textAlignment w:val="baseline"/>
                    <w:rPr>
                      <w:color w:val="auto"/>
                      <w:szCs w:val="21"/>
                    </w:rPr>
                  </w:pPr>
                  <w:r>
                    <w:rPr>
                      <w:rFonts w:hint="eastAsia"/>
                      <w:color w:val="auto"/>
                      <w:szCs w:val="21"/>
                    </w:rPr>
                    <w:t>69.54</w:t>
                  </w:r>
                </w:p>
              </w:tc>
              <w:tc>
                <w:tcPr>
                  <w:tcW w:w="544" w:type="pct"/>
                  <w:vAlign w:val="center"/>
                </w:tcPr>
                <w:p w14:paraId="79CCEB31">
                  <w:pPr>
                    <w:spacing w:line="320" w:lineRule="exact"/>
                    <w:jc w:val="center"/>
                    <w:textAlignment w:val="baseline"/>
                    <w:rPr>
                      <w:color w:val="auto"/>
                      <w:szCs w:val="21"/>
                    </w:rPr>
                  </w:pPr>
                  <w:r>
                    <w:rPr>
                      <w:rFonts w:hint="eastAsia"/>
                      <w:color w:val="auto"/>
                      <w:szCs w:val="21"/>
                    </w:rPr>
                    <w:t>66.62</w:t>
                  </w:r>
                </w:p>
              </w:tc>
              <w:tc>
                <w:tcPr>
                  <w:tcW w:w="522" w:type="pct"/>
                  <w:vAlign w:val="center"/>
                </w:tcPr>
                <w:p w14:paraId="299A2A8B">
                  <w:pPr>
                    <w:spacing w:line="320" w:lineRule="exact"/>
                    <w:jc w:val="center"/>
                    <w:textAlignment w:val="baseline"/>
                    <w:rPr>
                      <w:color w:val="auto"/>
                      <w:szCs w:val="21"/>
                    </w:rPr>
                  </w:pPr>
                  <w:r>
                    <w:rPr>
                      <w:rFonts w:hint="eastAsia"/>
                      <w:color w:val="auto"/>
                      <w:szCs w:val="21"/>
                    </w:rPr>
                    <w:t>63.52</w:t>
                  </w:r>
                </w:p>
              </w:tc>
              <w:tc>
                <w:tcPr>
                  <w:tcW w:w="527" w:type="pct"/>
                  <w:vAlign w:val="center"/>
                </w:tcPr>
                <w:p w14:paraId="6E501522">
                  <w:pPr>
                    <w:spacing w:line="320" w:lineRule="exact"/>
                    <w:jc w:val="center"/>
                    <w:textAlignment w:val="baseline"/>
                    <w:rPr>
                      <w:color w:val="auto"/>
                      <w:szCs w:val="21"/>
                    </w:rPr>
                  </w:pPr>
                  <w:r>
                    <w:rPr>
                      <w:rFonts w:hint="eastAsia"/>
                      <w:color w:val="auto"/>
                      <w:szCs w:val="21"/>
                    </w:rPr>
                    <w:t>60.00</w:t>
                  </w:r>
                </w:p>
              </w:tc>
              <w:tc>
                <w:tcPr>
                  <w:tcW w:w="521" w:type="pct"/>
                  <w:vAlign w:val="center"/>
                </w:tcPr>
                <w:p w14:paraId="31D0BEC7">
                  <w:pPr>
                    <w:spacing w:line="320" w:lineRule="exact"/>
                    <w:jc w:val="center"/>
                    <w:textAlignment w:val="baseline"/>
                    <w:rPr>
                      <w:color w:val="auto"/>
                      <w:szCs w:val="21"/>
                    </w:rPr>
                  </w:pPr>
                  <w:r>
                    <w:rPr>
                      <w:rFonts w:hint="eastAsia"/>
                      <w:color w:val="auto"/>
                      <w:szCs w:val="21"/>
                    </w:rPr>
                    <w:t>57.50</w:t>
                  </w:r>
                </w:p>
              </w:tc>
              <w:tc>
                <w:tcPr>
                  <w:tcW w:w="538" w:type="pct"/>
                  <w:vAlign w:val="center"/>
                </w:tcPr>
                <w:p w14:paraId="17A98010">
                  <w:pPr>
                    <w:spacing w:line="320" w:lineRule="exact"/>
                    <w:jc w:val="center"/>
                    <w:textAlignment w:val="baseline"/>
                    <w:rPr>
                      <w:color w:val="auto"/>
                      <w:szCs w:val="21"/>
                    </w:rPr>
                  </w:pPr>
                  <w:r>
                    <w:rPr>
                      <w:rFonts w:hint="eastAsia"/>
                      <w:color w:val="auto"/>
                      <w:szCs w:val="21"/>
                    </w:rPr>
                    <w:t>51.92</w:t>
                  </w:r>
                </w:p>
              </w:tc>
            </w:tr>
            <w:tr w14:paraId="71D0A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Align w:val="center"/>
                </w:tcPr>
                <w:p w14:paraId="5E5A8D5D">
                  <w:pPr>
                    <w:pStyle w:val="47"/>
                    <w:spacing w:line="320" w:lineRule="exact"/>
                    <w:jc w:val="center"/>
                    <w:rPr>
                      <w:color w:val="auto"/>
                      <w:sz w:val="21"/>
                      <w:szCs w:val="21"/>
                      <w:lang w:eastAsia="zh-CN"/>
                    </w:rPr>
                  </w:pPr>
                  <w:r>
                    <w:rPr>
                      <w:color w:val="auto"/>
                      <w:spacing w:val="7"/>
                      <w:sz w:val="21"/>
                      <w:szCs w:val="21"/>
                      <w:lang w:eastAsia="zh-CN"/>
                    </w:rPr>
                    <w:t>振捣机</w:t>
                  </w:r>
                </w:p>
              </w:tc>
              <w:tc>
                <w:tcPr>
                  <w:tcW w:w="544" w:type="pct"/>
                  <w:vAlign w:val="center"/>
                </w:tcPr>
                <w:p w14:paraId="7CA4140A">
                  <w:pPr>
                    <w:spacing w:line="320" w:lineRule="exact"/>
                    <w:jc w:val="center"/>
                    <w:textAlignment w:val="baseline"/>
                    <w:rPr>
                      <w:color w:val="auto"/>
                      <w:szCs w:val="21"/>
                    </w:rPr>
                  </w:pPr>
                  <w:r>
                    <w:rPr>
                      <w:rFonts w:hint="eastAsia"/>
                      <w:color w:val="auto"/>
                      <w:szCs w:val="21"/>
                    </w:rPr>
                    <w:t>73</w:t>
                  </w:r>
                </w:p>
              </w:tc>
              <w:tc>
                <w:tcPr>
                  <w:tcW w:w="543" w:type="pct"/>
                  <w:vAlign w:val="center"/>
                </w:tcPr>
                <w:p w14:paraId="3B91B3D9">
                  <w:pPr>
                    <w:spacing w:line="320" w:lineRule="exact"/>
                    <w:jc w:val="center"/>
                    <w:textAlignment w:val="baseline"/>
                    <w:rPr>
                      <w:color w:val="auto"/>
                      <w:szCs w:val="21"/>
                    </w:rPr>
                  </w:pPr>
                  <w:r>
                    <w:rPr>
                      <w:rFonts w:hint="eastAsia"/>
                      <w:color w:val="auto"/>
                      <w:szCs w:val="21"/>
                    </w:rPr>
                    <w:t>63.46</w:t>
                  </w:r>
                </w:p>
              </w:tc>
              <w:tc>
                <w:tcPr>
                  <w:tcW w:w="552" w:type="pct"/>
                  <w:vAlign w:val="center"/>
                </w:tcPr>
                <w:p w14:paraId="69B624F5">
                  <w:pPr>
                    <w:spacing w:line="320" w:lineRule="exact"/>
                    <w:jc w:val="center"/>
                    <w:textAlignment w:val="baseline"/>
                    <w:rPr>
                      <w:color w:val="auto"/>
                      <w:szCs w:val="21"/>
                    </w:rPr>
                  </w:pPr>
                  <w:r>
                    <w:rPr>
                      <w:rFonts w:hint="eastAsia"/>
                      <w:color w:val="auto"/>
                      <w:szCs w:val="21"/>
                    </w:rPr>
                    <w:t>59.02</w:t>
                  </w:r>
                </w:p>
              </w:tc>
              <w:tc>
                <w:tcPr>
                  <w:tcW w:w="544" w:type="pct"/>
                  <w:vAlign w:val="center"/>
                </w:tcPr>
                <w:p w14:paraId="4538A596">
                  <w:pPr>
                    <w:spacing w:line="320" w:lineRule="exact"/>
                    <w:jc w:val="center"/>
                    <w:textAlignment w:val="baseline"/>
                    <w:rPr>
                      <w:color w:val="auto"/>
                      <w:szCs w:val="21"/>
                    </w:rPr>
                  </w:pPr>
                  <w:r>
                    <w:rPr>
                      <w:rFonts w:hint="eastAsia"/>
                      <w:color w:val="auto"/>
                      <w:szCs w:val="21"/>
                    </w:rPr>
                    <w:t>56.10</w:t>
                  </w:r>
                </w:p>
              </w:tc>
              <w:tc>
                <w:tcPr>
                  <w:tcW w:w="522" w:type="pct"/>
                  <w:vAlign w:val="center"/>
                </w:tcPr>
                <w:p w14:paraId="46D97AE8">
                  <w:pPr>
                    <w:spacing w:line="320" w:lineRule="exact"/>
                    <w:jc w:val="center"/>
                    <w:textAlignment w:val="baseline"/>
                    <w:rPr>
                      <w:color w:val="auto"/>
                      <w:szCs w:val="21"/>
                    </w:rPr>
                  </w:pPr>
                  <w:r>
                    <w:rPr>
                      <w:rFonts w:hint="eastAsia"/>
                      <w:color w:val="auto"/>
                      <w:szCs w:val="21"/>
                    </w:rPr>
                    <w:t>53</w:t>
                  </w:r>
                </w:p>
              </w:tc>
              <w:tc>
                <w:tcPr>
                  <w:tcW w:w="527" w:type="pct"/>
                  <w:vAlign w:val="center"/>
                </w:tcPr>
                <w:p w14:paraId="11F6BEEC">
                  <w:pPr>
                    <w:spacing w:line="320" w:lineRule="exact"/>
                    <w:jc w:val="center"/>
                    <w:textAlignment w:val="baseline"/>
                    <w:rPr>
                      <w:color w:val="auto"/>
                      <w:szCs w:val="21"/>
                    </w:rPr>
                  </w:pPr>
                  <w:r>
                    <w:rPr>
                      <w:rFonts w:hint="eastAsia"/>
                      <w:color w:val="auto"/>
                      <w:szCs w:val="21"/>
                    </w:rPr>
                    <w:t>49.48</w:t>
                  </w:r>
                </w:p>
              </w:tc>
              <w:tc>
                <w:tcPr>
                  <w:tcW w:w="521" w:type="pct"/>
                  <w:vAlign w:val="center"/>
                </w:tcPr>
                <w:p w14:paraId="3A260695">
                  <w:pPr>
                    <w:spacing w:line="320" w:lineRule="exact"/>
                    <w:jc w:val="center"/>
                    <w:textAlignment w:val="baseline"/>
                    <w:rPr>
                      <w:color w:val="auto"/>
                      <w:szCs w:val="21"/>
                    </w:rPr>
                  </w:pPr>
                  <w:r>
                    <w:rPr>
                      <w:rFonts w:hint="eastAsia"/>
                      <w:color w:val="auto"/>
                      <w:szCs w:val="21"/>
                    </w:rPr>
                    <w:t>46.98</w:t>
                  </w:r>
                </w:p>
              </w:tc>
              <w:tc>
                <w:tcPr>
                  <w:tcW w:w="538" w:type="pct"/>
                  <w:vAlign w:val="center"/>
                </w:tcPr>
                <w:p w14:paraId="325D2D80">
                  <w:pPr>
                    <w:spacing w:line="320" w:lineRule="exact"/>
                    <w:jc w:val="center"/>
                    <w:textAlignment w:val="baseline"/>
                    <w:rPr>
                      <w:color w:val="auto"/>
                      <w:szCs w:val="21"/>
                    </w:rPr>
                  </w:pPr>
                  <w:r>
                    <w:rPr>
                      <w:rFonts w:hint="eastAsia"/>
                      <w:color w:val="auto"/>
                      <w:szCs w:val="21"/>
                    </w:rPr>
                    <w:t>41.40</w:t>
                  </w:r>
                </w:p>
              </w:tc>
            </w:tr>
            <w:tr w14:paraId="27936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Align w:val="center"/>
                </w:tcPr>
                <w:p w14:paraId="4EAA3135">
                  <w:pPr>
                    <w:pStyle w:val="47"/>
                    <w:spacing w:line="320" w:lineRule="exact"/>
                    <w:jc w:val="center"/>
                    <w:rPr>
                      <w:color w:val="auto"/>
                      <w:spacing w:val="7"/>
                      <w:sz w:val="21"/>
                      <w:szCs w:val="21"/>
                      <w:lang w:eastAsia="zh-CN"/>
                    </w:rPr>
                  </w:pPr>
                  <w:r>
                    <w:rPr>
                      <w:color w:val="auto"/>
                      <w:spacing w:val="7"/>
                      <w:sz w:val="21"/>
                      <w:szCs w:val="21"/>
                      <w:lang w:eastAsia="zh-CN"/>
                    </w:rPr>
                    <w:t>电锯</w:t>
                  </w:r>
                </w:p>
              </w:tc>
              <w:tc>
                <w:tcPr>
                  <w:tcW w:w="544" w:type="pct"/>
                  <w:vAlign w:val="center"/>
                </w:tcPr>
                <w:p w14:paraId="27160E47">
                  <w:pPr>
                    <w:spacing w:line="320" w:lineRule="exact"/>
                    <w:jc w:val="center"/>
                    <w:textAlignment w:val="baseline"/>
                    <w:rPr>
                      <w:color w:val="auto"/>
                      <w:szCs w:val="21"/>
                    </w:rPr>
                  </w:pPr>
                  <w:r>
                    <w:rPr>
                      <w:rFonts w:hint="eastAsia"/>
                      <w:color w:val="auto"/>
                      <w:szCs w:val="21"/>
                    </w:rPr>
                    <w:t>83</w:t>
                  </w:r>
                </w:p>
              </w:tc>
              <w:tc>
                <w:tcPr>
                  <w:tcW w:w="543" w:type="pct"/>
                  <w:vAlign w:val="center"/>
                </w:tcPr>
                <w:p w14:paraId="760AAB17">
                  <w:pPr>
                    <w:spacing w:line="320" w:lineRule="exact"/>
                    <w:jc w:val="center"/>
                    <w:textAlignment w:val="baseline"/>
                    <w:rPr>
                      <w:color w:val="auto"/>
                      <w:szCs w:val="21"/>
                    </w:rPr>
                  </w:pPr>
                  <w:r>
                    <w:rPr>
                      <w:rFonts w:hint="eastAsia"/>
                      <w:color w:val="auto"/>
                      <w:szCs w:val="21"/>
                    </w:rPr>
                    <w:t>73.46</w:t>
                  </w:r>
                </w:p>
              </w:tc>
              <w:tc>
                <w:tcPr>
                  <w:tcW w:w="552" w:type="pct"/>
                  <w:vAlign w:val="center"/>
                </w:tcPr>
                <w:p w14:paraId="541306B0">
                  <w:pPr>
                    <w:spacing w:line="320" w:lineRule="exact"/>
                    <w:jc w:val="center"/>
                    <w:textAlignment w:val="baseline"/>
                    <w:rPr>
                      <w:color w:val="auto"/>
                      <w:szCs w:val="21"/>
                    </w:rPr>
                  </w:pPr>
                  <w:r>
                    <w:rPr>
                      <w:rFonts w:hint="eastAsia"/>
                      <w:color w:val="auto"/>
                      <w:szCs w:val="21"/>
                    </w:rPr>
                    <w:t>69.02</w:t>
                  </w:r>
                </w:p>
              </w:tc>
              <w:tc>
                <w:tcPr>
                  <w:tcW w:w="544" w:type="pct"/>
                  <w:vAlign w:val="center"/>
                </w:tcPr>
                <w:p w14:paraId="0D570EDC">
                  <w:pPr>
                    <w:spacing w:line="320" w:lineRule="exact"/>
                    <w:jc w:val="center"/>
                    <w:textAlignment w:val="baseline"/>
                    <w:rPr>
                      <w:color w:val="auto"/>
                      <w:szCs w:val="21"/>
                    </w:rPr>
                  </w:pPr>
                  <w:r>
                    <w:rPr>
                      <w:rFonts w:hint="eastAsia"/>
                      <w:color w:val="auto"/>
                      <w:szCs w:val="21"/>
                    </w:rPr>
                    <w:t>66.10</w:t>
                  </w:r>
                </w:p>
              </w:tc>
              <w:tc>
                <w:tcPr>
                  <w:tcW w:w="522" w:type="pct"/>
                  <w:vAlign w:val="center"/>
                </w:tcPr>
                <w:p w14:paraId="2F637D68">
                  <w:pPr>
                    <w:spacing w:line="320" w:lineRule="exact"/>
                    <w:jc w:val="center"/>
                    <w:textAlignment w:val="baseline"/>
                    <w:rPr>
                      <w:color w:val="auto"/>
                      <w:szCs w:val="21"/>
                    </w:rPr>
                  </w:pPr>
                  <w:r>
                    <w:rPr>
                      <w:rFonts w:hint="eastAsia"/>
                      <w:color w:val="auto"/>
                      <w:szCs w:val="21"/>
                    </w:rPr>
                    <w:t>63</w:t>
                  </w:r>
                </w:p>
              </w:tc>
              <w:tc>
                <w:tcPr>
                  <w:tcW w:w="527" w:type="pct"/>
                  <w:vAlign w:val="center"/>
                </w:tcPr>
                <w:p w14:paraId="485437C0">
                  <w:pPr>
                    <w:spacing w:line="320" w:lineRule="exact"/>
                    <w:jc w:val="center"/>
                    <w:textAlignment w:val="baseline"/>
                    <w:rPr>
                      <w:color w:val="auto"/>
                      <w:szCs w:val="21"/>
                    </w:rPr>
                  </w:pPr>
                  <w:r>
                    <w:rPr>
                      <w:rFonts w:hint="eastAsia"/>
                      <w:color w:val="auto"/>
                      <w:szCs w:val="21"/>
                    </w:rPr>
                    <w:t>59.48</w:t>
                  </w:r>
                </w:p>
              </w:tc>
              <w:tc>
                <w:tcPr>
                  <w:tcW w:w="521" w:type="pct"/>
                  <w:vAlign w:val="center"/>
                </w:tcPr>
                <w:p w14:paraId="541A6031">
                  <w:pPr>
                    <w:spacing w:line="320" w:lineRule="exact"/>
                    <w:jc w:val="center"/>
                    <w:textAlignment w:val="baseline"/>
                    <w:rPr>
                      <w:color w:val="auto"/>
                      <w:szCs w:val="21"/>
                    </w:rPr>
                  </w:pPr>
                  <w:r>
                    <w:rPr>
                      <w:rFonts w:hint="eastAsia"/>
                      <w:color w:val="auto"/>
                      <w:szCs w:val="21"/>
                    </w:rPr>
                    <w:t>56.98</w:t>
                  </w:r>
                </w:p>
              </w:tc>
              <w:tc>
                <w:tcPr>
                  <w:tcW w:w="538" w:type="pct"/>
                  <w:vAlign w:val="center"/>
                </w:tcPr>
                <w:p w14:paraId="244E7CD9">
                  <w:pPr>
                    <w:spacing w:line="320" w:lineRule="exact"/>
                    <w:jc w:val="center"/>
                    <w:textAlignment w:val="baseline"/>
                    <w:rPr>
                      <w:color w:val="auto"/>
                      <w:szCs w:val="21"/>
                    </w:rPr>
                  </w:pPr>
                  <w:r>
                    <w:rPr>
                      <w:rFonts w:hint="eastAsia"/>
                      <w:color w:val="auto"/>
                      <w:szCs w:val="21"/>
                    </w:rPr>
                    <w:t>51.40</w:t>
                  </w:r>
                </w:p>
              </w:tc>
            </w:tr>
            <w:tr w14:paraId="19471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Align w:val="center"/>
                </w:tcPr>
                <w:p w14:paraId="3234ED76">
                  <w:pPr>
                    <w:pStyle w:val="47"/>
                    <w:spacing w:line="320" w:lineRule="exact"/>
                    <w:jc w:val="center"/>
                    <w:rPr>
                      <w:color w:val="auto"/>
                      <w:sz w:val="21"/>
                      <w:szCs w:val="21"/>
                      <w:lang w:eastAsia="zh-CN"/>
                    </w:rPr>
                  </w:pPr>
                  <w:r>
                    <w:rPr>
                      <w:color w:val="auto"/>
                      <w:spacing w:val="-8"/>
                      <w:sz w:val="21"/>
                      <w:szCs w:val="21"/>
                      <w:lang w:eastAsia="zh-CN"/>
                    </w:rPr>
                    <w:t>吊车</w:t>
                  </w:r>
                </w:p>
              </w:tc>
              <w:tc>
                <w:tcPr>
                  <w:tcW w:w="544" w:type="pct"/>
                  <w:vAlign w:val="center"/>
                </w:tcPr>
                <w:p w14:paraId="73131671">
                  <w:pPr>
                    <w:spacing w:line="320" w:lineRule="exact"/>
                    <w:jc w:val="center"/>
                    <w:textAlignment w:val="baseline"/>
                    <w:rPr>
                      <w:color w:val="auto"/>
                      <w:szCs w:val="21"/>
                    </w:rPr>
                  </w:pPr>
                  <w:r>
                    <w:rPr>
                      <w:color w:val="auto"/>
                      <w:szCs w:val="21"/>
                    </w:rPr>
                    <w:t>76.52</w:t>
                  </w:r>
                </w:p>
              </w:tc>
              <w:tc>
                <w:tcPr>
                  <w:tcW w:w="543" w:type="pct"/>
                  <w:vAlign w:val="center"/>
                </w:tcPr>
                <w:p w14:paraId="17B769A0">
                  <w:pPr>
                    <w:spacing w:line="320" w:lineRule="exact"/>
                    <w:jc w:val="center"/>
                    <w:textAlignment w:val="baseline"/>
                    <w:rPr>
                      <w:color w:val="auto"/>
                      <w:szCs w:val="21"/>
                    </w:rPr>
                  </w:pPr>
                  <w:r>
                    <w:rPr>
                      <w:color w:val="auto"/>
                      <w:szCs w:val="21"/>
                    </w:rPr>
                    <w:t>66.9</w:t>
                  </w:r>
                  <w:r>
                    <w:rPr>
                      <w:rFonts w:hint="eastAsia"/>
                      <w:color w:val="auto"/>
                      <w:szCs w:val="21"/>
                    </w:rPr>
                    <w:t>8</w:t>
                  </w:r>
                </w:p>
              </w:tc>
              <w:tc>
                <w:tcPr>
                  <w:tcW w:w="552" w:type="pct"/>
                  <w:vAlign w:val="center"/>
                </w:tcPr>
                <w:p w14:paraId="7C4CFF11">
                  <w:pPr>
                    <w:spacing w:line="320" w:lineRule="exact"/>
                    <w:jc w:val="center"/>
                    <w:textAlignment w:val="baseline"/>
                    <w:rPr>
                      <w:color w:val="auto"/>
                      <w:szCs w:val="21"/>
                    </w:rPr>
                  </w:pPr>
                  <w:r>
                    <w:rPr>
                      <w:color w:val="auto"/>
                      <w:szCs w:val="21"/>
                    </w:rPr>
                    <w:t>62.54</w:t>
                  </w:r>
                </w:p>
              </w:tc>
              <w:tc>
                <w:tcPr>
                  <w:tcW w:w="544" w:type="pct"/>
                  <w:vAlign w:val="center"/>
                </w:tcPr>
                <w:p w14:paraId="53B22CB5">
                  <w:pPr>
                    <w:spacing w:line="320" w:lineRule="exact"/>
                    <w:jc w:val="center"/>
                    <w:textAlignment w:val="baseline"/>
                    <w:rPr>
                      <w:color w:val="auto"/>
                      <w:szCs w:val="21"/>
                    </w:rPr>
                  </w:pPr>
                  <w:r>
                    <w:rPr>
                      <w:color w:val="auto"/>
                      <w:szCs w:val="21"/>
                    </w:rPr>
                    <w:t>59.6</w:t>
                  </w:r>
                  <w:r>
                    <w:rPr>
                      <w:rFonts w:hint="eastAsia"/>
                      <w:color w:val="auto"/>
                      <w:szCs w:val="21"/>
                    </w:rPr>
                    <w:t>2</w:t>
                  </w:r>
                </w:p>
              </w:tc>
              <w:tc>
                <w:tcPr>
                  <w:tcW w:w="522" w:type="pct"/>
                  <w:vAlign w:val="center"/>
                </w:tcPr>
                <w:p w14:paraId="6D0011B6">
                  <w:pPr>
                    <w:spacing w:line="320" w:lineRule="exact"/>
                    <w:jc w:val="center"/>
                    <w:textAlignment w:val="baseline"/>
                    <w:rPr>
                      <w:color w:val="auto"/>
                      <w:szCs w:val="21"/>
                    </w:rPr>
                  </w:pPr>
                  <w:r>
                    <w:rPr>
                      <w:rFonts w:hint="eastAsia"/>
                      <w:color w:val="auto"/>
                      <w:szCs w:val="21"/>
                    </w:rPr>
                    <w:t>56.52</w:t>
                  </w:r>
                </w:p>
              </w:tc>
              <w:tc>
                <w:tcPr>
                  <w:tcW w:w="527" w:type="pct"/>
                  <w:vAlign w:val="center"/>
                </w:tcPr>
                <w:p w14:paraId="365FDF24">
                  <w:pPr>
                    <w:spacing w:line="320" w:lineRule="exact"/>
                    <w:jc w:val="center"/>
                    <w:textAlignment w:val="baseline"/>
                    <w:rPr>
                      <w:color w:val="auto"/>
                      <w:szCs w:val="21"/>
                    </w:rPr>
                  </w:pPr>
                  <w:r>
                    <w:rPr>
                      <w:rFonts w:hint="eastAsia"/>
                      <w:color w:val="auto"/>
                      <w:szCs w:val="21"/>
                    </w:rPr>
                    <w:t>53.00</w:t>
                  </w:r>
                </w:p>
              </w:tc>
              <w:tc>
                <w:tcPr>
                  <w:tcW w:w="521" w:type="pct"/>
                  <w:vAlign w:val="center"/>
                </w:tcPr>
                <w:p w14:paraId="70E33729">
                  <w:pPr>
                    <w:spacing w:line="320" w:lineRule="exact"/>
                    <w:jc w:val="center"/>
                    <w:textAlignment w:val="baseline"/>
                    <w:rPr>
                      <w:color w:val="auto"/>
                      <w:szCs w:val="21"/>
                    </w:rPr>
                  </w:pPr>
                  <w:r>
                    <w:rPr>
                      <w:rFonts w:hint="eastAsia"/>
                      <w:color w:val="auto"/>
                      <w:szCs w:val="21"/>
                    </w:rPr>
                    <w:t>50.50</w:t>
                  </w:r>
                </w:p>
              </w:tc>
              <w:tc>
                <w:tcPr>
                  <w:tcW w:w="538" w:type="pct"/>
                  <w:vAlign w:val="center"/>
                </w:tcPr>
                <w:p w14:paraId="294B75C0">
                  <w:pPr>
                    <w:spacing w:line="320" w:lineRule="exact"/>
                    <w:jc w:val="center"/>
                    <w:textAlignment w:val="baseline"/>
                    <w:rPr>
                      <w:color w:val="auto"/>
                      <w:szCs w:val="21"/>
                    </w:rPr>
                  </w:pPr>
                  <w:r>
                    <w:rPr>
                      <w:rFonts w:hint="eastAsia"/>
                      <w:color w:val="auto"/>
                      <w:szCs w:val="21"/>
                    </w:rPr>
                    <w:t>44.92</w:t>
                  </w:r>
                </w:p>
              </w:tc>
            </w:tr>
            <w:tr w14:paraId="6A14C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705" w:type="pct"/>
                  <w:vAlign w:val="center"/>
                </w:tcPr>
                <w:p w14:paraId="538522F8">
                  <w:pPr>
                    <w:pStyle w:val="47"/>
                    <w:spacing w:line="320" w:lineRule="exact"/>
                    <w:jc w:val="center"/>
                    <w:rPr>
                      <w:color w:val="auto"/>
                      <w:sz w:val="21"/>
                      <w:szCs w:val="21"/>
                      <w:lang w:eastAsia="zh-CN"/>
                    </w:rPr>
                  </w:pPr>
                  <w:r>
                    <w:rPr>
                      <w:color w:val="auto"/>
                      <w:spacing w:val="6"/>
                      <w:sz w:val="21"/>
                      <w:szCs w:val="21"/>
                      <w:lang w:eastAsia="zh-CN"/>
                    </w:rPr>
                    <w:t>升降机</w:t>
                  </w:r>
                </w:p>
              </w:tc>
              <w:tc>
                <w:tcPr>
                  <w:tcW w:w="544" w:type="pct"/>
                  <w:vAlign w:val="center"/>
                </w:tcPr>
                <w:p w14:paraId="1F5AEDB6">
                  <w:pPr>
                    <w:spacing w:line="320" w:lineRule="exact"/>
                    <w:jc w:val="center"/>
                    <w:textAlignment w:val="baseline"/>
                    <w:rPr>
                      <w:color w:val="auto"/>
                      <w:szCs w:val="21"/>
                    </w:rPr>
                  </w:pPr>
                  <w:r>
                    <w:rPr>
                      <w:rFonts w:hint="eastAsia"/>
                      <w:color w:val="auto"/>
                      <w:szCs w:val="21"/>
                    </w:rPr>
                    <w:t>58</w:t>
                  </w:r>
                </w:p>
              </w:tc>
              <w:tc>
                <w:tcPr>
                  <w:tcW w:w="543" w:type="pct"/>
                  <w:vAlign w:val="center"/>
                </w:tcPr>
                <w:p w14:paraId="09A10908">
                  <w:pPr>
                    <w:spacing w:line="320" w:lineRule="exact"/>
                    <w:jc w:val="center"/>
                    <w:textAlignment w:val="baseline"/>
                    <w:rPr>
                      <w:color w:val="auto"/>
                      <w:szCs w:val="21"/>
                    </w:rPr>
                  </w:pPr>
                  <w:r>
                    <w:rPr>
                      <w:rFonts w:hint="eastAsia"/>
                      <w:color w:val="auto"/>
                      <w:szCs w:val="21"/>
                    </w:rPr>
                    <w:t>48.46</w:t>
                  </w:r>
                </w:p>
              </w:tc>
              <w:tc>
                <w:tcPr>
                  <w:tcW w:w="552" w:type="pct"/>
                  <w:vAlign w:val="center"/>
                </w:tcPr>
                <w:p w14:paraId="6B9133C6">
                  <w:pPr>
                    <w:spacing w:line="320" w:lineRule="exact"/>
                    <w:jc w:val="center"/>
                    <w:textAlignment w:val="baseline"/>
                    <w:rPr>
                      <w:color w:val="auto"/>
                      <w:szCs w:val="21"/>
                    </w:rPr>
                  </w:pPr>
                  <w:r>
                    <w:rPr>
                      <w:rFonts w:hint="eastAsia"/>
                      <w:color w:val="auto"/>
                      <w:szCs w:val="21"/>
                    </w:rPr>
                    <w:t>44.02</w:t>
                  </w:r>
                </w:p>
              </w:tc>
              <w:tc>
                <w:tcPr>
                  <w:tcW w:w="544" w:type="pct"/>
                  <w:vAlign w:val="center"/>
                </w:tcPr>
                <w:p w14:paraId="449760A2">
                  <w:pPr>
                    <w:spacing w:line="320" w:lineRule="exact"/>
                    <w:jc w:val="center"/>
                    <w:textAlignment w:val="baseline"/>
                    <w:rPr>
                      <w:color w:val="auto"/>
                      <w:szCs w:val="21"/>
                    </w:rPr>
                  </w:pPr>
                  <w:r>
                    <w:rPr>
                      <w:rFonts w:hint="eastAsia"/>
                      <w:color w:val="auto"/>
                      <w:szCs w:val="21"/>
                    </w:rPr>
                    <w:t>41.10</w:t>
                  </w:r>
                </w:p>
              </w:tc>
              <w:tc>
                <w:tcPr>
                  <w:tcW w:w="522" w:type="pct"/>
                  <w:vAlign w:val="center"/>
                </w:tcPr>
                <w:p w14:paraId="3E594D29">
                  <w:pPr>
                    <w:spacing w:line="320" w:lineRule="exact"/>
                    <w:jc w:val="center"/>
                    <w:textAlignment w:val="baseline"/>
                    <w:rPr>
                      <w:color w:val="auto"/>
                      <w:szCs w:val="21"/>
                    </w:rPr>
                  </w:pPr>
                  <w:r>
                    <w:rPr>
                      <w:rFonts w:hint="eastAsia"/>
                      <w:color w:val="auto"/>
                      <w:szCs w:val="21"/>
                    </w:rPr>
                    <w:t>38</w:t>
                  </w:r>
                </w:p>
              </w:tc>
              <w:tc>
                <w:tcPr>
                  <w:tcW w:w="527" w:type="pct"/>
                  <w:vAlign w:val="center"/>
                </w:tcPr>
                <w:p w14:paraId="239427AF">
                  <w:pPr>
                    <w:spacing w:line="320" w:lineRule="exact"/>
                    <w:jc w:val="center"/>
                    <w:textAlignment w:val="baseline"/>
                    <w:rPr>
                      <w:color w:val="auto"/>
                      <w:szCs w:val="21"/>
                    </w:rPr>
                  </w:pPr>
                  <w:r>
                    <w:rPr>
                      <w:rFonts w:hint="eastAsia"/>
                      <w:color w:val="auto"/>
                      <w:szCs w:val="21"/>
                    </w:rPr>
                    <w:t>34.48</w:t>
                  </w:r>
                </w:p>
              </w:tc>
              <w:tc>
                <w:tcPr>
                  <w:tcW w:w="521" w:type="pct"/>
                  <w:vAlign w:val="center"/>
                </w:tcPr>
                <w:p w14:paraId="6DFE2F28">
                  <w:pPr>
                    <w:spacing w:line="320" w:lineRule="exact"/>
                    <w:jc w:val="center"/>
                    <w:textAlignment w:val="baseline"/>
                    <w:rPr>
                      <w:color w:val="auto"/>
                      <w:szCs w:val="21"/>
                    </w:rPr>
                  </w:pPr>
                  <w:r>
                    <w:rPr>
                      <w:rFonts w:hint="eastAsia"/>
                      <w:color w:val="auto"/>
                      <w:szCs w:val="21"/>
                    </w:rPr>
                    <w:t>31.98</w:t>
                  </w:r>
                </w:p>
              </w:tc>
              <w:tc>
                <w:tcPr>
                  <w:tcW w:w="538" w:type="pct"/>
                  <w:vAlign w:val="center"/>
                </w:tcPr>
                <w:p w14:paraId="55EF673C">
                  <w:pPr>
                    <w:spacing w:line="320" w:lineRule="exact"/>
                    <w:jc w:val="center"/>
                    <w:textAlignment w:val="baseline"/>
                    <w:rPr>
                      <w:color w:val="auto"/>
                      <w:szCs w:val="21"/>
                    </w:rPr>
                  </w:pPr>
                  <w:r>
                    <w:rPr>
                      <w:rFonts w:hint="eastAsia"/>
                      <w:color w:val="auto"/>
                      <w:szCs w:val="21"/>
                    </w:rPr>
                    <w:t>26.40</w:t>
                  </w:r>
                </w:p>
              </w:tc>
            </w:tr>
            <w:tr w14:paraId="4A5E5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705" w:type="pct"/>
                  <w:vAlign w:val="center"/>
                </w:tcPr>
                <w:p w14:paraId="5D38D095">
                  <w:pPr>
                    <w:pStyle w:val="47"/>
                    <w:spacing w:line="320" w:lineRule="exact"/>
                    <w:jc w:val="center"/>
                    <w:rPr>
                      <w:color w:val="auto"/>
                      <w:spacing w:val="-3"/>
                      <w:sz w:val="21"/>
                      <w:szCs w:val="21"/>
                      <w:lang w:eastAsia="zh-CN"/>
                    </w:rPr>
                  </w:pPr>
                  <w:r>
                    <w:rPr>
                      <w:color w:val="auto"/>
                      <w:sz w:val="21"/>
                      <w:szCs w:val="21"/>
                      <w:lang w:eastAsia="zh-CN"/>
                    </w:rPr>
                    <w:t>重型卡车</w:t>
                  </w:r>
                </w:p>
              </w:tc>
              <w:tc>
                <w:tcPr>
                  <w:tcW w:w="544" w:type="pct"/>
                  <w:vAlign w:val="center"/>
                </w:tcPr>
                <w:p w14:paraId="3B40B0C6">
                  <w:pPr>
                    <w:spacing w:line="320" w:lineRule="exact"/>
                    <w:jc w:val="center"/>
                    <w:textAlignment w:val="baseline"/>
                    <w:rPr>
                      <w:color w:val="auto"/>
                      <w:szCs w:val="21"/>
                    </w:rPr>
                  </w:pPr>
                  <w:r>
                    <w:rPr>
                      <w:color w:val="auto"/>
                      <w:szCs w:val="21"/>
                    </w:rPr>
                    <w:t>82.5</w:t>
                  </w:r>
                </w:p>
              </w:tc>
              <w:tc>
                <w:tcPr>
                  <w:tcW w:w="543" w:type="pct"/>
                  <w:vAlign w:val="center"/>
                </w:tcPr>
                <w:p w14:paraId="3A406899">
                  <w:pPr>
                    <w:spacing w:line="320" w:lineRule="exact"/>
                    <w:jc w:val="center"/>
                    <w:textAlignment w:val="baseline"/>
                    <w:rPr>
                      <w:color w:val="auto"/>
                      <w:szCs w:val="21"/>
                    </w:rPr>
                  </w:pPr>
                  <w:r>
                    <w:rPr>
                      <w:color w:val="auto"/>
                      <w:szCs w:val="21"/>
                    </w:rPr>
                    <w:t>72.9</w:t>
                  </w:r>
                  <w:r>
                    <w:rPr>
                      <w:rFonts w:hint="eastAsia"/>
                      <w:color w:val="auto"/>
                      <w:szCs w:val="21"/>
                    </w:rPr>
                    <w:t>6</w:t>
                  </w:r>
                </w:p>
              </w:tc>
              <w:tc>
                <w:tcPr>
                  <w:tcW w:w="552" w:type="pct"/>
                  <w:vAlign w:val="center"/>
                </w:tcPr>
                <w:p w14:paraId="08363D12">
                  <w:pPr>
                    <w:spacing w:line="320" w:lineRule="exact"/>
                    <w:jc w:val="center"/>
                    <w:textAlignment w:val="baseline"/>
                    <w:rPr>
                      <w:color w:val="auto"/>
                      <w:szCs w:val="21"/>
                    </w:rPr>
                  </w:pPr>
                  <w:r>
                    <w:rPr>
                      <w:color w:val="auto"/>
                      <w:szCs w:val="21"/>
                    </w:rPr>
                    <w:t>68.52</w:t>
                  </w:r>
                </w:p>
              </w:tc>
              <w:tc>
                <w:tcPr>
                  <w:tcW w:w="544" w:type="pct"/>
                  <w:vAlign w:val="center"/>
                </w:tcPr>
                <w:p w14:paraId="3952D0A8">
                  <w:pPr>
                    <w:spacing w:line="320" w:lineRule="exact"/>
                    <w:jc w:val="center"/>
                    <w:textAlignment w:val="baseline"/>
                    <w:rPr>
                      <w:color w:val="auto"/>
                      <w:szCs w:val="21"/>
                    </w:rPr>
                  </w:pPr>
                  <w:r>
                    <w:rPr>
                      <w:rFonts w:hint="eastAsia"/>
                      <w:color w:val="auto"/>
                      <w:szCs w:val="21"/>
                    </w:rPr>
                    <w:t>65.60</w:t>
                  </w:r>
                </w:p>
              </w:tc>
              <w:tc>
                <w:tcPr>
                  <w:tcW w:w="522" w:type="pct"/>
                  <w:vAlign w:val="center"/>
                </w:tcPr>
                <w:p w14:paraId="5E30DAA8">
                  <w:pPr>
                    <w:spacing w:line="320" w:lineRule="exact"/>
                    <w:jc w:val="center"/>
                    <w:textAlignment w:val="baseline"/>
                    <w:rPr>
                      <w:color w:val="auto"/>
                      <w:szCs w:val="21"/>
                    </w:rPr>
                  </w:pPr>
                  <w:r>
                    <w:rPr>
                      <w:color w:val="auto"/>
                      <w:szCs w:val="21"/>
                    </w:rPr>
                    <w:t>62.5</w:t>
                  </w:r>
                </w:p>
              </w:tc>
              <w:tc>
                <w:tcPr>
                  <w:tcW w:w="527" w:type="pct"/>
                  <w:vAlign w:val="center"/>
                </w:tcPr>
                <w:p w14:paraId="5C97DBD6">
                  <w:pPr>
                    <w:spacing w:line="320" w:lineRule="exact"/>
                    <w:jc w:val="center"/>
                    <w:textAlignment w:val="baseline"/>
                    <w:rPr>
                      <w:color w:val="auto"/>
                      <w:szCs w:val="21"/>
                    </w:rPr>
                  </w:pPr>
                  <w:r>
                    <w:rPr>
                      <w:color w:val="auto"/>
                      <w:szCs w:val="21"/>
                    </w:rPr>
                    <w:t>58.9</w:t>
                  </w:r>
                  <w:r>
                    <w:rPr>
                      <w:rFonts w:hint="eastAsia"/>
                      <w:color w:val="auto"/>
                      <w:szCs w:val="21"/>
                    </w:rPr>
                    <w:t>8</w:t>
                  </w:r>
                </w:p>
              </w:tc>
              <w:tc>
                <w:tcPr>
                  <w:tcW w:w="521" w:type="pct"/>
                  <w:vAlign w:val="center"/>
                </w:tcPr>
                <w:p w14:paraId="1ABB6AE2">
                  <w:pPr>
                    <w:spacing w:line="320" w:lineRule="exact"/>
                    <w:jc w:val="center"/>
                    <w:textAlignment w:val="baseline"/>
                    <w:rPr>
                      <w:color w:val="auto"/>
                      <w:szCs w:val="21"/>
                    </w:rPr>
                  </w:pPr>
                  <w:r>
                    <w:rPr>
                      <w:rFonts w:hint="eastAsia"/>
                      <w:color w:val="auto"/>
                      <w:szCs w:val="21"/>
                    </w:rPr>
                    <w:t>56.48</w:t>
                  </w:r>
                </w:p>
              </w:tc>
              <w:tc>
                <w:tcPr>
                  <w:tcW w:w="538" w:type="pct"/>
                  <w:vAlign w:val="center"/>
                </w:tcPr>
                <w:p w14:paraId="6D32675F">
                  <w:pPr>
                    <w:spacing w:line="320" w:lineRule="exact"/>
                    <w:jc w:val="center"/>
                    <w:textAlignment w:val="baseline"/>
                    <w:rPr>
                      <w:color w:val="auto"/>
                      <w:szCs w:val="21"/>
                    </w:rPr>
                  </w:pPr>
                  <w:r>
                    <w:rPr>
                      <w:rFonts w:hint="eastAsia"/>
                      <w:color w:val="auto"/>
                      <w:szCs w:val="21"/>
                    </w:rPr>
                    <w:t>50.90</w:t>
                  </w:r>
                </w:p>
              </w:tc>
            </w:tr>
          </w:tbl>
          <w:p w14:paraId="7038A2A7">
            <w:pPr>
              <w:tabs>
                <w:tab w:val="left" w:pos="624"/>
              </w:tabs>
              <w:spacing w:line="500" w:lineRule="exact"/>
              <w:ind w:firstLine="480" w:firstLineChars="200"/>
              <w:rPr>
                <w:color w:val="auto"/>
                <w:sz w:val="24"/>
              </w:rPr>
            </w:pPr>
            <w:r>
              <w:rPr>
                <w:color w:val="auto"/>
                <w:sz w:val="24"/>
              </w:rPr>
              <w:t>从计算结果可以看出：主要机械在</w:t>
            </w:r>
            <w:r>
              <w:rPr>
                <w:rFonts w:hint="eastAsia"/>
                <w:color w:val="auto"/>
                <w:sz w:val="24"/>
              </w:rPr>
              <w:t>70</w:t>
            </w:r>
            <w:r>
              <w:rPr>
                <w:color w:val="auto"/>
                <w:sz w:val="24"/>
              </w:rPr>
              <w:t>m以外均不超过《建筑施工场界环境噪声排放标准》</w:t>
            </w:r>
            <w:r>
              <w:rPr>
                <w:rFonts w:hint="eastAsia"/>
                <w:color w:val="auto"/>
                <w:sz w:val="24"/>
              </w:rPr>
              <w:t>（</w:t>
            </w:r>
            <w:r>
              <w:rPr>
                <w:color w:val="auto"/>
                <w:sz w:val="24"/>
              </w:rPr>
              <w:t>GB12523</w:t>
            </w:r>
            <w:r>
              <w:rPr>
                <w:rFonts w:hint="eastAsia"/>
                <w:color w:val="auto"/>
                <w:sz w:val="24"/>
              </w:rPr>
              <w:t>-</w:t>
            </w:r>
            <w:r>
              <w:rPr>
                <w:color w:val="auto"/>
                <w:sz w:val="24"/>
              </w:rPr>
              <w:t>2011</w:t>
            </w:r>
            <w:r>
              <w:rPr>
                <w:rFonts w:hint="eastAsia"/>
                <w:color w:val="auto"/>
                <w:sz w:val="24"/>
              </w:rPr>
              <w:t>）</w:t>
            </w:r>
            <w:r>
              <w:rPr>
                <w:color w:val="auto"/>
                <w:sz w:val="24"/>
              </w:rPr>
              <w:t>中的昼间噪声限值70dB</w:t>
            </w:r>
            <w:r>
              <w:rPr>
                <w:rFonts w:hint="eastAsia"/>
                <w:color w:val="auto"/>
                <w:sz w:val="24"/>
              </w:rPr>
              <w:t>（</w:t>
            </w:r>
            <w:r>
              <w:rPr>
                <w:color w:val="auto"/>
                <w:sz w:val="24"/>
              </w:rPr>
              <w:t>A），主要机械</w:t>
            </w:r>
            <w:r>
              <w:rPr>
                <w:rFonts w:hint="eastAsia"/>
                <w:color w:val="auto"/>
                <w:sz w:val="24"/>
              </w:rPr>
              <w:t>在380</w:t>
            </w:r>
            <w:r>
              <w:rPr>
                <w:color w:val="auto"/>
                <w:sz w:val="24"/>
              </w:rPr>
              <w:t>m以</w:t>
            </w:r>
            <w:r>
              <w:rPr>
                <w:rFonts w:hint="eastAsia"/>
                <w:color w:val="auto"/>
                <w:sz w:val="24"/>
              </w:rPr>
              <w:t>外时</w:t>
            </w:r>
            <w:r>
              <w:rPr>
                <w:color w:val="auto"/>
                <w:sz w:val="24"/>
              </w:rPr>
              <w:t>不超过夜间55dB</w:t>
            </w:r>
            <w:r>
              <w:rPr>
                <w:rFonts w:hint="eastAsia"/>
                <w:color w:val="auto"/>
                <w:sz w:val="24"/>
              </w:rPr>
              <w:t>（</w:t>
            </w:r>
            <w:r>
              <w:rPr>
                <w:color w:val="auto"/>
                <w:sz w:val="24"/>
              </w:rPr>
              <w:t>A）的标准。</w:t>
            </w:r>
          </w:p>
          <w:p w14:paraId="1493FD2A">
            <w:pPr>
              <w:tabs>
                <w:tab w:val="left" w:pos="624"/>
              </w:tabs>
              <w:spacing w:line="500" w:lineRule="exact"/>
              <w:ind w:firstLine="480" w:firstLineChars="200"/>
              <w:rPr>
                <w:color w:val="auto"/>
                <w:sz w:val="24"/>
              </w:rPr>
            </w:pPr>
            <w:r>
              <w:rPr>
                <w:rFonts w:hint="eastAsia"/>
                <w:color w:val="auto"/>
                <w:sz w:val="24"/>
              </w:rPr>
              <w:t>本</w:t>
            </w:r>
            <w:r>
              <w:rPr>
                <w:color w:val="auto"/>
                <w:sz w:val="24"/>
              </w:rPr>
              <w:t>项目</w:t>
            </w:r>
            <w:r>
              <w:rPr>
                <w:rFonts w:hint="eastAsia"/>
                <w:color w:val="auto"/>
                <w:sz w:val="24"/>
              </w:rPr>
              <w:t>风井场地西侧240m有1处敏感点，该居民点施工期间的昼</w:t>
            </w:r>
            <w:r>
              <w:rPr>
                <w:rFonts w:hint="eastAsia"/>
                <w:color w:val="auto"/>
                <w:sz w:val="24"/>
                <w:lang w:val="en-US" w:eastAsia="zh-CN"/>
              </w:rPr>
              <w:t>夜</w:t>
            </w:r>
            <w:r>
              <w:rPr>
                <w:rFonts w:hint="eastAsia"/>
                <w:color w:val="auto"/>
                <w:sz w:val="24"/>
              </w:rPr>
              <w:t>噪声预测值</w:t>
            </w:r>
            <w:r>
              <w:rPr>
                <w:rFonts w:hint="eastAsia"/>
                <w:color w:val="auto"/>
                <w:sz w:val="24"/>
                <w:lang w:val="en-US" w:eastAsia="zh-CN"/>
              </w:rPr>
              <w:t>均</w:t>
            </w:r>
            <w:r>
              <w:rPr>
                <w:rFonts w:hint="eastAsia"/>
                <w:color w:val="auto"/>
                <w:sz w:val="24"/>
              </w:rPr>
              <w:t>为58.92dB（A）</w:t>
            </w:r>
            <w:r>
              <w:rPr>
                <w:rFonts w:hint="eastAsia" w:ascii="宋体" w:hAnsi="宋体" w:cs="宋体"/>
                <w:color w:val="auto"/>
                <w:sz w:val="24"/>
              </w:rPr>
              <w:t>，</w:t>
            </w:r>
            <w:r>
              <w:rPr>
                <w:color w:val="auto"/>
                <w:sz w:val="24"/>
              </w:rPr>
              <w:t>噪声保护目标的声环境在施工期会受到施工噪声的影响</w:t>
            </w:r>
            <w:r>
              <w:rPr>
                <w:rFonts w:ascii="宋体" w:hAnsi="宋体" w:cs="宋体"/>
                <w:color w:val="auto"/>
                <w:sz w:val="24"/>
              </w:rPr>
              <w:t>，</w:t>
            </w:r>
            <w:r>
              <w:rPr>
                <w:rFonts w:hint="eastAsia" w:ascii="宋体" w:hAnsi="宋体" w:cs="宋体"/>
                <w:color w:val="auto"/>
                <w:sz w:val="24"/>
              </w:rPr>
              <w:t>夜间</w:t>
            </w:r>
            <w:r>
              <w:rPr>
                <w:rFonts w:ascii="宋体" w:hAnsi="宋体" w:cs="宋体"/>
                <w:color w:val="auto"/>
                <w:sz w:val="24"/>
              </w:rPr>
              <w:t>噪声值会超过标准限值。为进一步确保施工期间噪声达标排放，减轻噪声对周围环境的影响，采取以下噪声污染防治措施</w:t>
            </w:r>
            <w:r>
              <w:rPr>
                <w:rFonts w:hint="eastAsia" w:ascii="宋体" w:hAnsi="宋体" w:cs="宋体"/>
                <w:color w:val="auto"/>
                <w:sz w:val="24"/>
              </w:rPr>
              <w:t>：</w:t>
            </w:r>
            <w:r>
              <w:rPr>
                <w:color w:val="auto"/>
                <w:sz w:val="24"/>
              </w:rPr>
              <w:t>合理安排施工时间，</w:t>
            </w:r>
            <w:r>
              <w:rPr>
                <w:rFonts w:hint="eastAsia"/>
                <w:color w:val="auto"/>
                <w:sz w:val="24"/>
              </w:rPr>
              <w:t>禁止夜间（22：00～06：00）、中午（12：00-14：00）施工</w:t>
            </w:r>
            <w:r>
              <w:rPr>
                <w:rFonts w:hint="eastAsia"/>
                <w:color w:val="auto"/>
                <w:sz w:val="24"/>
                <w:lang w:eastAsia="zh-CN"/>
              </w:rPr>
              <w:t>；</w:t>
            </w:r>
            <w:r>
              <w:rPr>
                <w:rFonts w:hint="eastAsia"/>
                <w:color w:val="auto"/>
                <w:sz w:val="24"/>
                <w:lang w:val="en-US" w:eastAsia="zh-CN"/>
              </w:rPr>
              <w:t>选用低噪声机械设备，并及时维修保养；</w:t>
            </w:r>
            <w:r>
              <w:rPr>
                <w:rFonts w:hint="eastAsia"/>
                <w:bCs/>
                <w:color w:val="auto"/>
                <w:sz w:val="24"/>
                <w:lang w:val="en-US" w:eastAsia="zh-CN"/>
              </w:rPr>
              <w:t>合理布局施工设备，高噪声设备远离敏感点；对</w:t>
            </w:r>
            <w:r>
              <w:rPr>
                <w:rFonts w:hint="eastAsia"/>
                <w:color w:val="auto"/>
                <w:sz w:val="24"/>
                <w:lang w:val="en-US" w:eastAsia="zh-CN"/>
              </w:rPr>
              <w:t>运输车辆采取限速、禁鸣</w:t>
            </w:r>
            <w:r>
              <w:rPr>
                <w:color w:val="auto"/>
                <w:sz w:val="24"/>
              </w:rPr>
              <w:t>等措施降噪。随着施工期的结束，影响也随之结束。</w:t>
            </w:r>
          </w:p>
          <w:p w14:paraId="25C08158">
            <w:pPr>
              <w:spacing w:line="500" w:lineRule="exact"/>
              <w:ind w:firstLine="482" w:firstLineChars="200"/>
              <w:rPr>
                <w:b/>
                <w:bCs/>
                <w:color w:val="auto"/>
                <w:sz w:val="24"/>
              </w:rPr>
            </w:pPr>
            <w:r>
              <w:rPr>
                <w:rFonts w:hint="eastAsia"/>
                <w:b/>
                <w:bCs/>
                <w:color w:val="auto"/>
                <w:sz w:val="24"/>
              </w:rPr>
              <w:t>5</w:t>
            </w:r>
            <w:r>
              <w:rPr>
                <w:b/>
                <w:bCs/>
                <w:color w:val="auto"/>
                <w:sz w:val="24"/>
              </w:rPr>
              <w:t>、固体废物</w:t>
            </w:r>
          </w:p>
          <w:p w14:paraId="0436415B">
            <w:pPr>
              <w:adjustRightInd w:val="0"/>
              <w:snapToGrid w:val="0"/>
              <w:spacing w:line="500" w:lineRule="exact"/>
              <w:ind w:firstLine="480" w:firstLineChars="200"/>
              <w:rPr>
                <w:color w:val="auto"/>
                <w:sz w:val="24"/>
              </w:rPr>
            </w:pPr>
            <w:r>
              <w:rPr>
                <w:color w:val="auto"/>
                <w:sz w:val="24"/>
              </w:rPr>
              <w:t>施工期所产固体废物主要是工程施工过程中产生的</w:t>
            </w:r>
            <w:r>
              <w:rPr>
                <w:rFonts w:hint="eastAsia"/>
                <w:color w:val="auto"/>
                <w:sz w:val="24"/>
              </w:rPr>
              <w:t>弃土方</w:t>
            </w:r>
            <w:r>
              <w:rPr>
                <w:rFonts w:hint="eastAsia"/>
                <w:color w:val="auto"/>
                <w:sz w:val="24"/>
                <w:lang w:eastAsia="zh-CN"/>
              </w:rPr>
              <w:t>、</w:t>
            </w:r>
            <w:r>
              <w:rPr>
                <w:rFonts w:hint="eastAsia" w:ascii="Times New Roman" w:hAnsi="Times New Roman" w:eastAsia="宋体" w:cs="Times New Roman"/>
                <w:b w:val="0"/>
                <w:bCs/>
                <w:color w:val="auto"/>
                <w:kern w:val="0"/>
                <w:sz w:val="24"/>
                <w:szCs w:val="24"/>
                <w:highlight w:val="none"/>
                <w:lang w:val="en-US" w:eastAsia="zh-CN" w:bidi="ar-SA"/>
              </w:rPr>
              <w:t>井巷施工产生的废弃物、</w:t>
            </w:r>
            <w:r>
              <w:rPr>
                <w:color w:val="auto"/>
                <w:sz w:val="24"/>
              </w:rPr>
              <w:t>施工人员生活垃圾</w:t>
            </w:r>
            <w:r>
              <w:rPr>
                <w:rFonts w:hint="eastAsia"/>
                <w:color w:val="auto"/>
                <w:sz w:val="24"/>
                <w:lang w:val="en-US" w:eastAsia="zh-CN"/>
              </w:rPr>
              <w:t>及</w:t>
            </w:r>
            <w:r>
              <w:rPr>
                <w:color w:val="auto"/>
                <w:spacing w:val="-3"/>
                <w:sz w:val="24"/>
              </w:rPr>
              <w:t>建筑垃圾</w:t>
            </w:r>
            <w:r>
              <w:rPr>
                <w:color w:val="auto"/>
                <w:sz w:val="24"/>
              </w:rPr>
              <w:t>。</w:t>
            </w:r>
          </w:p>
          <w:p w14:paraId="0E1117B3">
            <w:pPr>
              <w:keepNext w:val="0"/>
              <w:keepLines w:val="0"/>
              <w:pageBreakBefore w:val="0"/>
              <w:widowControl/>
              <w:kinsoku/>
              <w:wordWrap/>
              <w:overflowPunct/>
              <w:topLinePunct w:val="0"/>
              <w:autoSpaceDE/>
              <w:autoSpaceDN/>
              <w:bidi w:val="0"/>
              <w:spacing w:line="480" w:lineRule="exact"/>
              <w:ind w:firstLine="480" w:firstLineChars="200"/>
              <w:textAlignment w:val="auto"/>
              <w:rPr>
                <w:rFonts w:hint="eastAsia"/>
                <w:color w:val="auto"/>
                <w:sz w:val="24"/>
              </w:rPr>
            </w:pPr>
            <w:r>
              <w:rPr>
                <w:rFonts w:hint="eastAsia"/>
                <w:color w:val="auto"/>
                <w:sz w:val="24"/>
              </w:rPr>
              <w:t>（1）弃土方</w:t>
            </w:r>
          </w:p>
          <w:p w14:paraId="1B00124C">
            <w:pPr>
              <w:keepNext w:val="0"/>
              <w:keepLines w:val="0"/>
              <w:pageBreakBefore w:val="0"/>
              <w:widowControl/>
              <w:kinsoku/>
              <w:wordWrap/>
              <w:overflowPunct/>
              <w:topLinePunct w:val="0"/>
              <w:autoSpaceDE/>
              <w:autoSpaceDN/>
              <w:bidi w:val="0"/>
              <w:spacing w:line="480" w:lineRule="exact"/>
              <w:ind w:firstLine="480" w:firstLineChars="200"/>
              <w:textAlignment w:val="auto"/>
              <w:rPr>
                <w:bCs/>
                <w:color w:val="auto"/>
                <w:kern w:val="0"/>
                <w:sz w:val="24"/>
              </w:rPr>
            </w:pPr>
            <w:r>
              <w:rPr>
                <w:rFonts w:hint="eastAsia"/>
                <w:bCs/>
                <w:color w:val="auto"/>
                <w:kern w:val="0"/>
                <w:sz w:val="24"/>
              </w:rPr>
              <w:t>风井场地设计总挖方量1.82万m</w:t>
            </w:r>
            <w:r>
              <w:rPr>
                <w:rFonts w:hint="eastAsia"/>
                <w:bCs/>
                <w:color w:val="auto"/>
                <w:kern w:val="0"/>
                <w:sz w:val="24"/>
                <w:vertAlign w:val="superscript"/>
              </w:rPr>
              <w:t>3</w:t>
            </w:r>
            <w:r>
              <w:rPr>
                <w:rFonts w:hint="eastAsia"/>
                <w:bCs/>
                <w:color w:val="auto"/>
                <w:kern w:val="0"/>
                <w:sz w:val="24"/>
              </w:rPr>
              <w:t>，总填方量1.82万m</w:t>
            </w:r>
            <w:r>
              <w:rPr>
                <w:rFonts w:hint="eastAsia"/>
                <w:bCs/>
                <w:color w:val="auto"/>
                <w:kern w:val="0"/>
                <w:sz w:val="24"/>
                <w:vertAlign w:val="superscript"/>
              </w:rPr>
              <w:t>3</w:t>
            </w:r>
            <w:r>
              <w:rPr>
                <w:rFonts w:hint="eastAsia"/>
                <w:bCs/>
                <w:color w:val="auto"/>
                <w:kern w:val="0"/>
                <w:sz w:val="24"/>
              </w:rPr>
              <w:t>，</w:t>
            </w:r>
            <w:r>
              <w:rPr>
                <w:bCs/>
                <w:color w:val="auto"/>
                <w:kern w:val="0"/>
                <w:sz w:val="24"/>
              </w:rPr>
              <w:t>无弃方。</w:t>
            </w:r>
            <w:r>
              <w:rPr>
                <w:rFonts w:hint="eastAsia"/>
                <w:bCs/>
                <w:color w:val="auto"/>
                <w:kern w:val="0"/>
                <w:sz w:val="24"/>
              </w:rPr>
              <w:t>基础开挖和风井开挖产生的余方全部用于场地平整。</w:t>
            </w:r>
          </w:p>
          <w:p w14:paraId="143C867D">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eastAsia" w:eastAsia="宋体"/>
                <w:color w:val="auto"/>
                <w:sz w:val="24"/>
                <w:lang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ascii="Times New Roman" w:hAnsi="Times New Roman" w:eastAsia="宋体" w:cs="Times New Roman"/>
                <w:b w:val="0"/>
                <w:bCs/>
                <w:color w:val="auto"/>
                <w:kern w:val="0"/>
                <w:sz w:val="24"/>
                <w:szCs w:val="24"/>
                <w:highlight w:val="none"/>
                <w:lang w:val="en-US" w:eastAsia="zh-CN" w:bidi="ar-SA"/>
              </w:rPr>
              <w:t>井巷施工产生的废弃物</w:t>
            </w:r>
          </w:p>
          <w:p w14:paraId="479D1C72">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rFonts w:hint="default" w:eastAsia="宋体"/>
                <w:b w:val="0"/>
                <w:bCs w:val="0"/>
                <w:color w:val="auto"/>
                <w:sz w:val="24"/>
                <w:lang w:val="en-US" w:eastAsia="zh-CN"/>
              </w:rPr>
            </w:pPr>
            <w:r>
              <w:rPr>
                <w:rFonts w:hint="eastAsia" w:ascii="Times New Roman" w:hAnsi="Times New Roman" w:eastAsia="宋体" w:cs="Times New Roman"/>
                <w:b w:val="0"/>
                <w:bCs/>
                <w:color w:val="auto"/>
                <w:kern w:val="0"/>
                <w:sz w:val="24"/>
                <w:szCs w:val="24"/>
                <w:highlight w:val="none"/>
                <w:lang w:val="en-US" w:eastAsia="zh-CN" w:bidi="ar-SA"/>
              </w:rPr>
              <w:t>井巷施工过程中产生煤</w:t>
            </w:r>
            <w:r>
              <w:rPr>
                <w:rFonts w:hint="eastAsia"/>
                <w:color w:val="auto"/>
                <w:sz w:val="24"/>
              </w:rPr>
              <w:t>24026.4m</w:t>
            </w:r>
            <w:r>
              <w:rPr>
                <w:rFonts w:hint="eastAsia"/>
                <w:color w:val="auto"/>
                <w:sz w:val="24"/>
                <w:vertAlign w:val="superscript"/>
              </w:rPr>
              <w:t>3</w:t>
            </w:r>
            <w:r>
              <w:rPr>
                <w:rFonts w:hint="eastAsia"/>
                <w:color w:val="auto"/>
                <w:sz w:val="24"/>
                <w:lang w:eastAsia="zh-CN"/>
              </w:rPr>
              <w:t>、</w:t>
            </w:r>
            <w:r>
              <w:rPr>
                <w:rFonts w:hint="eastAsia"/>
                <w:color w:val="auto"/>
                <w:sz w:val="24"/>
              </w:rPr>
              <w:t>半煤岩52256.4m</w:t>
            </w:r>
            <w:r>
              <w:rPr>
                <w:rFonts w:hint="eastAsia"/>
                <w:color w:val="auto"/>
                <w:sz w:val="24"/>
                <w:vertAlign w:val="superscript"/>
              </w:rPr>
              <w:t>3</w:t>
            </w:r>
            <w:r>
              <w:rPr>
                <w:rFonts w:hint="eastAsia"/>
                <w:color w:val="auto"/>
                <w:sz w:val="24"/>
                <w:lang w:eastAsia="zh-CN"/>
              </w:rPr>
              <w:t>、</w:t>
            </w:r>
            <w:r>
              <w:rPr>
                <w:rFonts w:hint="eastAsia"/>
                <w:color w:val="auto"/>
                <w:sz w:val="24"/>
                <w:lang w:val="en-US" w:eastAsia="zh-CN"/>
              </w:rPr>
              <w:t>煤矸石</w:t>
            </w:r>
            <w:r>
              <w:rPr>
                <w:rFonts w:hint="eastAsia"/>
                <w:color w:val="auto"/>
                <w:sz w:val="24"/>
              </w:rPr>
              <w:t>17040.9m</w:t>
            </w:r>
            <w:r>
              <w:rPr>
                <w:rFonts w:hint="eastAsia"/>
                <w:color w:val="auto"/>
                <w:sz w:val="24"/>
                <w:vertAlign w:val="superscript"/>
              </w:rPr>
              <w:t>3</w:t>
            </w:r>
            <w:r>
              <w:rPr>
                <w:rFonts w:hint="eastAsia"/>
                <w:color w:val="auto"/>
                <w:sz w:val="24"/>
                <w:vertAlign w:val="baseline"/>
                <w:lang w:eastAsia="zh-CN"/>
              </w:rPr>
              <w:t>。</w:t>
            </w:r>
            <w:r>
              <w:rPr>
                <w:rFonts w:hint="eastAsia" w:ascii="Times New Roman" w:hAnsi="Times New Roman" w:eastAsia="宋体" w:cs="Times New Roman"/>
                <w:b w:val="0"/>
                <w:bCs/>
                <w:color w:val="auto"/>
                <w:kern w:val="0"/>
                <w:sz w:val="24"/>
                <w:szCs w:val="24"/>
                <w:highlight w:val="none"/>
                <w:lang w:val="en-US" w:eastAsia="zh-CN" w:bidi="ar-SA"/>
              </w:rPr>
              <w:t>煤和半煤岩送至李家壕煤矿配套的洗煤厂进行</w:t>
            </w:r>
            <w:r>
              <w:rPr>
                <w:rFonts w:hint="eastAsia" w:ascii="宋体" w:hAnsi="宋体"/>
                <w:b w:val="0"/>
                <w:bCs w:val="0"/>
                <w:color w:val="auto"/>
                <w:sz w:val="24"/>
                <w:highlight w:val="none"/>
              </w:rPr>
              <w:t>综合利用</w:t>
            </w:r>
            <w:r>
              <w:rPr>
                <w:rFonts w:hint="eastAsia" w:ascii="Times New Roman" w:hAnsi="Times New Roman" w:eastAsia="宋体" w:cs="Times New Roman"/>
                <w:b w:val="0"/>
                <w:bCs/>
                <w:color w:val="auto"/>
                <w:kern w:val="0"/>
                <w:sz w:val="24"/>
                <w:szCs w:val="24"/>
                <w:highlight w:val="none"/>
                <w:lang w:val="en-US" w:eastAsia="zh-CN" w:bidi="ar-SA"/>
              </w:rPr>
              <w:t>，</w:t>
            </w:r>
            <w:r>
              <w:rPr>
                <w:rFonts w:hint="default" w:ascii="Times New Roman" w:hAnsi="Times New Roman" w:cs="Times New Roman"/>
                <w:b w:val="0"/>
                <w:bCs w:val="0"/>
                <w:color w:val="auto"/>
                <w:sz w:val="24"/>
                <w:highlight w:val="none"/>
              </w:rPr>
              <w:t>煤矸石</w:t>
            </w:r>
            <w:r>
              <w:rPr>
                <w:rFonts w:hint="default" w:ascii="Times New Roman" w:hAnsi="Times New Roman" w:cs="Times New Roman"/>
                <w:b w:val="0"/>
                <w:bCs w:val="0"/>
                <w:color w:val="auto"/>
                <w:sz w:val="24"/>
                <w:highlight w:val="none"/>
                <w:lang w:val="en-US" w:eastAsia="zh-CN"/>
              </w:rPr>
              <w:t>由内蒙古绿动京信科技有限公司负责拉运，送至鄂尔多斯市金通矿业有限公司（原名为</w:t>
            </w:r>
            <w:r>
              <w:rPr>
                <w:rFonts w:hint="default" w:ascii="Times New Roman" w:hAnsi="Times New Roman" w:cs="Times New Roman"/>
                <w:b w:val="0"/>
                <w:bCs w:val="0"/>
                <w:color w:val="auto"/>
                <w:sz w:val="24"/>
                <w:highlight w:val="none"/>
              </w:rPr>
              <w:t>内蒙古</w:t>
            </w:r>
            <w:r>
              <w:rPr>
                <w:rFonts w:hint="default" w:ascii="Times New Roman" w:hAnsi="Times New Roman" w:cs="Times New Roman"/>
                <w:b w:val="0"/>
                <w:bCs w:val="0"/>
                <w:color w:val="auto"/>
                <w:sz w:val="24"/>
                <w:highlight w:val="none"/>
                <w:lang w:val="en-US" w:eastAsia="zh-CN"/>
              </w:rPr>
              <w:t>华电蒙能金通煤业有限公司）利用煤矸石复垦露天采坑</w:t>
            </w:r>
            <w:r>
              <w:rPr>
                <w:rFonts w:hint="default" w:ascii="Times New Roman" w:hAnsi="Times New Roman"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lang w:val="en-US" w:eastAsia="zh-CN"/>
              </w:rPr>
              <w:t>内蒙古三和利商贸有限公司为鄂尔多斯市金通矿业有限公司利用煤矸石复垦露天采坑项目的运营单位</w:t>
            </w:r>
            <w:r>
              <w:rPr>
                <w:rFonts w:hint="default" w:ascii="Times New Roman" w:hAnsi="Times New Roman"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lang w:val="en-US" w:eastAsia="zh-CN"/>
              </w:rPr>
              <w:t>矸石处置协议见附件</w:t>
            </w:r>
            <w:r>
              <w:rPr>
                <w:rFonts w:hint="eastAsia" w:cs="Times New Roman"/>
                <w:b w:val="0"/>
                <w:bCs w:val="0"/>
                <w:color w:val="auto"/>
                <w:sz w:val="24"/>
                <w:highlight w:val="none"/>
                <w:lang w:val="en-US" w:eastAsia="zh-CN"/>
              </w:rPr>
              <w:t>22</w:t>
            </w:r>
            <w:r>
              <w:rPr>
                <w:rFonts w:hint="default" w:ascii="Times New Roman" w:hAnsi="Times New Roman"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lang w:val="en-US" w:eastAsia="zh-CN"/>
              </w:rPr>
              <w:t>鄂尔多斯市生态环境局于2022年8月12日</w:t>
            </w:r>
            <w:r>
              <w:rPr>
                <w:rFonts w:hint="eastAsia" w:ascii="Times New Roman" w:hAnsi="Times New Roman" w:cs="Times New Roman"/>
                <w:b w:val="0"/>
                <w:bCs w:val="0"/>
                <w:color w:val="auto"/>
                <w:sz w:val="24"/>
                <w:highlight w:val="none"/>
                <w:lang w:val="en-US" w:eastAsia="zh-CN"/>
              </w:rPr>
              <w:t>以“鄂环审字﹝2022﹞237号”文对《</w:t>
            </w:r>
            <w:r>
              <w:rPr>
                <w:rFonts w:hint="default" w:ascii="Times New Roman" w:hAnsi="Times New Roman" w:cs="Times New Roman"/>
                <w:b w:val="0"/>
                <w:bCs w:val="0"/>
                <w:color w:val="auto"/>
                <w:sz w:val="24"/>
                <w:highlight w:val="none"/>
                <w:lang w:val="en-US" w:eastAsia="zh-CN"/>
              </w:rPr>
              <w:t>鄂尔多斯市金通矿业有限公司利用煤矸石复垦露天采坑项目</w:t>
            </w:r>
            <w:r>
              <w:rPr>
                <w:rFonts w:hint="eastAsia" w:ascii="Times New Roman" w:hAnsi="Times New Roman" w:cs="Times New Roman"/>
                <w:b w:val="0"/>
                <w:bCs w:val="0"/>
                <w:color w:val="auto"/>
                <w:sz w:val="24"/>
                <w:highlight w:val="none"/>
                <w:lang w:val="en-US" w:eastAsia="zh-CN"/>
              </w:rPr>
              <w:t>环境影响报告书》进行了批复（附件2</w:t>
            </w:r>
            <w:r>
              <w:rPr>
                <w:rFonts w:hint="eastAsia" w:cs="Times New Roman"/>
                <w:b w:val="0"/>
                <w:bCs w:val="0"/>
                <w:color w:val="auto"/>
                <w:sz w:val="24"/>
                <w:highlight w:val="none"/>
                <w:lang w:val="en-US" w:eastAsia="zh-CN"/>
              </w:rPr>
              <w:t>3</w:t>
            </w:r>
            <w:r>
              <w:rPr>
                <w:rFonts w:hint="eastAsia" w:ascii="Times New Roman" w:hAnsi="Times New Roman" w:cs="Times New Roman"/>
                <w:b w:val="0"/>
                <w:bCs w:val="0"/>
                <w:color w:val="auto"/>
                <w:sz w:val="24"/>
                <w:highlight w:val="none"/>
                <w:lang w:val="en-US" w:eastAsia="zh-CN"/>
              </w:rPr>
              <w:t>）。</w:t>
            </w:r>
          </w:p>
          <w:p w14:paraId="4DA2AA40">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w:t>
            </w:r>
            <w:r>
              <w:rPr>
                <w:rFonts w:hint="eastAsia"/>
                <w:color w:val="auto"/>
                <w:sz w:val="24"/>
                <w:lang w:val="en-US" w:eastAsia="zh-CN"/>
              </w:rPr>
              <w:t>3</w:t>
            </w:r>
            <w:r>
              <w:rPr>
                <w:rFonts w:hint="eastAsia"/>
                <w:color w:val="auto"/>
                <w:sz w:val="24"/>
              </w:rPr>
              <w:t>）</w:t>
            </w:r>
            <w:r>
              <w:rPr>
                <w:rFonts w:hint="eastAsia"/>
                <w:color w:val="auto"/>
                <w:sz w:val="24"/>
                <w:lang w:val="en-US" w:eastAsia="zh-CN"/>
              </w:rPr>
              <w:t>施工人员</w:t>
            </w:r>
            <w:r>
              <w:rPr>
                <w:color w:val="auto"/>
                <w:sz w:val="24"/>
              </w:rPr>
              <w:t>生活垃圾</w:t>
            </w:r>
          </w:p>
          <w:p w14:paraId="3308677F">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color w:val="auto"/>
                <w:sz w:val="24"/>
              </w:rPr>
              <w:t>施工人员产生的生活垃圾按0.5kg/人•d计算，施工人数最多时为</w:t>
            </w:r>
            <w:r>
              <w:rPr>
                <w:rFonts w:hint="eastAsia"/>
                <w:color w:val="auto"/>
                <w:sz w:val="24"/>
              </w:rPr>
              <w:t>30</w:t>
            </w:r>
            <w:r>
              <w:rPr>
                <w:color w:val="auto"/>
                <w:sz w:val="24"/>
              </w:rPr>
              <w:t>人，本工程施工期生活垃圾的产生量为</w:t>
            </w:r>
            <w:r>
              <w:rPr>
                <w:rFonts w:hint="eastAsia"/>
                <w:color w:val="auto"/>
                <w:sz w:val="24"/>
              </w:rPr>
              <w:t>15</w:t>
            </w:r>
            <w:r>
              <w:rPr>
                <w:color w:val="auto"/>
                <w:sz w:val="24"/>
              </w:rPr>
              <w:t>kg/d。施工人员生活垃圾集中收集后交当地环卫部门处置。</w:t>
            </w:r>
          </w:p>
          <w:p w14:paraId="7CDFD8E2">
            <w:pPr>
              <w:keepNext w:val="0"/>
              <w:keepLines w:val="0"/>
              <w:pageBreakBefore w:val="0"/>
              <w:widowControl/>
              <w:kinsoku/>
              <w:wordWrap/>
              <w:overflowPunct/>
              <w:topLinePunct w:val="0"/>
              <w:autoSpaceDE/>
              <w:autoSpaceDN/>
              <w:bidi w:val="0"/>
              <w:spacing w:line="480" w:lineRule="exact"/>
              <w:ind w:firstLine="480" w:firstLineChars="200"/>
              <w:textAlignment w:val="auto"/>
              <w:rPr>
                <w:color w:val="auto"/>
                <w:sz w:val="24"/>
              </w:rPr>
            </w:pPr>
            <w:r>
              <w:rPr>
                <w:rFonts w:hint="eastAsia"/>
                <w:color w:val="auto"/>
                <w:sz w:val="24"/>
              </w:rPr>
              <w:t>（</w:t>
            </w:r>
            <w:r>
              <w:rPr>
                <w:rFonts w:hint="eastAsia"/>
                <w:color w:val="auto"/>
                <w:sz w:val="24"/>
                <w:lang w:val="en-US" w:eastAsia="zh-CN"/>
              </w:rPr>
              <w:t>4</w:t>
            </w:r>
            <w:r>
              <w:rPr>
                <w:rFonts w:hint="eastAsia"/>
                <w:color w:val="auto"/>
                <w:sz w:val="24"/>
              </w:rPr>
              <w:t>）建筑垃圾</w:t>
            </w:r>
          </w:p>
          <w:p w14:paraId="00069D18">
            <w:pPr>
              <w:keepNext w:val="0"/>
              <w:keepLines w:val="0"/>
              <w:pageBreakBefore w:val="0"/>
              <w:widowControl/>
              <w:kinsoku/>
              <w:wordWrap/>
              <w:overflowPunct/>
              <w:topLinePunct w:val="0"/>
              <w:autoSpaceDE/>
              <w:autoSpaceDN/>
              <w:bidi w:val="0"/>
              <w:spacing w:line="480" w:lineRule="exact"/>
              <w:ind w:firstLine="480" w:firstLineChars="200"/>
              <w:textAlignment w:val="auto"/>
              <w:rPr>
                <w:color w:val="auto"/>
                <w:sz w:val="24"/>
              </w:rPr>
            </w:pPr>
            <w:r>
              <w:rPr>
                <w:color w:val="auto"/>
                <w:sz w:val="24"/>
              </w:rPr>
              <w:t>建筑垃圾主要包括建筑材料的边角料、废包装等。建筑材料的边角料包括废金属、钢材、废砖等，有计划</w:t>
            </w:r>
            <w:r>
              <w:rPr>
                <w:rFonts w:hint="eastAsia"/>
                <w:color w:val="auto"/>
                <w:sz w:val="24"/>
                <w:lang w:eastAsia="zh-CN"/>
              </w:rPr>
              <w:t>地</w:t>
            </w:r>
            <w:r>
              <w:rPr>
                <w:color w:val="auto"/>
                <w:sz w:val="24"/>
              </w:rPr>
              <w:t>堆放，按要求分类处置。废金属、钢材与纸质废包装等可回收利用的垃圾可卖废品，其他难以回收利用的垃圾分类收集后送至政府指定地点堆放。</w:t>
            </w:r>
          </w:p>
          <w:p w14:paraId="4BFCB2E4">
            <w:pPr>
              <w:pStyle w:val="5"/>
              <w:keepNext w:val="0"/>
              <w:keepLines w:val="0"/>
              <w:pageBreakBefore w:val="0"/>
              <w:kinsoku/>
              <w:wordWrap/>
              <w:overflowPunct/>
              <w:topLinePunct w:val="0"/>
              <w:autoSpaceDE/>
              <w:autoSpaceDN/>
              <w:bidi w:val="0"/>
              <w:spacing w:before="0" w:after="0" w:line="480" w:lineRule="exact"/>
              <w:ind w:right="0" w:firstLine="480" w:firstLineChars="200"/>
              <w:textAlignment w:val="auto"/>
              <w:rPr>
                <w:color w:val="auto"/>
              </w:rPr>
            </w:pPr>
            <w:r>
              <w:rPr>
                <w:color w:val="auto"/>
                <w:sz w:val="24"/>
                <w:szCs w:val="24"/>
              </w:rPr>
              <w:t>综上所述，本项目施工期间固体废物均能得到妥善处置，对周边环境</w:t>
            </w:r>
            <w:r>
              <w:rPr>
                <w:rFonts w:hint="eastAsia"/>
                <w:color w:val="auto"/>
                <w:sz w:val="24"/>
                <w:szCs w:val="24"/>
              </w:rPr>
              <w:t>影响较小</w:t>
            </w:r>
            <w:r>
              <w:rPr>
                <w:color w:val="auto"/>
                <w:sz w:val="24"/>
                <w:szCs w:val="24"/>
              </w:rPr>
              <w:t>。</w:t>
            </w:r>
          </w:p>
        </w:tc>
      </w:tr>
      <w:tr w14:paraId="683C89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91" w:type="dxa"/>
            <w:tcMar>
              <w:left w:w="28" w:type="dxa"/>
              <w:right w:w="28" w:type="dxa"/>
            </w:tcMar>
            <w:vAlign w:val="center"/>
          </w:tcPr>
          <w:p w14:paraId="158C8388">
            <w:pPr>
              <w:pStyle w:val="25"/>
              <w:adjustRightInd w:val="0"/>
              <w:snapToGrid w:val="0"/>
              <w:spacing w:before="0" w:beforeAutospacing="0" w:after="0" w:afterAutospacing="0"/>
              <w:jc w:val="center"/>
              <w:rPr>
                <w:rFonts w:cs="宋体"/>
                <w:bCs/>
                <w:color w:val="auto"/>
                <w:kern w:val="2"/>
                <w:sz w:val="21"/>
                <w:szCs w:val="21"/>
              </w:rPr>
            </w:pPr>
            <w:r>
              <w:rPr>
                <w:rFonts w:hint="eastAsia" w:cs="宋体"/>
                <w:bCs/>
                <w:color w:val="auto"/>
                <w:spacing w:val="10"/>
                <w:kern w:val="2"/>
              </w:rPr>
              <w:t>运营期生态环境影响分析</w:t>
            </w:r>
          </w:p>
        </w:tc>
        <w:tc>
          <w:tcPr>
            <w:tcW w:w="8551" w:type="dxa"/>
          </w:tcPr>
          <w:p w14:paraId="425157C8">
            <w:pPr>
              <w:adjustRightInd w:val="0"/>
              <w:snapToGrid w:val="0"/>
              <w:spacing w:line="500" w:lineRule="exact"/>
              <w:ind w:firstLine="482" w:firstLineChars="200"/>
              <w:rPr>
                <w:b/>
                <w:color w:val="auto"/>
                <w:sz w:val="24"/>
              </w:rPr>
            </w:pPr>
            <w:r>
              <w:rPr>
                <w:b/>
                <w:color w:val="auto"/>
                <w:sz w:val="24"/>
              </w:rPr>
              <w:t>1</w:t>
            </w:r>
            <w:r>
              <w:rPr>
                <w:rFonts w:hint="eastAsia"/>
                <w:b/>
                <w:color w:val="auto"/>
                <w:sz w:val="24"/>
              </w:rPr>
              <w:t>、</w:t>
            </w:r>
            <w:r>
              <w:rPr>
                <w:b/>
                <w:color w:val="auto"/>
                <w:sz w:val="24"/>
              </w:rPr>
              <w:t>大气环境影响分析</w:t>
            </w:r>
          </w:p>
          <w:p w14:paraId="26F09909">
            <w:pPr>
              <w:widowControl/>
              <w:spacing w:line="500" w:lineRule="exact"/>
              <w:ind w:firstLine="480" w:firstLineChars="200"/>
              <w:rPr>
                <w:rFonts w:hint="default" w:ascii="Times New Roman" w:hAnsi="Times New Roman" w:cs="Times New Roman"/>
                <w:bCs/>
                <w:color w:val="auto"/>
                <w:sz w:val="24"/>
                <w:highlight w:val="none"/>
              </w:rPr>
            </w:pPr>
            <w:r>
              <w:rPr>
                <w:rFonts w:hint="eastAsia" w:ascii="Times New Roman" w:hAnsi="Times New Roman" w:cs="Times New Roman"/>
                <w:bCs/>
                <w:color w:val="auto"/>
                <w:sz w:val="24"/>
                <w:highlight w:val="none"/>
                <w:lang w:val="en-US" w:eastAsia="zh-CN"/>
              </w:rPr>
              <w:t>运营期废气主要为</w:t>
            </w:r>
            <w:r>
              <w:rPr>
                <w:rFonts w:hint="eastAsia" w:ascii="宋体" w:hAnsi="宋体" w:cs="宋体"/>
                <w:bCs/>
                <w:color w:val="auto"/>
                <w:sz w:val="24"/>
              </w:rPr>
              <w:t>通风机排气中的微量煤尘</w:t>
            </w:r>
            <w:r>
              <w:rPr>
                <w:rFonts w:hint="default" w:ascii="Times New Roman" w:hAnsi="Times New Roman" w:cs="Times New Roman"/>
                <w:bCs/>
                <w:color w:val="auto"/>
                <w:sz w:val="24"/>
                <w:highlight w:val="none"/>
              </w:rPr>
              <w:t>与瓦斯。根据</w:t>
            </w:r>
            <w:r>
              <w:rPr>
                <w:rFonts w:hint="eastAsia" w:ascii="Times New Roman" w:hAnsi="Times New Roman" w:cs="Times New Roman"/>
                <w:bCs/>
                <w:color w:val="auto"/>
                <w:sz w:val="24"/>
                <w:highlight w:val="none"/>
                <w:lang w:val="en-US" w:eastAsia="zh-CN"/>
              </w:rPr>
              <w:t>李家壕煤矿</w:t>
            </w:r>
            <w:r>
              <w:rPr>
                <w:rFonts w:hint="default" w:ascii="Times New Roman" w:hAnsi="Times New Roman" w:cs="Times New Roman"/>
                <w:bCs/>
                <w:color w:val="auto"/>
                <w:sz w:val="24"/>
                <w:highlight w:val="none"/>
              </w:rPr>
              <w:t>的《矿井瓦斯等级鉴定报告》中给出结论，绝对瓦斯涌出量为</w:t>
            </w:r>
            <w:r>
              <w:rPr>
                <w:rFonts w:hint="eastAsia" w:ascii="Times New Roman" w:hAnsi="Times New Roman" w:cs="Times New Roman"/>
                <w:bCs/>
                <w:color w:val="auto"/>
                <w:sz w:val="24"/>
                <w:highlight w:val="none"/>
                <w:lang w:val="en-US" w:eastAsia="zh-CN"/>
              </w:rPr>
              <w:t>5.08</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/min，相对瓦斯涌出量为</w:t>
            </w:r>
            <w:r>
              <w:rPr>
                <w:rFonts w:hint="eastAsia" w:ascii="Times New Roman" w:hAnsi="Times New Roman" w:cs="Times New Roman"/>
                <w:bCs/>
                <w:color w:val="auto"/>
                <w:sz w:val="24"/>
                <w:highlight w:val="none"/>
                <w:lang w:val="en-US" w:eastAsia="zh-CN"/>
              </w:rPr>
              <w:t>0.37</w:t>
            </w:r>
            <w:r>
              <w:rPr>
                <w:rFonts w:hint="default" w:ascii="Times New Roman" w:hAnsi="Times New Roman" w:cs="Times New Roman"/>
                <w:bCs/>
                <w:color w:val="auto"/>
                <w:sz w:val="24"/>
                <w:highlight w:val="none"/>
              </w:rPr>
              <w:t>m</w:t>
            </w:r>
            <w:r>
              <w:rPr>
                <w:rFonts w:hint="default" w:ascii="Times New Roman" w:hAnsi="Times New Roman" w:cs="Times New Roman"/>
                <w:bCs/>
                <w:color w:val="auto"/>
                <w:sz w:val="24"/>
                <w:highlight w:val="none"/>
                <w:vertAlign w:val="superscript"/>
              </w:rPr>
              <w:t>3</w:t>
            </w:r>
            <w:r>
              <w:rPr>
                <w:rFonts w:hint="default" w:ascii="Times New Roman" w:hAnsi="Times New Roman" w:cs="Times New Roman"/>
                <w:bCs/>
                <w:color w:val="auto"/>
                <w:sz w:val="24"/>
                <w:highlight w:val="none"/>
              </w:rPr>
              <w:t>/min，矿井瓦斯等级鉴定为低瓦斯矿井，因此本项目</w:t>
            </w:r>
            <w:r>
              <w:rPr>
                <w:rFonts w:hint="eastAsia" w:ascii="Times New Roman" w:hAnsi="Times New Roman" w:cs="Times New Roman"/>
                <w:bCs/>
                <w:color w:val="auto"/>
                <w:sz w:val="24"/>
                <w:highlight w:val="none"/>
                <w:lang w:val="en-US" w:eastAsia="zh-CN"/>
              </w:rPr>
              <w:t>风机</w:t>
            </w:r>
            <w:r>
              <w:rPr>
                <w:rFonts w:hint="default" w:ascii="Times New Roman" w:hAnsi="Times New Roman" w:cs="Times New Roman"/>
                <w:bCs/>
                <w:color w:val="auto"/>
                <w:sz w:val="24"/>
                <w:highlight w:val="none"/>
              </w:rPr>
              <w:t>排出的少量粉尘及瓦斯对周围大气环境的影响不大。</w:t>
            </w:r>
          </w:p>
          <w:p w14:paraId="1EADD1C5">
            <w:pPr>
              <w:widowControl/>
              <w:spacing w:line="500" w:lineRule="exact"/>
              <w:ind w:firstLine="480" w:firstLineChars="200"/>
              <w:rPr>
                <w:rFonts w:hint="eastAsia" w:ascii="Times New Roman" w:hAnsi="Times New Roman" w:eastAsia="宋体" w:cs="Times New Roman"/>
                <w:bCs/>
                <w:color w:val="auto"/>
                <w:sz w:val="24"/>
                <w:highlight w:val="none"/>
                <w:lang w:val="en-US" w:eastAsia="zh-CN"/>
              </w:rPr>
            </w:pPr>
            <w:r>
              <w:rPr>
                <w:rFonts w:hint="eastAsia" w:ascii="Times New Roman" w:hAnsi="Times New Roman" w:cs="Times New Roman"/>
                <w:bCs/>
                <w:color w:val="auto"/>
                <w:sz w:val="24"/>
                <w:highlight w:val="none"/>
                <w:lang w:val="en-US" w:eastAsia="zh-CN"/>
              </w:rPr>
              <w:t>主要</w:t>
            </w:r>
            <w:r>
              <w:rPr>
                <w:rFonts w:hint="default" w:ascii="Times New Roman" w:hAnsi="Times New Roman" w:cs="Times New Roman"/>
                <w:bCs/>
                <w:color w:val="auto"/>
                <w:sz w:val="24"/>
                <w:highlight w:val="none"/>
              </w:rPr>
              <w:t>治理措施</w:t>
            </w:r>
            <w:r>
              <w:rPr>
                <w:rFonts w:hint="eastAsia" w:ascii="Times New Roman" w:hAnsi="Times New Roman" w:cs="Times New Roman"/>
                <w:bCs/>
                <w:color w:val="auto"/>
                <w:sz w:val="24"/>
                <w:highlight w:val="none"/>
                <w:lang w:val="en-US" w:eastAsia="zh-CN"/>
              </w:rPr>
              <w:t>如下：</w:t>
            </w:r>
          </w:p>
          <w:p w14:paraId="32DE7FBB">
            <w:pPr>
              <w:widowControl/>
              <w:spacing w:line="500" w:lineRule="exact"/>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a.对含尘量大的巷道，如在</w:t>
            </w:r>
            <w:r>
              <w:rPr>
                <w:rFonts w:hint="eastAsia"/>
                <w:color w:val="auto"/>
                <w:sz w:val="24"/>
                <w:lang w:val="en-US" w:eastAsia="zh-CN"/>
              </w:rPr>
              <w:t>输送机巷</w:t>
            </w:r>
            <w:r>
              <w:rPr>
                <w:rFonts w:hint="default" w:ascii="Times New Roman" w:hAnsi="Times New Roman" w:cs="Times New Roman"/>
                <w:bCs/>
                <w:color w:val="auto"/>
                <w:sz w:val="24"/>
                <w:highlight w:val="none"/>
              </w:rPr>
              <w:t>和主要通风巷等处设置风流净化水幕，从而达到净化风流的目的；</w:t>
            </w:r>
          </w:p>
          <w:p w14:paraId="58F2EC8D">
            <w:pPr>
              <w:keepNext w:val="0"/>
              <w:keepLines w:val="0"/>
              <w:pageBreakBefore w:val="0"/>
              <w:widowControl/>
              <w:kinsoku/>
              <w:wordWrap/>
              <w:overflowPunct/>
              <w:topLinePunct w:val="0"/>
              <w:autoSpaceDE/>
              <w:autoSpaceDN/>
              <w:bidi w:val="0"/>
              <w:spacing w:line="500" w:lineRule="exact"/>
              <w:ind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b.井下煤仓放煤口及各带式输送机转载处均设喷雾</w:t>
            </w:r>
            <w:r>
              <w:rPr>
                <w:rFonts w:hint="eastAsia" w:ascii="Times New Roman" w:hAnsi="Times New Roman" w:cs="Times New Roman"/>
                <w:bCs/>
                <w:color w:val="auto"/>
                <w:sz w:val="24"/>
                <w:highlight w:val="none"/>
                <w:lang w:val="en-US" w:eastAsia="zh-CN"/>
              </w:rPr>
              <w:t>洒水</w:t>
            </w:r>
            <w:r>
              <w:rPr>
                <w:rFonts w:hint="default" w:ascii="Times New Roman" w:hAnsi="Times New Roman" w:cs="Times New Roman"/>
                <w:bCs/>
                <w:color w:val="auto"/>
                <w:sz w:val="24"/>
                <w:highlight w:val="none"/>
              </w:rPr>
              <w:t>装置，作业期间进行洒水降尘；</w:t>
            </w:r>
          </w:p>
          <w:p w14:paraId="0D67721C">
            <w:pPr>
              <w:keepNext w:val="0"/>
              <w:keepLines w:val="0"/>
              <w:pageBreakBefore w:val="0"/>
              <w:widowControl/>
              <w:kinsoku/>
              <w:wordWrap/>
              <w:overflowPunct/>
              <w:topLinePunct w:val="0"/>
              <w:autoSpaceDE/>
              <w:autoSpaceDN/>
              <w:bidi w:val="0"/>
              <w:spacing w:line="480" w:lineRule="exact"/>
              <w:ind w:firstLine="480" w:firstLineChars="200"/>
              <w:textAlignment w:val="auto"/>
              <w:rPr>
                <w:rFonts w:hint="eastAsia" w:ascii="Times New Roman" w:hAnsi="Times New Roman" w:eastAsia="宋体" w:cs="Times New Roman"/>
                <w:bCs/>
                <w:color w:val="auto"/>
                <w:sz w:val="24"/>
                <w:highlight w:val="none"/>
                <w:lang w:eastAsia="zh-CN"/>
              </w:rPr>
            </w:pPr>
            <w:r>
              <w:rPr>
                <w:rFonts w:hint="default" w:ascii="Times New Roman" w:hAnsi="Times New Roman" w:cs="Times New Roman"/>
                <w:bCs/>
                <w:color w:val="auto"/>
                <w:sz w:val="24"/>
                <w:highlight w:val="none"/>
              </w:rPr>
              <w:t>c.</w:t>
            </w:r>
            <w:r>
              <w:rPr>
                <w:rFonts w:hint="default" w:ascii="Times New Roman" w:hAnsi="Times New Roman" w:cs="Times New Roman"/>
                <w:bCs/>
                <w:color w:val="auto"/>
                <w:sz w:val="24"/>
                <w:highlight w:val="none"/>
                <w:lang w:eastAsia="zh-CN"/>
              </w:rPr>
              <w:t>粉尘积聚处定期清理、并撒布岩粉</w:t>
            </w:r>
            <w:r>
              <w:rPr>
                <w:rFonts w:hint="default" w:ascii="Times New Roman" w:hAnsi="Times New Roman" w:cs="Times New Roman"/>
                <w:bCs/>
                <w:color w:val="auto"/>
                <w:sz w:val="24"/>
                <w:highlight w:val="none"/>
              </w:rPr>
              <w:t>，避免聚积的粉尘重新扬起</w:t>
            </w:r>
            <w:r>
              <w:rPr>
                <w:rFonts w:hint="eastAsia" w:ascii="Times New Roman" w:hAnsi="Times New Roman" w:cs="Times New Roman"/>
                <w:bCs/>
                <w:color w:val="auto"/>
                <w:sz w:val="24"/>
                <w:highlight w:val="none"/>
                <w:lang w:eastAsia="zh-CN"/>
              </w:rPr>
              <w:t>。</w:t>
            </w:r>
          </w:p>
          <w:p w14:paraId="6EE379A6">
            <w:pPr>
              <w:keepNext w:val="0"/>
              <w:keepLines w:val="0"/>
              <w:pageBreakBefore w:val="0"/>
              <w:kinsoku/>
              <w:wordWrap/>
              <w:overflowPunct/>
              <w:topLinePunct w:val="0"/>
              <w:autoSpaceDE/>
              <w:autoSpaceDN/>
              <w:bidi w:val="0"/>
              <w:spacing w:line="480" w:lineRule="exact"/>
              <w:ind w:firstLine="480" w:firstLineChars="200"/>
              <w:textAlignment w:val="auto"/>
              <w:rPr>
                <w:rFonts w:hint="default" w:ascii="Times New Roman" w:hAnsi="Times New Roman" w:cs="Times New Roman"/>
                <w:bCs/>
                <w:color w:val="auto"/>
                <w:sz w:val="24"/>
                <w:highlight w:val="none"/>
              </w:rPr>
            </w:pPr>
            <w:r>
              <w:rPr>
                <w:bCs/>
                <w:color w:val="auto"/>
                <w:sz w:val="24"/>
              </w:rPr>
              <w:t>采取上述措施后可有效抑制井下粉尘产生，</w:t>
            </w:r>
            <w:r>
              <w:rPr>
                <w:rFonts w:hint="eastAsia"/>
                <w:bCs/>
                <w:color w:val="auto"/>
                <w:sz w:val="24"/>
                <w:lang w:val="en-US" w:eastAsia="zh-CN"/>
              </w:rPr>
              <w:t>粉尘</w:t>
            </w:r>
            <w:r>
              <w:rPr>
                <w:bCs/>
                <w:color w:val="auto"/>
                <w:sz w:val="24"/>
              </w:rPr>
              <w:t>产生量较小。</w:t>
            </w:r>
            <w:r>
              <w:rPr>
                <w:rFonts w:hint="default" w:ascii="Times New Roman" w:hAnsi="Times New Roman" w:cs="Times New Roman"/>
                <w:bCs/>
                <w:color w:val="auto"/>
                <w:sz w:val="24"/>
                <w:highlight w:val="none"/>
              </w:rPr>
              <w:t>预计无组织粉尘排放浓度满足《煤炭工业污染物排放标准》（GB20426-2006）中的相关限值。</w:t>
            </w:r>
          </w:p>
          <w:p w14:paraId="71BC9828">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b/>
                <w:color w:val="auto"/>
                <w:sz w:val="24"/>
              </w:rPr>
            </w:pPr>
            <w:r>
              <w:rPr>
                <w:b/>
                <w:color w:val="auto"/>
                <w:sz w:val="24"/>
              </w:rPr>
              <w:t>2</w:t>
            </w:r>
            <w:r>
              <w:rPr>
                <w:rFonts w:hint="eastAsia"/>
                <w:b/>
                <w:color w:val="auto"/>
                <w:sz w:val="24"/>
              </w:rPr>
              <w:t>、地表水环境影响分析</w:t>
            </w:r>
          </w:p>
          <w:p w14:paraId="6B8FA0B9">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bCs/>
                <w:color w:val="auto"/>
                <w:sz w:val="24"/>
              </w:rPr>
            </w:pPr>
            <w:r>
              <w:rPr>
                <w:rFonts w:hint="eastAsia"/>
                <w:bCs/>
                <w:color w:val="auto"/>
                <w:sz w:val="24"/>
              </w:rPr>
              <w:t>（1）本项目劳动定员为李家壕煤矿现有员工调配，不新增生活污水量。</w:t>
            </w:r>
          </w:p>
          <w:p w14:paraId="342738C3">
            <w:pPr>
              <w:pStyle w:val="5"/>
              <w:keepNext w:val="0"/>
              <w:keepLines w:val="0"/>
              <w:pageBreakBefore w:val="0"/>
              <w:kinsoku/>
              <w:wordWrap/>
              <w:overflowPunct/>
              <w:topLinePunct w:val="0"/>
              <w:autoSpaceDE/>
              <w:autoSpaceDN/>
              <w:bidi w:val="0"/>
              <w:spacing w:before="0" w:after="0" w:line="480" w:lineRule="exact"/>
              <w:ind w:right="0" w:firstLine="480" w:firstLineChars="200"/>
              <w:textAlignment w:val="auto"/>
              <w:rPr>
                <w:color w:val="auto"/>
                <w:kern w:val="21"/>
                <w:sz w:val="24"/>
                <w:szCs w:val="24"/>
              </w:rPr>
            </w:pPr>
            <w:r>
              <w:rPr>
                <w:rFonts w:hint="eastAsia"/>
                <w:bCs/>
                <w:color w:val="auto"/>
                <w:kern w:val="21"/>
                <w:sz w:val="24"/>
                <w:szCs w:val="24"/>
              </w:rPr>
              <w:t>（2）</w:t>
            </w:r>
            <w:r>
              <w:rPr>
                <w:color w:val="auto"/>
                <w:kern w:val="21"/>
                <w:sz w:val="24"/>
                <w:szCs w:val="24"/>
              </w:rPr>
              <w:t>乏风取热设施</w:t>
            </w:r>
            <w:r>
              <w:rPr>
                <w:rFonts w:hint="eastAsia"/>
                <w:color w:val="auto"/>
                <w:kern w:val="21"/>
                <w:sz w:val="24"/>
                <w:szCs w:val="24"/>
                <w:lang w:val="en-US" w:eastAsia="zh-CN"/>
              </w:rPr>
              <w:t>定期冲洗</w:t>
            </w:r>
            <w:r>
              <w:rPr>
                <w:color w:val="auto"/>
                <w:kern w:val="21"/>
                <w:sz w:val="24"/>
                <w:szCs w:val="24"/>
              </w:rPr>
              <w:t>废水：</w:t>
            </w:r>
            <w:r>
              <w:rPr>
                <w:rFonts w:hint="eastAsia"/>
                <w:color w:val="auto"/>
                <w:kern w:val="21"/>
                <w:sz w:val="24"/>
                <w:szCs w:val="24"/>
              </w:rPr>
              <w:t>废水产生量约14.4</w:t>
            </w:r>
            <w:r>
              <w:rPr>
                <w:color w:val="auto"/>
                <w:kern w:val="21"/>
                <w:sz w:val="24"/>
                <w:szCs w:val="24"/>
              </w:rPr>
              <w:t>m</w:t>
            </w:r>
            <w:r>
              <w:rPr>
                <w:color w:val="auto"/>
                <w:kern w:val="21"/>
                <w:sz w:val="24"/>
                <w:szCs w:val="24"/>
                <w:vertAlign w:val="superscript"/>
              </w:rPr>
              <w:t>3</w:t>
            </w:r>
            <w:r>
              <w:rPr>
                <w:color w:val="auto"/>
                <w:kern w:val="21"/>
                <w:sz w:val="24"/>
                <w:szCs w:val="24"/>
              </w:rPr>
              <w:t>/d</w:t>
            </w:r>
            <w:r>
              <w:rPr>
                <w:rFonts w:hint="eastAsia"/>
                <w:color w:val="auto"/>
                <w:kern w:val="21"/>
                <w:sz w:val="24"/>
                <w:szCs w:val="24"/>
              </w:rPr>
              <w:t>，</w:t>
            </w:r>
            <w:r>
              <w:rPr>
                <w:color w:val="auto"/>
                <w:sz w:val="24"/>
              </w:rPr>
              <w:t>主要污染物为SS。</w:t>
            </w:r>
            <w:r>
              <w:rPr>
                <w:color w:val="auto"/>
                <w:kern w:val="21"/>
                <w:sz w:val="24"/>
                <w:szCs w:val="24"/>
              </w:rPr>
              <w:t>乏风取热设施</w:t>
            </w:r>
            <w:r>
              <w:rPr>
                <w:rFonts w:hint="eastAsia"/>
                <w:color w:val="auto"/>
                <w:kern w:val="21"/>
                <w:sz w:val="24"/>
                <w:szCs w:val="24"/>
                <w:lang w:val="en-US" w:eastAsia="zh-CN"/>
              </w:rPr>
              <w:t>定期</w:t>
            </w:r>
            <w:r>
              <w:rPr>
                <w:color w:val="auto"/>
                <w:kern w:val="21"/>
                <w:sz w:val="24"/>
                <w:szCs w:val="24"/>
              </w:rPr>
              <w:t>冲洗</w:t>
            </w:r>
            <w:r>
              <w:rPr>
                <w:rFonts w:hint="eastAsia"/>
                <w:color w:val="auto"/>
                <w:kern w:val="21"/>
                <w:sz w:val="24"/>
                <w:szCs w:val="24"/>
                <w:lang w:val="en-US" w:eastAsia="zh-CN"/>
              </w:rPr>
              <w:t>废</w:t>
            </w:r>
            <w:r>
              <w:rPr>
                <w:rFonts w:hint="eastAsia"/>
                <w:color w:val="auto"/>
                <w:kern w:val="21"/>
                <w:sz w:val="24"/>
                <w:szCs w:val="24"/>
              </w:rPr>
              <w:t>水</w:t>
            </w:r>
            <w:r>
              <w:rPr>
                <w:rFonts w:hint="eastAsia"/>
                <w:color w:val="auto"/>
                <w:kern w:val="21"/>
                <w:sz w:val="24"/>
                <w:szCs w:val="24"/>
                <w:lang w:eastAsia="zh-CN"/>
              </w:rPr>
              <w:t>，</w:t>
            </w:r>
            <w:r>
              <w:rPr>
                <w:rFonts w:hint="eastAsia"/>
                <w:color w:val="auto"/>
                <w:kern w:val="21"/>
                <w:sz w:val="24"/>
                <w:szCs w:val="24"/>
              </w:rPr>
              <w:t>经收集后进入废水收集池，最终被送至李家壕煤矿矿井水处理站进行处理</w:t>
            </w:r>
            <w:r>
              <w:rPr>
                <w:bCs/>
                <w:color w:val="auto"/>
                <w:kern w:val="21"/>
                <w:sz w:val="24"/>
                <w:szCs w:val="24"/>
              </w:rPr>
              <w:t>。矿井水经过处理后，可以作为井下消防、</w:t>
            </w:r>
            <w:r>
              <w:rPr>
                <w:rFonts w:hint="eastAsia"/>
                <w:bCs/>
                <w:color w:val="auto"/>
                <w:kern w:val="21"/>
                <w:sz w:val="24"/>
                <w:szCs w:val="24"/>
              </w:rPr>
              <w:t>绿化</w:t>
            </w:r>
            <w:r>
              <w:rPr>
                <w:bCs/>
                <w:color w:val="auto"/>
                <w:kern w:val="21"/>
                <w:sz w:val="24"/>
                <w:szCs w:val="24"/>
              </w:rPr>
              <w:t>等用水，矿井水水质满足《城市污水再生利用城市杂用水水质》（GB/T18920</w:t>
            </w:r>
            <w:r>
              <w:rPr>
                <w:rFonts w:hint="eastAsia"/>
                <w:bCs/>
                <w:color w:val="auto"/>
                <w:kern w:val="21"/>
                <w:sz w:val="24"/>
                <w:szCs w:val="24"/>
              </w:rPr>
              <w:t>-</w:t>
            </w:r>
            <w:r>
              <w:rPr>
                <w:bCs/>
                <w:color w:val="auto"/>
                <w:kern w:val="21"/>
                <w:sz w:val="24"/>
                <w:szCs w:val="24"/>
              </w:rPr>
              <w:t>2020）中绿化、道路清扫用水水质要求，经过深度处理后矿井水的水质符合《煤矿井下消防、洒水设计规范》（GB50383</w:t>
            </w:r>
            <w:r>
              <w:rPr>
                <w:rFonts w:hint="eastAsia"/>
                <w:bCs/>
                <w:color w:val="auto"/>
                <w:kern w:val="21"/>
                <w:sz w:val="24"/>
                <w:szCs w:val="24"/>
              </w:rPr>
              <w:t>-</w:t>
            </w:r>
            <w:r>
              <w:rPr>
                <w:bCs/>
                <w:color w:val="auto"/>
                <w:kern w:val="21"/>
                <w:sz w:val="24"/>
                <w:szCs w:val="24"/>
              </w:rPr>
              <w:t>2016）中井下消防用水标准等水质要求</w:t>
            </w:r>
            <w:r>
              <w:rPr>
                <w:rFonts w:hint="eastAsia"/>
                <w:bCs/>
                <w:color w:val="auto"/>
                <w:kern w:val="21"/>
                <w:sz w:val="24"/>
                <w:szCs w:val="24"/>
              </w:rPr>
              <w:t>，不外排。</w:t>
            </w:r>
          </w:p>
          <w:p w14:paraId="697DB36F">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b/>
                <w:color w:val="auto"/>
                <w:sz w:val="24"/>
              </w:rPr>
            </w:pPr>
            <w:r>
              <w:rPr>
                <w:rFonts w:hint="eastAsia"/>
                <w:b/>
                <w:color w:val="auto"/>
                <w:sz w:val="24"/>
              </w:rPr>
              <w:t>3、声环境影响分析</w:t>
            </w:r>
          </w:p>
          <w:p w14:paraId="27DCE9EC">
            <w:pPr>
              <w:pStyle w:val="28"/>
              <w:keepNext w:val="0"/>
              <w:keepLines w:val="0"/>
              <w:pageBreakBefore w:val="0"/>
              <w:kinsoku/>
              <w:wordWrap/>
              <w:overflowPunct/>
              <w:topLinePunct w:val="0"/>
              <w:autoSpaceDE/>
              <w:autoSpaceDN/>
              <w:bidi w:val="0"/>
              <w:spacing w:after="0" w:line="480" w:lineRule="exact"/>
              <w:ind w:left="0" w:leftChars="0" w:firstLine="480" w:firstLineChars="200"/>
              <w:textAlignment w:val="auto"/>
              <w:rPr>
                <w:color w:val="auto"/>
                <w:sz w:val="24"/>
              </w:rPr>
            </w:pPr>
            <w:r>
              <w:rPr>
                <w:rFonts w:hint="eastAsia"/>
                <w:color w:val="auto"/>
                <w:sz w:val="24"/>
              </w:rPr>
              <w:t>项目运营过程中噪声源主要为</w:t>
            </w:r>
            <w:r>
              <w:rPr>
                <w:color w:val="auto"/>
                <w:sz w:val="24"/>
              </w:rPr>
              <w:t>通风机、乏风热泵</w:t>
            </w:r>
            <w:r>
              <w:rPr>
                <w:rFonts w:hint="eastAsia"/>
                <w:color w:val="auto"/>
                <w:sz w:val="24"/>
              </w:rPr>
              <w:t>、水泵等设备噪声</w:t>
            </w:r>
            <w:r>
              <w:rPr>
                <w:color w:val="auto"/>
                <w:sz w:val="24"/>
              </w:rPr>
              <w:t>，噪声源强情况见下表。</w:t>
            </w:r>
          </w:p>
          <w:p w14:paraId="2AF0A02E">
            <w:pPr>
              <w:widowControl/>
              <w:spacing w:line="500" w:lineRule="exact"/>
              <w:ind w:firstLine="1687" w:firstLineChars="700"/>
              <w:rPr>
                <w:b/>
                <w:color w:val="auto"/>
                <w:kern w:val="0"/>
                <w:sz w:val="24"/>
              </w:rPr>
            </w:pPr>
            <w:r>
              <w:rPr>
                <w:rFonts w:hint="eastAsia"/>
                <w:b/>
                <w:color w:val="auto"/>
                <w:kern w:val="0"/>
                <w:sz w:val="24"/>
              </w:rPr>
              <w:t>表4-5       本项目噪声源一览表</w:t>
            </w:r>
          </w:p>
          <w:tbl>
            <w:tblPr>
              <w:tblStyle w:val="46"/>
              <w:tblW w:w="498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378"/>
              <w:gridCol w:w="973"/>
              <w:gridCol w:w="898"/>
              <w:gridCol w:w="871"/>
              <w:gridCol w:w="4166"/>
              <w:gridCol w:w="1026"/>
            </w:tblGrid>
            <w:tr w14:paraId="4E6168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227" w:type="pct"/>
                  <w:tcBorders>
                    <w:tl2br w:val="nil"/>
                    <w:tr2bl w:val="nil"/>
                  </w:tcBorders>
                  <w:vAlign w:val="center"/>
                </w:tcPr>
                <w:p w14:paraId="58AD0A4B">
                  <w:pPr>
                    <w:pStyle w:val="47"/>
                    <w:spacing w:line="320" w:lineRule="exac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序号</w:t>
                  </w:r>
                </w:p>
              </w:tc>
              <w:tc>
                <w:tcPr>
                  <w:tcW w:w="585" w:type="pct"/>
                  <w:tcBorders>
                    <w:tl2br w:val="nil"/>
                    <w:tr2bl w:val="nil"/>
                  </w:tcBorders>
                  <w:vAlign w:val="center"/>
                </w:tcPr>
                <w:p w14:paraId="72D8F611">
                  <w:pPr>
                    <w:pStyle w:val="47"/>
                    <w:spacing w:line="320" w:lineRule="exact"/>
                    <w:jc w:val="center"/>
                    <w:rPr>
                      <w:rFonts w:ascii="Times New Roman" w:hAnsi="Times New Roman" w:cs="Times New Roman"/>
                      <w:color w:val="auto"/>
                      <w:kern w:val="0"/>
                      <w:sz w:val="21"/>
                      <w:szCs w:val="21"/>
                      <w:lang w:eastAsia="zh-CN"/>
                    </w:rPr>
                  </w:pPr>
                  <w:r>
                    <w:rPr>
                      <w:rFonts w:ascii="Times New Roman" w:hAnsi="Times New Roman" w:cs="Times New Roman"/>
                      <w:color w:val="auto"/>
                      <w:kern w:val="0"/>
                      <w:sz w:val="21"/>
                      <w:szCs w:val="21"/>
                      <w:lang w:eastAsia="zh-CN"/>
                    </w:rPr>
                    <w:t>位置</w:t>
                  </w:r>
                </w:p>
              </w:tc>
              <w:tc>
                <w:tcPr>
                  <w:tcW w:w="540" w:type="pct"/>
                  <w:tcBorders>
                    <w:tl2br w:val="nil"/>
                    <w:tr2bl w:val="nil"/>
                  </w:tcBorders>
                  <w:vAlign w:val="center"/>
                </w:tcPr>
                <w:p w14:paraId="060CF583">
                  <w:pPr>
                    <w:pStyle w:val="47"/>
                    <w:spacing w:line="320" w:lineRule="exac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声源名称</w:t>
                  </w:r>
                </w:p>
              </w:tc>
              <w:tc>
                <w:tcPr>
                  <w:tcW w:w="524" w:type="pct"/>
                  <w:tcBorders>
                    <w:tl2br w:val="nil"/>
                    <w:tr2bl w:val="nil"/>
                  </w:tcBorders>
                  <w:vAlign w:val="center"/>
                </w:tcPr>
                <w:p w14:paraId="277CAEC0">
                  <w:pPr>
                    <w:pStyle w:val="47"/>
                    <w:spacing w:line="320" w:lineRule="exact"/>
                    <w:jc w:val="center"/>
                    <w:rPr>
                      <w:rFonts w:ascii="Times New Roman" w:hAnsi="Times New Roman" w:cs="Times New Roman"/>
                      <w:color w:val="auto"/>
                      <w:kern w:val="0"/>
                      <w:sz w:val="21"/>
                      <w:szCs w:val="21"/>
                      <w:lang w:eastAsia="zh-CN"/>
                    </w:rPr>
                  </w:pPr>
                  <w:r>
                    <w:rPr>
                      <w:rFonts w:ascii="Times New Roman" w:hAnsi="Times New Roman" w:cs="Times New Roman"/>
                      <w:color w:val="auto"/>
                      <w:kern w:val="0"/>
                      <w:sz w:val="21"/>
                      <w:szCs w:val="21"/>
                      <w:lang w:eastAsia="zh-CN"/>
                    </w:rPr>
                    <w:t>噪声</w:t>
                  </w:r>
                  <w:r>
                    <w:rPr>
                      <w:rFonts w:ascii="Times New Roman" w:hAnsi="Times New Roman" w:cs="Times New Roman"/>
                      <w:color w:val="auto"/>
                      <w:kern w:val="0"/>
                      <w:sz w:val="21"/>
                      <w:szCs w:val="21"/>
                    </w:rPr>
                    <w:t>源强</w:t>
                  </w:r>
                  <w:r>
                    <w:rPr>
                      <w:rFonts w:ascii="Times New Roman" w:hAnsi="Times New Roman" w:eastAsia="Times New Roman" w:cs="Times New Roman"/>
                      <w:color w:val="auto"/>
                      <w:kern w:val="0"/>
                      <w:sz w:val="21"/>
                      <w:szCs w:val="21"/>
                    </w:rPr>
                    <w:t>dB</w:t>
                  </w:r>
                  <w:r>
                    <w:rPr>
                      <w:rFonts w:ascii="Times New Roman" w:hAnsi="Times New Roman" w:cs="Times New Roman"/>
                      <w:color w:val="auto"/>
                      <w:kern w:val="0"/>
                      <w:sz w:val="21"/>
                      <w:szCs w:val="21"/>
                      <w:lang w:eastAsia="zh-CN"/>
                    </w:rPr>
                    <w:t>（</w:t>
                  </w:r>
                  <w:r>
                    <w:rPr>
                      <w:rFonts w:ascii="Times New Roman" w:hAnsi="Times New Roman" w:eastAsia="Times New Roman" w:cs="Times New Roman"/>
                      <w:color w:val="auto"/>
                      <w:kern w:val="0"/>
                      <w:sz w:val="21"/>
                      <w:szCs w:val="21"/>
                    </w:rPr>
                    <w:t>A</w:t>
                  </w:r>
                  <w:r>
                    <w:rPr>
                      <w:rFonts w:ascii="Times New Roman" w:hAnsi="Times New Roman" w:cs="Times New Roman"/>
                      <w:color w:val="auto"/>
                      <w:kern w:val="0"/>
                      <w:sz w:val="21"/>
                      <w:szCs w:val="21"/>
                      <w:lang w:eastAsia="zh-CN"/>
                    </w:rPr>
                    <w:t>）</w:t>
                  </w:r>
                </w:p>
              </w:tc>
              <w:tc>
                <w:tcPr>
                  <w:tcW w:w="2505" w:type="pct"/>
                  <w:tcBorders>
                    <w:tl2br w:val="nil"/>
                    <w:tr2bl w:val="nil"/>
                  </w:tcBorders>
                  <w:vAlign w:val="center"/>
                </w:tcPr>
                <w:p w14:paraId="6DA34489">
                  <w:pPr>
                    <w:pStyle w:val="47"/>
                    <w:spacing w:line="320" w:lineRule="exac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声源控制措施</w:t>
                  </w:r>
                </w:p>
              </w:tc>
              <w:tc>
                <w:tcPr>
                  <w:tcW w:w="617" w:type="pct"/>
                  <w:tcBorders>
                    <w:tl2br w:val="nil"/>
                    <w:tr2bl w:val="nil"/>
                  </w:tcBorders>
                  <w:vAlign w:val="center"/>
                </w:tcPr>
                <w:p w14:paraId="76A4DA01">
                  <w:pPr>
                    <w:pStyle w:val="25"/>
                    <w:widowControl w:val="0"/>
                    <w:autoSpaceDE w:val="0"/>
                    <w:autoSpaceDN w:val="0"/>
                    <w:spacing w:before="0" w:beforeAutospacing="0" w:after="0" w:afterAutospacing="0" w:line="320" w:lineRule="exact"/>
                    <w:jc w:val="center"/>
                    <w:rPr>
                      <w:rFonts w:ascii="Times New Roman" w:hAnsi="Times New Roman"/>
                      <w:color w:val="auto"/>
                      <w:sz w:val="21"/>
                      <w:szCs w:val="21"/>
                    </w:rPr>
                  </w:pPr>
                  <w:r>
                    <w:rPr>
                      <w:rFonts w:ascii="Times New Roman" w:hAnsi="Times New Roman"/>
                      <w:color w:val="auto"/>
                      <w:sz w:val="21"/>
                      <w:szCs w:val="21"/>
                    </w:rPr>
                    <w:t>治理后源强dB（A）</w:t>
                  </w:r>
                </w:p>
              </w:tc>
            </w:tr>
            <w:tr w14:paraId="652A75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227" w:type="pct"/>
                  <w:tcBorders>
                    <w:tl2br w:val="nil"/>
                    <w:tr2bl w:val="nil"/>
                  </w:tcBorders>
                  <w:vAlign w:val="center"/>
                </w:tcPr>
                <w:p w14:paraId="42529796">
                  <w:pPr>
                    <w:spacing w:line="320" w:lineRule="exact"/>
                    <w:jc w:val="center"/>
                    <w:rPr>
                      <w:rFonts w:eastAsia="Times New Roman"/>
                      <w:color w:val="auto"/>
                      <w:kern w:val="0"/>
                      <w:szCs w:val="21"/>
                    </w:rPr>
                  </w:pPr>
                  <w:r>
                    <w:rPr>
                      <w:rFonts w:eastAsia="Times New Roman"/>
                      <w:color w:val="auto"/>
                      <w:kern w:val="0"/>
                      <w:szCs w:val="21"/>
                    </w:rPr>
                    <w:t>1</w:t>
                  </w:r>
                </w:p>
              </w:tc>
              <w:tc>
                <w:tcPr>
                  <w:tcW w:w="585" w:type="pct"/>
                  <w:tcBorders>
                    <w:tl2br w:val="nil"/>
                    <w:tr2bl w:val="nil"/>
                  </w:tcBorders>
                  <w:vAlign w:val="center"/>
                </w:tcPr>
                <w:p w14:paraId="3DF5FA3B">
                  <w:pPr>
                    <w:pStyle w:val="47"/>
                    <w:spacing w:line="320" w:lineRule="exac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回风立井井口房</w:t>
                  </w:r>
                </w:p>
              </w:tc>
              <w:tc>
                <w:tcPr>
                  <w:tcW w:w="540" w:type="pct"/>
                  <w:tcBorders>
                    <w:tl2br w:val="nil"/>
                    <w:tr2bl w:val="nil"/>
                  </w:tcBorders>
                  <w:vAlign w:val="center"/>
                </w:tcPr>
                <w:p w14:paraId="39C2EC8F">
                  <w:pPr>
                    <w:pStyle w:val="47"/>
                    <w:spacing w:line="320" w:lineRule="exact"/>
                    <w:jc w:val="center"/>
                    <w:rPr>
                      <w:rFonts w:ascii="Times New Roman" w:hAnsi="Times New Roman" w:cs="Times New Roman"/>
                      <w:color w:val="auto"/>
                      <w:kern w:val="0"/>
                      <w:sz w:val="21"/>
                      <w:szCs w:val="21"/>
                      <w:lang w:eastAsia="zh-CN"/>
                    </w:rPr>
                  </w:pPr>
                  <w:r>
                    <w:rPr>
                      <w:rFonts w:ascii="Times New Roman" w:hAnsi="Times New Roman" w:cs="Times New Roman"/>
                      <w:color w:val="auto"/>
                      <w:kern w:val="0"/>
                      <w:sz w:val="21"/>
                      <w:szCs w:val="21"/>
                    </w:rPr>
                    <w:t>通风机</w:t>
                  </w:r>
                  <w:r>
                    <w:rPr>
                      <w:rFonts w:ascii="Times New Roman" w:hAnsi="Times New Roman" w:cs="Times New Roman"/>
                      <w:color w:val="auto"/>
                      <w:kern w:val="0"/>
                      <w:sz w:val="21"/>
                      <w:szCs w:val="21"/>
                      <w:lang w:eastAsia="zh-CN"/>
                    </w:rPr>
                    <w:t>1台</w:t>
                  </w:r>
                </w:p>
              </w:tc>
              <w:tc>
                <w:tcPr>
                  <w:tcW w:w="524" w:type="pct"/>
                  <w:tcBorders>
                    <w:tl2br w:val="nil"/>
                    <w:tr2bl w:val="nil"/>
                  </w:tcBorders>
                  <w:vAlign w:val="center"/>
                </w:tcPr>
                <w:p w14:paraId="4E01A7CC">
                  <w:pPr>
                    <w:spacing w:line="320" w:lineRule="exact"/>
                    <w:jc w:val="center"/>
                    <w:rPr>
                      <w:rFonts w:hint="default" w:eastAsia="宋体"/>
                      <w:color w:val="auto"/>
                      <w:kern w:val="0"/>
                      <w:szCs w:val="21"/>
                      <w:lang w:val="en-US" w:eastAsia="zh-CN"/>
                    </w:rPr>
                  </w:pPr>
                  <w:r>
                    <w:rPr>
                      <w:rFonts w:hint="eastAsia"/>
                      <w:color w:val="auto"/>
                      <w:szCs w:val="21"/>
                      <w:lang w:val="en-US" w:eastAsia="zh-CN"/>
                    </w:rPr>
                    <w:t>95</w:t>
                  </w:r>
                </w:p>
              </w:tc>
              <w:tc>
                <w:tcPr>
                  <w:tcW w:w="2505" w:type="pct"/>
                  <w:tcBorders>
                    <w:tl2br w:val="nil"/>
                    <w:tr2bl w:val="nil"/>
                  </w:tcBorders>
                  <w:vAlign w:val="center"/>
                </w:tcPr>
                <w:p w14:paraId="4FFAB0F3">
                  <w:pPr>
                    <w:pStyle w:val="47"/>
                    <w:spacing w:line="320" w:lineRule="exact"/>
                    <w:ind w:left="-21" w:leftChars="-10" w:right="-21" w:rightChars="-10"/>
                    <w:jc w:val="center"/>
                    <w:rPr>
                      <w:rFonts w:ascii="Times New Roman" w:hAnsi="Times New Roman" w:cs="Times New Roman"/>
                      <w:color w:val="auto"/>
                      <w:spacing w:val="-6"/>
                      <w:kern w:val="0"/>
                      <w:sz w:val="21"/>
                      <w:szCs w:val="21"/>
                      <w:lang w:eastAsia="zh-CN"/>
                    </w:rPr>
                  </w:pPr>
                  <w:r>
                    <w:rPr>
                      <w:rFonts w:ascii="Times New Roman" w:hAnsi="Times New Roman" w:cs="Times New Roman"/>
                      <w:color w:val="auto"/>
                      <w:spacing w:val="-6"/>
                      <w:kern w:val="0"/>
                      <w:sz w:val="21"/>
                      <w:szCs w:val="21"/>
                      <w:lang w:eastAsia="zh-CN"/>
                    </w:rPr>
                    <w:t>选用低噪声设备，通风机进、出气口安装消声器，通风机设置隔声罩。通风机机座进行隔震处理。</w:t>
                  </w:r>
                </w:p>
              </w:tc>
              <w:tc>
                <w:tcPr>
                  <w:tcW w:w="617" w:type="pct"/>
                  <w:tcBorders>
                    <w:tl2br w:val="nil"/>
                    <w:tr2bl w:val="nil"/>
                  </w:tcBorders>
                  <w:vAlign w:val="center"/>
                </w:tcPr>
                <w:p w14:paraId="42049818">
                  <w:pPr>
                    <w:pStyle w:val="61"/>
                    <w:autoSpaceDE w:val="0"/>
                    <w:autoSpaceDN w:val="0"/>
                    <w:spacing w:line="320" w:lineRule="exact"/>
                    <w:rPr>
                      <w:rFonts w:ascii="Times New Roman" w:hAnsi="Times New Roman" w:cs="Times New Roman"/>
                      <w:color w:val="auto"/>
                      <w:szCs w:val="21"/>
                      <w:lang w:val="en-US"/>
                    </w:rPr>
                  </w:pPr>
                  <w:r>
                    <w:rPr>
                      <w:rFonts w:hint="eastAsia" w:ascii="Times New Roman" w:hAnsi="Times New Roman" w:cs="Times New Roman"/>
                      <w:color w:val="auto"/>
                      <w:szCs w:val="21"/>
                      <w:lang w:val="en-US" w:eastAsia="zh-CN"/>
                    </w:rPr>
                    <w:t>75</w:t>
                  </w:r>
                </w:p>
              </w:tc>
            </w:tr>
            <w:tr w14:paraId="57DEBC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227" w:type="pct"/>
                  <w:tcBorders>
                    <w:tl2br w:val="nil"/>
                    <w:tr2bl w:val="nil"/>
                  </w:tcBorders>
                  <w:vAlign w:val="center"/>
                </w:tcPr>
                <w:p w14:paraId="7C31414B">
                  <w:pPr>
                    <w:spacing w:line="320" w:lineRule="exact"/>
                    <w:jc w:val="center"/>
                    <w:rPr>
                      <w:color w:val="auto"/>
                      <w:kern w:val="0"/>
                      <w:szCs w:val="21"/>
                    </w:rPr>
                  </w:pPr>
                  <w:r>
                    <w:rPr>
                      <w:color w:val="auto"/>
                      <w:kern w:val="0"/>
                      <w:szCs w:val="21"/>
                    </w:rPr>
                    <w:t>2</w:t>
                  </w:r>
                </w:p>
              </w:tc>
              <w:tc>
                <w:tcPr>
                  <w:tcW w:w="585" w:type="pct"/>
                  <w:tcBorders>
                    <w:tl2br w:val="nil"/>
                    <w:tr2bl w:val="nil"/>
                  </w:tcBorders>
                  <w:vAlign w:val="center"/>
                </w:tcPr>
                <w:p w14:paraId="4953563F">
                  <w:pPr>
                    <w:pStyle w:val="47"/>
                    <w:spacing w:line="320" w:lineRule="exac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热泵机房</w:t>
                  </w:r>
                </w:p>
              </w:tc>
              <w:tc>
                <w:tcPr>
                  <w:tcW w:w="540" w:type="pct"/>
                  <w:tcBorders>
                    <w:tl2br w:val="nil"/>
                    <w:tr2bl w:val="nil"/>
                  </w:tcBorders>
                  <w:vAlign w:val="center"/>
                </w:tcPr>
                <w:p w14:paraId="04188DA3">
                  <w:pPr>
                    <w:pStyle w:val="47"/>
                    <w:spacing w:line="320" w:lineRule="exact"/>
                    <w:jc w:val="center"/>
                    <w:rPr>
                      <w:rFonts w:ascii="Times New Roman" w:hAnsi="Times New Roman" w:cs="Times New Roman"/>
                      <w:color w:val="auto"/>
                      <w:kern w:val="0"/>
                      <w:sz w:val="21"/>
                      <w:szCs w:val="21"/>
                    </w:rPr>
                  </w:pPr>
                  <w:r>
                    <w:rPr>
                      <w:rFonts w:ascii="Times New Roman" w:hAnsi="Times New Roman" w:cs="Times New Roman"/>
                      <w:color w:val="auto"/>
                      <w:kern w:val="0"/>
                      <w:sz w:val="21"/>
                      <w:szCs w:val="21"/>
                    </w:rPr>
                    <w:t>乏风热泵</w:t>
                  </w:r>
                  <w:r>
                    <w:rPr>
                      <w:rFonts w:ascii="Times New Roman" w:hAnsi="Times New Roman" w:cs="Times New Roman"/>
                      <w:color w:val="auto"/>
                      <w:kern w:val="0"/>
                      <w:sz w:val="21"/>
                      <w:szCs w:val="21"/>
                      <w:lang w:eastAsia="zh-CN"/>
                    </w:rPr>
                    <w:t>3</w:t>
                  </w:r>
                  <w:r>
                    <w:rPr>
                      <w:rFonts w:ascii="Times New Roman" w:hAnsi="Times New Roman" w:cs="Times New Roman"/>
                      <w:color w:val="auto"/>
                      <w:kern w:val="0"/>
                      <w:sz w:val="21"/>
                      <w:szCs w:val="21"/>
                    </w:rPr>
                    <w:t>台</w:t>
                  </w:r>
                </w:p>
              </w:tc>
              <w:tc>
                <w:tcPr>
                  <w:tcW w:w="524" w:type="pct"/>
                  <w:tcBorders>
                    <w:tl2br w:val="nil"/>
                    <w:tr2bl w:val="nil"/>
                  </w:tcBorders>
                  <w:vAlign w:val="center"/>
                </w:tcPr>
                <w:p w14:paraId="5F6662EB">
                  <w:pPr>
                    <w:spacing w:line="320" w:lineRule="exact"/>
                    <w:jc w:val="center"/>
                    <w:rPr>
                      <w:color w:val="auto"/>
                      <w:kern w:val="0"/>
                      <w:szCs w:val="21"/>
                    </w:rPr>
                  </w:pPr>
                  <w:r>
                    <w:rPr>
                      <w:color w:val="auto"/>
                      <w:spacing w:val="-2"/>
                      <w:szCs w:val="21"/>
                    </w:rPr>
                    <w:t>85</w:t>
                  </w:r>
                </w:p>
              </w:tc>
              <w:tc>
                <w:tcPr>
                  <w:tcW w:w="2505" w:type="pct"/>
                  <w:tcBorders>
                    <w:tl2br w:val="nil"/>
                    <w:tr2bl w:val="nil"/>
                  </w:tcBorders>
                  <w:vAlign w:val="center"/>
                </w:tcPr>
                <w:p w14:paraId="4A9EBFA0">
                  <w:pPr>
                    <w:pStyle w:val="47"/>
                    <w:spacing w:line="320" w:lineRule="exact"/>
                    <w:ind w:left="-21" w:leftChars="-10" w:right="-21" w:rightChars="-10"/>
                    <w:jc w:val="center"/>
                    <w:rPr>
                      <w:rFonts w:ascii="Times New Roman" w:hAnsi="Times New Roman" w:cs="Times New Roman"/>
                      <w:color w:val="auto"/>
                      <w:spacing w:val="-6"/>
                      <w:kern w:val="0"/>
                      <w:sz w:val="21"/>
                      <w:szCs w:val="21"/>
                      <w:lang w:eastAsia="zh-CN"/>
                    </w:rPr>
                  </w:pPr>
                  <w:r>
                    <w:rPr>
                      <w:rFonts w:ascii="Times New Roman" w:hAnsi="Times New Roman" w:cs="Times New Roman"/>
                      <w:color w:val="auto"/>
                      <w:spacing w:val="-6"/>
                      <w:kern w:val="0"/>
                      <w:sz w:val="21"/>
                      <w:szCs w:val="21"/>
                      <w:lang w:eastAsia="zh-CN"/>
                    </w:rPr>
                    <w:t>选用低噪声设备，设置减振机座、隔声门窗，泵机均在出入口设置软接头，并设置减振基础。</w:t>
                  </w:r>
                </w:p>
              </w:tc>
              <w:tc>
                <w:tcPr>
                  <w:tcW w:w="617" w:type="pct"/>
                  <w:tcBorders>
                    <w:tl2br w:val="nil"/>
                    <w:tr2bl w:val="nil"/>
                  </w:tcBorders>
                  <w:vAlign w:val="center"/>
                </w:tcPr>
                <w:p w14:paraId="679D423E">
                  <w:pPr>
                    <w:spacing w:line="320" w:lineRule="exact"/>
                    <w:jc w:val="center"/>
                    <w:rPr>
                      <w:color w:val="auto"/>
                      <w:kern w:val="0"/>
                      <w:szCs w:val="21"/>
                    </w:rPr>
                  </w:pPr>
                  <w:r>
                    <w:rPr>
                      <w:color w:val="auto"/>
                      <w:kern w:val="0"/>
                      <w:szCs w:val="21"/>
                    </w:rPr>
                    <w:t>65</w:t>
                  </w:r>
                </w:p>
              </w:tc>
            </w:tr>
            <w:tr w14:paraId="1EB4F97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jc w:val="center"/>
              </w:trPr>
              <w:tc>
                <w:tcPr>
                  <w:tcW w:w="227" w:type="pct"/>
                  <w:tcBorders>
                    <w:tl2br w:val="nil"/>
                    <w:tr2bl w:val="nil"/>
                  </w:tcBorders>
                  <w:vAlign w:val="center"/>
                </w:tcPr>
                <w:p w14:paraId="59730D78">
                  <w:pPr>
                    <w:spacing w:line="320" w:lineRule="exact"/>
                    <w:jc w:val="center"/>
                    <w:rPr>
                      <w:color w:val="auto"/>
                      <w:kern w:val="0"/>
                      <w:szCs w:val="21"/>
                    </w:rPr>
                  </w:pPr>
                  <w:r>
                    <w:rPr>
                      <w:rFonts w:hint="eastAsia"/>
                      <w:color w:val="auto"/>
                      <w:kern w:val="0"/>
                      <w:szCs w:val="21"/>
                    </w:rPr>
                    <w:t>3</w:t>
                  </w:r>
                </w:p>
              </w:tc>
              <w:tc>
                <w:tcPr>
                  <w:tcW w:w="585" w:type="pct"/>
                  <w:tcBorders>
                    <w:tl2br w:val="nil"/>
                    <w:tr2bl w:val="nil"/>
                  </w:tcBorders>
                  <w:vAlign w:val="center"/>
                </w:tcPr>
                <w:p w14:paraId="0A21708F">
                  <w:pPr>
                    <w:pStyle w:val="47"/>
                    <w:spacing w:line="320" w:lineRule="exact"/>
                    <w:jc w:val="center"/>
                    <w:rPr>
                      <w:rFonts w:ascii="Times New Roman" w:hAnsi="Times New Roman" w:cs="Times New Roman"/>
                      <w:color w:val="auto"/>
                      <w:kern w:val="0"/>
                      <w:sz w:val="21"/>
                      <w:szCs w:val="21"/>
                      <w:lang w:eastAsia="zh-CN"/>
                    </w:rPr>
                  </w:pPr>
                  <w:r>
                    <w:rPr>
                      <w:rFonts w:ascii="Times New Roman" w:hAnsi="Times New Roman" w:cs="Times New Roman"/>
                      <w:color w:val="auto"/>
                      <w:kern w:val="0"/>
                      <w:sz w:val="21"/>
                      <w:szCs w:val="21"/>
                      <w:lang w:eastAsia="zh-CN"/>
                    </w:rPr>
                    <w:t>生产及消防水泵房</w:t>
                  </w:r>
                </w:p>
              </w:tc>
              <w:tc>
                <w:tcPr>
                  <w:tcW w:w="540" w:type="pct"/>
                  <w:tcBorders>
                    <w:tl2br w:val="nil"/>
                    <w:tr2bl w:val="nil"/>
                  </w:tcBorders>
                  <w:vAlign w:val="center"/>
                </w:tcPr>
                <w:p w14:paraId="54DB7751">
                  <w:pPr>
                    <w:pStyle w:val="47"/>
                    <w:spacing w:line="320" w:lineRule="exact"/>
                    <w:jc w:val="center"/>
                    <w:rPr>
                      <w:rFonts w:ascii="Times New Roman" w:hAnsi="Times New Roman" w:cs="Times New Roman"/>
                      <w:color w:val="auto"/>
                      <w:kern w:val="0"/>
                      <w:sz w:val="21"/>
                      <w:szCs w:val="21"/>
                      <w:lang w:eastAsia="zh-CN"/>
                    </w:rPr>
                  </w:pPr>
                  <w:r>
                    <w:rPr>
                      <w:rFonts w:ascii="Times New Roman" w:hAnsi="Times New Roman" w:cs="Times New Roman"/>
                      <w:color w:val="auto"/>
                      <w:kern w:val="0"/>
                      <w:sz w:val="21"/>
                      <w:szCs w:val="21"/>
                      <w:lang w:eastAsia="zh-CN"/>
                    </w:rPr>
                    <w:t>水泵2台</w:t>
                  </w:r>
                </w:p>
              </w:tc>
              <w:tc>
                <w:tcPr>
                  <w:tcW w:w="524" w:type="pct"/>
                  <w:tcBorders>
                    <w:tl2br w:val="nil"/>
                    <w:tr2bl w:val="nil"/>
                  </w:tcBorders>
                  <w:vAlign w:val="center"/>
                </w:tcPr>
                <w:p w14:paraId="39E94CCB">
                  <w:pPr>
                    <w:spacing w:line="320" w:lineRule="exact"/>
                    <w:jc w:val="center"/>
                    <w:rPr>
                      <w:color w:val="auto"/>
                      <w:spacing w:val="-2"/>
                      <w:szCs w:val="21"/>
                    </w:rPr>
                  </w:pPr>
                  <w:r>
                    <w:rPr>
                      <w:rFonts w:hint="eastAsia"/>
                      <w:color w:val="auto"/>
                      <w:spacing w:val="-2"/>
                      <w:szCs w:val="21"/>
                    </w:rPr>
                    <w:t>85</w:t>
                  </w:r>
                </w:p>
              </w:tc>
              <w:tc>
                <w:tcPr>
                  <w:tcW w:w="2505" w:type="pct"/>
                  <w:tcBorders>
                    <w:tl2br w:val="nil"/>
                    <w:tr2bl w:val="nil"/>
                  </w:tcBorders>
                  <w:vAlign w:val="center"/>
                </w:tcPr>
                <w:p w14:paraId="6F4FAA39">
                  <w:pPr>
                    <w:spacing w:line="320" w:lineRule="exact"/>
                    <w:ind w:left="-21" w:leftChars="-10" w:right="-21" w:rightChars="-10"/>
                    <w:jc w:val="center"/>
                    <w:rPr>
                      <w:color w:val="auto"/>
                      <w:spacing w:val="-6"/>
                      <w:kern w:val="0"/>
                      <w:szCs w:val="21"/>
                    </w:rPr>
                  </w:pPr>
                  <w:r>
                    <w:rPr>
                      <w:color w:val="auto"/>
                      <w:spacing w:val="-6"/>
                      <w:kern w:val="0"/>
                      <w:szCs w:val="21"/>
                    </w:rPr>
                    <w:t>选用低噪声设备，设置减振机座、隔声门窗，泵机均在出入口设置软接头，并设置减振基础。</w:t>
                  </w:r>
                </w:p>
              </w:tc>
              <w:tc>
                <w:tcPr>
                  <w:tcW w:w="617" w:type="pct"/>
                  <w:tcBorders>
                    <w:tl2br w:val="nil"/>
                    <w:tr2bl w:val="nil"/>
                  </w:tcBorders>
                  <w:vAlign w:val="center"/>
                </w:tcPr>
                <w:p w14:paraId="5E01B449">
                  <w:pPr>
                    <w:spacing w:line="320" w:lineRule="exact"/>
                    <w:jc w:val="center"/>
                    <w:rPr>
                      <w:color w:val="auto"/>
                      <w:kern w:val="0"/>
                      <w:szCs w:val="21"/>
                    </w:rPr>
                  </w:pPr>
                  <w:r>
                    <w:rPr>
                      <w:color w:val="auto"/>
                      <w:kern w:val="0"/>
                      <w:szCs w:val="21"/>
                    </w:rPr>
                    <w:t>70</w:t>
                  </w:r>
                </w:p>
              </w:tc>
            </w:tr>
          </w:tbl>
          <w:p w14:paraId="3E411BED">
            <w:pPr>
              <w:spacing w:line="500" w:lineRule="exact"/>
              <w:ind w:firstLine="480" w:firstLineChars="200"/>
              <w:rPr>
                <w:color w:val="auto"/>
                <w:sz w:val="24"/>
              </w:rPr>
            </w:pPr>
            <w:r>
              <w:rPr>
                <w:rFonts w:hint="eastAsia"/>
                <w:color w:val="auto"/>
                <w:sz w:val="24"/>
              </w:rPr>
              <w:t>设备运行时产生的噪声声压级在85</w:t>
            </w:r>
            <w:r>
              <w:rPr>
                <w:color w:val="auto"/>
                <w:sz w:val="24"/>
              </w:rPr>
              <w:t>～</w:t>
            </w:r>
            <w:r>
              <w:rPr>
                <w:rFonts w:hint="eastAsia"/>
                <w:color w:val="auto"/>
                <w:sz w:val="24"/>
                <w:lang w:val="en-US" w:eastAsia="zh-CN"/>
              </w:rPr>
              <w:t>95</w:t>
            </w:r>
            <w:r>
              <w:rPr>
                <w:rFonts w:hint="eastAsia"/>
                <w:color w:val="auto"/>
                <w:sz w:val="24"/>
              </w:rPr>
              <w:t>dB（A）之间，噪声采取</w:t>
            </w:r>
            <w:r>
              <w:rPr>
                <w:color w:val="auto"/>
                <w:sz w:val="24"/>
              </w:rPr>
              <w:t>低噪声设备，安装消声器，</w:t>
            </w:r>
            <w:r>
              <w:rPr>
                <w:rFonts w:hint="eastAsia"/>
                <w:color w:val="auto"/>
                <w:sz w:val="24"/>
              </w:rPr>
              <w:t>设置隔声罩，</w:t>
            </w:r>
            <w:r>
              <w:rPr>
                <w:color w:val="auto"/>
                <w:sz w:val="24"/>
              </w:rPr>
              <w:t>基础减振、隔声门窗</w:t>
            </w:r>
            <w:r>
              <w:rPr>
                <w:rFonts w:hint="eastAsia"/>
                <w:color w:val="auto"/>
                <w:sz w:val="24"/>
              </w:rPr>
              <w:t>等措施</w:t>
            </w:r>
            <w:r>
              <w:rPr>
                <w:rFonts w:hint="eastAsia"/>
                <w:color w:val="auto"/>
                <w:sz w:val="24"/>
                <w:lang w:eastAsia="zh-CN"/>
              </w:rPr>
              <w:t>。</w:t>
            </w:r>
            <w:r>
              <w:rPr>
                <w:rFonts w:hint="eastAsia"/>
                <w:color w:val="auto"/>
                <w:sz w:val="24"/>
              </w:rPr>
              <w:t>按照《环境影响评价技术导则 声环境》（HJ2.4-2021）的要求，计算项目对厂界的贡献值。</w:t>
            </w:r>
          </w:p>
          <w:p w14:paraId="28C30F71">
            <w:pPr>
              <w:spacing w:line="500" w:lineRule="exact"/>
              <w:ind w:firstLine="480" w:firstLineChars="200"/>
              <w:rPr>
                <w:color w:val="auto"/>
                <w:sz w:val="24"/>
              </w:rPr>
            </w:pPr>
            <w:r>
              <w:rPr>
                <w:color w:val="auto"/>
                <w:sz w:val="24"/>
              </w:rPr>
              <w:t>本项目噪声</w:t>
            </w:r>
            <w:r>
              <w:rPr>
                <w:rFonts w:hint="eastAsia"/>
                <w:color w:val="auto"/>
                <w:sz w:val="24"/>
              </w:rPr>
              <w:t>贡献值计算公式为</w:t>
            </w:r>
            <w:r>
              <w:rPr>
                <w:color w:val="auto"/>
                <w:sz w:val="24"/>
              </w:rPr>
              <w:t>：</w:t>
            </w:r>
          </w:p>
          <w:p w14:paraId="1D3AB587">
            <w:pPr>
              <w:spacing w:line="360" w:lineRule="auto"/>
              <w:jc w:val="center"/>
              <w:rPr>
                <w:b/>
                <w:bCs/>
                <w:color w:val="auto"/>
                <w:sz w:val="24"/>
              </w:rPr>
            </w:pPr>
            <w:r>
              <w:rPr>
                <w:rFonts w:hint="eastAsia"/>
                <w:b/>
                <w:bCs/>
                <w:color w:val="auto"/>
                <w:position w:val="-30"/>
                <w:sz w:val="24"/>
              </w:rPr>
              <w:object>
                <v:shape id="_x0000_i1025" o:spt="75" type="#_x0000_t75" style="height:36pt;width:129pt;" o:ole="t" filled="f" o:preferrelative="t" stroked="f" coordsize="21600,21600">
                  <v:path/>
                  <v:fill on="f" focussize="0,0"/>
                  <v:stroke on="f" joinstyle="miter"/>
                  <v:imagedata r:id="rId16" o:title=""/>
                  <o:lock v:ext="edit" aspectratio="t"/>
                  <w10:wrap type="none"/>
                  <w10:anchorlock/>
                </v:shape>
                <o:OLEObject Type="Embed" ProgID="Equation.KSEE3" ShapeID="_x0000_i1025" DrawAspect="Content" ObjectID="_1468075725" r:id="rId15">
                  <o:LockedField>false</o:LockedField>
                </o:OLEObject>
              </w:object>
            </w:r>
          </w:p>
          <w:p w14:paraId="58022EA8">
            <w:pPr>
              <w:keepNext w:val="0"/>
              <w:keepLines w:val="0"/>
              <w:pageBreakBefore w:val="0"/>
              <w:kinsoku/>
              <w:wordWrap/>
              <w:overflowPunct/>
              <w:topLinePunct w:val="0"/>
              <w:autoSpaceDE/>
              <w:autoSpaceDN/>
              <w:bidi w:val="0"/>
              <w:adjustRightInd/>
              <w:spacing w:line="500" w:lineRule="exact"/>
              <w:ind w:firstLine="480" w:firstLineChars="200"/>
              <w:textAlignment w:val="auto"/>
              <w:rPr>
                <w:color w:val="auto"/>
                <w:sz w:val="24"/>
              </w:rPr>
            </w:pPr>
            <w:r>
              <w:rPr>
                <w:color w:val="auto"/>
                <w:sz w:val="24"/>
              </w:rPr>
              <w:t>式中：</w:t>
            </w:r>
            <w:r>
              <w:rPr>
                <w:color w:val="auto"/>
                <w:sz w:val="24"/>
              </w:rPr>
              <w:drawing>
                <wp:inline distT="0" distB="0" distL="114300" distR="114300">
                  <wp:extent cx="257175" cy="238125"/>
                  <wp:effectExtent l="0" t="0" r="1905" b="4445"/>
                  <wp:docPr id="1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4"/>
                          <pic:cNvPicPr>
                            <a:picLocks noChangeAspect="1"/>
                          </pic:cNvPicPr>
                        </pic:nvPicPr>
                        <pic:blipFill>
                          <a:blip r:embed="rId17" cstate="print"/>
                          <a:stretch>
                            <a:fillRect/>
                          </a:stretch>
                        </pic:blipFill>
                        <pic:spPr>
                          <a:xfrm>
                            <a:off x="0" y="0"/>
                            <a:ext cx="257175" cy="238125"/>
                          </a:xfrm>
                          <a:prstGeom prst="rect">
                            <a:avLst/>
                          </a:prstGeom>
                          <a:noFill/>
                          <a:ln>
                            <a:noFill/>
                          </a:ln>
                        </pic:spPr>
                      </pic:pic>
                    </a:graphicData>
                  </a:graphic>
                </wp:inline>
              </w:drawing>
            </w:r>
            <w:r>
              <w:rPr>
                <w:rFonts w:hint="eastAsia"/>
                <w:color w:val="auto"/>
                <w:sz w:val="24"/>
              </w:rPr>
              <w:t>-噪声贡献值，dB；</w:t>
            </w:r>
          </w:p>
          <w:p w14:paraId="643BF16B">
            <w:pPr>
              <w:keepNext w:val="0"/>
              <w:keepLines w:val="0"/>
              <w:pageBreakBefore w:val="0"/>
              <w:kinsoku/>
              <w:wordWrap/>
              <w:overflowPunct/>
              <w:topLinePunct w:val="0"/>
              <w:autoSpaceDE/>
              <w:autoSpaceDN/>
              <w:bidi w:val="0"/>
              <w:adjustRightInd/>
              <w:spacing w:line="520" w:lineRule="exact"/>
              <w:ind w:firstLine="1200" w:firstLineChars="500"/>
              <w:textAlignment w:val="auto"/>
              <w:rPr>
                <w:color w:val="auto"/>
                <w:sz w:val="24"/>
              </w:rPr>
            </w:pPr>
            <w:r>
              <w:rPr>
                <w:rFonts w:hint="eastAsia"/>
                <w:i/>
                <w:iCs/>
                <w:color w:val="auto"/>
                <w:sz w:val="24"/>
              </w:rPr>
              <w:t>T-</w:t>
            </w:r>
            <w:r>
              <w:rPr>
                <w:rFonts w:hint="eastAsia"/>
                <w:color w:val="auto"/>
                <w:sz w:val="24"/>
              </w:rPr>
              <w:t>预测计算的时间段，s</w:t>
            </w:r>
            <w:r>
              <w:rPr>
                <w:color w:val="auto"/>
                <w:sz w:val="24"/>
              </w:rPr>
              <w:t>；</w:t>
            </w:r>
          </w:p>
          <w:p w14:paraId="7331A87C">
            <w:pPr>
              <w:keepNext w:val="0"/>
              <w:keepLines w:val="0"/>
              <w:pageBreakBefore w:val="0"/>
              <w:kinsoku/>
              <w:wordWrap/>
              <w:overflowPunct/>
              <w:topLinePunct w:val="0"/>
              <w:autoSpaceDE/>
              <w:autoSpaceDN/>
              <w:bidi w:val="0"/>
              <w:adjustRightInd/>
              <w:spacing w:line="520" w:lineRule="exact"/>
              <w:ind w:firstLine="1200" w:firstLineChars="500"/>
              <w:textAlignment w:val="auto"/>
              <w:rPr>
                <w:color w:val="auto"/>
                <w:sz w:val="24"/>
              </w:rPr>
            </w:pPr>
            <w:r>
              <w:rPr>
                <w:rFonts w:hint="eastAsia"/>
                <w:i/>
                <w:iCs/>
                <w:color w:val="auto"/>
                <w:sz w:val="24"/>
              </w:rPr>
              <w:t>t</w:t>
            </w:r>
            <w:r>
              <w:rPr>
                <w:rFonts w:hint="eastAsia"/>
                <w:i/>
                <w:iCs/>
                <w:color w:val="auto"/>
                <w:sz w:val="24"/>
                <w:vertAlign w:val="subscript"/>
              </w:rPr>
              <w:t>i</w:t>
            </w:r>
            <w:r>
              <w:rPr>
                <w:rFonts w:hint="eastAsia"/>
                <w:i/>
                <w:iCs/>
                <w:color w:val="auto"/>
                <w:sz w:val="24"/>
              </w:rPr>
              <w:t>-i</w:t>
            </w:r>
            <w:r>
              <w:rPr>
                <w:rFonts w:hint="eastAsia"/>
                <w:color w:val="auto"/>
                <w:sz w:val="24"/>
              </w:rPr>
              <w:t>声源在</w:t>
            </w:r>
            <w:r>
              <w:rPr>
                <w:rFonts w:hint="eastAsia"/>
                <w:i/>
                <w:iCs/>
                <w:color w:val="auto"/>
                <w:sz w:val="24"/>
              </w:rPr>
              <w:t>T</w:t>
            </w:r>
            <w:r>
              <w:rPr>
                <w:rFonts w:hint="eastAsia"/>
                <w:color w:val="auto"/>
                <w:sz w:val="24"/>
              </w:rPr>
              <w:t>时间段内的运行时间，s</w:t>
            </w:r>
            <w:r>
              <w:rPr>
                <w:color w:val="auto"/>
                <w:sz w:val="24"/>
              </w:rPr>
              <w:t>；</w:t>
            </w:r>
          </w:p>
          <w:p w14:paraId="58726926">
            <w:pPr>
              <w:keepNext w:val="0"/>
              <w:keepLines w:val="0"/>
              <w:pageBreakBefore w:val="0"/>
              <w:kinsoku/>
              <w:wordWrap/>
              <w:overflowPunct/>
              <w:topLinePunct w:val="0"/>
              <w:autoSpaceDE/>
              <w:autoSpaceDN/>
              <w:bidi w:val="0"/>
              <w:adjustRightInd/>
              <w:spacing w:line="520" w:lineRule="exact"/>
              <w:ind w:firstLine="1200" w:firstLineChars="500"/>
              <w:textAlignment w:val="auto"/>
              <w:rPr>
                <w:color w:val="auto"/>
                <w:sz w:val="24"/>
              </w:rPr>
            </w:pPr>
            <w:r>
              <w:rPr>
                <w:rFonts w:hint="eastAsia"/>
                <w:i/>
                <w:iCs/>
                <w:color w:val="auto"/>
                <w:sz w:val="24"/>
              </w:rPr>
              <w:t>L</w:t>
            </w:r>
            <w:r>
              <w:rPr>
                <w:rFonts w:hint="eastAsia"/>
                <w:i/>
                <w:iCs/>
                <w:color w:val="auto"/>
                <w:sz w:val="24"/>
                <w:vertAlign w:val="subscript"/>
              </w:rPr>
              <w:t>Ai</w:t>
            </w:r>
            <w:r>
              <w:rPr>
                <w:rFonts w:hint="eastAsia"/>
                <w:i/>
                <w:iCs/>
                <w:color w:val="auto"/>
                <w:sz w:val="24"/>
              </w:rPr>
              <w:t>-i</w:t>
            </w:r>
            <w:r>
              <w:rPr>
                <w:rFonts w:hint="eastAsia"/>
                <w:color w:val="auto"/>
                <w:sz w:val="24"/>
              </w:rPr>
              <w:t>声源在预测点产生的等效连续A声级</w:t>
            </w:r>
            <w:r>
              <w:rPr>
                <w:rFonts w:hint="eastAsia"/>
                <w:color w:val="auto"/>
              </w:rPr>
              <w:t>，dB</w:t>
            </w:r>
            <w:r>
              <w:rPr>
                <w:color w:val="auto"/>
                <w:sz w:val="24"/>
              </w:rPr>
              <w:t>；</w:t>
            </w:r>
          </w:p>
          <w:p w14:paraId="01E92442">
            <w:pPr>
              <w:pStyle w:val="5"/>
              <w:keepNext w:val="0"/>
              <w:keepLines w:val="0"/>
              <w:pageBreakBefore w:val="0"/>
              <w:kinsoku/>
              <w:wordWrap/>
              <w:overflowPunct/>
              <w:topLinePunct w:val="0"/>
              <w:autoSpaceDE/>
              <w:autoSpaceDN/>
              <w:bidi w:val="0"/>
              <w:adjustRightInd/>
              <w:spacing w:before="0" w:after="0" w:line="520" w:lineRule="exact"/>
              <w:ind w:right="0" w:firstLine="480" w:firstLineChars="200"/>
              <w:textAlignment w:val="auto"/>
              <w:rPr>
                <w:b/>
                <w:color w:val="auto"/>
                <w:szCs w:val="21"/>
              </w:rPr>
            </w:pPr>
            <w:r>
              <w:rPr>
                <w:rFonts w:hint="eastAsia"/>
                <w:color w:val="auto"/>
                <w:sz w:val="24"/>
                <w:szCs w:val="24"/>
              </w:rPr>
              <w:t>设备厂界贡献值预测结果如下：</w:t>
            </w:r>
          </w:p>
          <w:p w14:paraId="4FFE3950">
            <w:pPr>
              <w:keepNext w:val="0"/>
              <w:keepLines w:val="0"/>
              <w:pageBreakBefore w:val="0"/>
              <w:widowControl/>
              <w:kinsoku/>
              <w:wordWrap/>
              <w:overflowPunct/>
              <w:topLinePunct w:val="0"/>
              <w:autoSpaceDE/>
              <w:autoSpaceDN/>
              <w:bidi w:val="0"/>
              <w:adjustRightInd/>
              <w:snapToGrid/>
              <w:spacing w:line="500" w:lineRule="exact"/>
              <w:ind w:firstLine="1687" w:firstLineChars="700"/>
              <w:textAlignment w:val="auto"/>
              <w:rPr>
                <w:b/>
                <w:color w:val="auto"/>
                <w:kern w:val="0"/>
                <w:sz w:val="24"/>
              </w:rPr>
            </w:pPr>
            <w:r>
              <w:rPr>
                <w:rFonts w:hint="eastAsia"/>
                <w:b/>
                <w:color w:val="auto"/>
                <w:kern w:val="0"/>
                <w:sz w:val="24"/>
              </w:rPr>
              <w:t>表4-6   声环境影响贡献值计算结果   单位：dB（A）</w:t>
            </w:r>
          </w:p>
          <w:tbl>
            <w:tblPr>
              <w:tblStyle w:val="29"/>
              <w:tblW w:w="499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54"/>
              <w:gridCol w:w="1311"/>
              <w:gridCol w:w="1730"/>
              <w:gridCol w:w="1155"/>
              <w:gridCol w:w="1050"/>
              <w:gridCol w:w="1150"/>
              <w:gridCol w:w="1057"/>
            </w:tblGrid>
            <w:tr w14:paraId="51C5B1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14" w:type="pct"/>
                  <w:vMerge w:val="restart"/>
                  <w:vAlign w:val="center"/>
                </w:tcPr>
                <w:p w14:paraId="5DFE825E">
                  <w:pPr>
                    <w:spacing w:line="320" w:lineRule="exact"/>
                    <w:jc w:val="center"/>
                    <w:rPr>
                      <w:snapToGrid w:val="0"/>
                      <w:color w:val="auto"/>
                      <w:kern w:val="0"/>
                      <w:szCs w:val="21"/>
                    </w:rPr>
                  </w:pPr>
                  <w:r>
                    <w:rPr>
                      <w:snapToGrid w:val="0"/>
                      <w:color w:val="auto"/>
                      <w:kern w:val="0"/>
                      <w:szCs w:val="21"/>
                    </w:rPr>
                    <w:t>序号</w:t>
                  </w:r>
                </w:p>
              </w:tc>
              <w:tc>
                <w:tcPr>
                  <w:tcW w:w="789" w:type="pct"/>
                  <w:vMerge w:val="restart"/>
                  <w:vAlign w:val="center"/>
                </w:tcPr>
                <w:p w14:paraId="2A218F1F">
                  <w:pPr>
                    <w:spacing w:line="320" w:lineRule="exact"/>
                    <w:jc w:val="center"/>
                    <w:rPr>
                      <w:snapToGrid w:val="0"/>
                      <w:color w:val="auto"/>
                      <w:kern w:val="0"/>
                      <w:szCs w:val="21"/>
                    </w:rPr>
                  </w:pPr>
                  <w:r>
                    <w:rPr>
                      <w:snapToGrid w:val="0"/>
                      <w:color w:val="auto"/>
                      <w:kern w:val="0"/>
                      <w:szCs w:val="21"/>
                    </w:rPr>
                    <w:t>场界</w:t>
                  </w:r>
                </w:p>
              </w:tc>
              <w:tc>
                <w:tcPr>
                  <w:tcW w:w="1041" w:type="pct"/>
                  <w:vMerge w:val="restart"/>
                  <w:vAlign w:val="center"/>
                </w:tcPr>
                <w:p w14:paraId="603C69BA">
                  <w:pPr>
                    <w:spacing w:line="320" w:lineRule="exact"/>
                    <w:jc w:val="center"/>
                    <w:rPr>
                      <w:snapToGrid w:val="0"/>
                      <w:color w:val="auto"/>
                      <w:kern w:val="0"/>
                      <w:szCs w:val="21"/>
                    </w:rPr>
                  </w:pPr>
                  <w:r>
                    <w:rPr>
                      <w:snapToGrid w:val="0"/>
                      <w:color w:val="auto"/>
                      <w:kern w:val="0"/>
                      <w:szCs w:val="21"/>
                    </w:rPr>
                    <w:t>贡献值</w:t>
                  </w:r>
                </w:p>
              </w:tc>
              <w:tc>
                <w:tcPr>
                  <w:tcW w:w="1327" w:type="pct"/>
                  <w:gridSpan w:val="2"/>
                  <w:vAlign w:val="center"/>
                </w:tcPr>
                <w:p w14:paraId="068C62E9">
                  <w:pPr>
                    <w:spacing w:line="320" w:lineRule="exact"/>
                    <w:jc w:val="center"/>
                    <w:rPr>
                      <w:rFonts w:hint="eastAsia" w:eastAsia="宋体"/>
                      <w:snapToGrid w:val="0"/>
                      <w:color w:val="auto"/>
                      <w:kern w:val="0"/>
                      <w:szCs w:val="21"/>
                      <w:lang w:eastAsia="zh-CN"/>
                    </w:rPr>
                  </w:pPr>
                  <w:r>
                    <w:rPr>
                      <w:rFonts w:hint="eastAsia"/>
                      <w:snapToGrid w:val="0"/>
                      <w:color w:val="auto"/>
                      <w:kern w:val="0"/>
                      <w:szCs w:val="21"/>
                      <w:lang w:val="en-US" w:eastAsia="zh-CN"/>
                    </w:rPr>
                    <w:t>标准值</w:t>
                  </w:r>
                </w:p>
              </w:tc>
              <w:tc>
                <w:tcPr>
                  <w:tcW w:w="1328" w:type="pct"/>
                  <w:gridSpan w:val="2"/>
                  <w:vAlign w:val="center"/>
                </w:tcPr>
                <w:p w14:paraId="48D579CD">
                  <w:pPr>
                    <w:spacing w:line="320" w:lineRule="exact"/>
                    <w:jc w:val="center"/>
                    <w:rPr>
                      <w:rFonts w:hint="default"/>
                      <w:snapToGrid w:val="0"/>
                      <w:color w:val="auto"/>
                      <w:kern w:val="0"/>
                      <w:szCs w:val="21"/>
                      <w:lang w:val="en-US" w:eastAsia="zh-CN"/>
                    </w:rPr>
                  </w:pPr>
                  <w:r>
                    <w:rPr>
                      <w:rFonts w:hint="eastAsia"/>
                      <w:snapToGrid w:val="0"/>
                      <w:color w:val="auto"/>
                      <w:kern w:val="0"/>
                      <w:szCs w:val="21"/>
                      <w:lang w:val="en-US" w:eastAsia="zh-CN"/>
                    </w:rPr>
                    <w:t>达标情况</w:t>
                  </w:r>
                </w:p>
              </w:tc>
            </w:tr>
            <w:tr w14:paraId="2B22FF9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14" w:type="pct"/>
                  <w:vMerge w:val="continue"/>
                  <w:vAlign w:val="center"/>
                </w:tcPr>
                <w:p w14:paraId="5D26EA5B">
                  <w:pPr>
                    <w:spacing w:line="320" w:lineRule="exact"/>
                    <w:jc w:val="center"/>
                    <w:rPr>
                      <w:snapToGrid w:val="0"/>
                      <w:color w:val="auto"/>
                      <w:kern w:val="0"/>
                      <w:szCs w:val="21"/>
                    </w:rPr>
                  </w:pPr>
                </w:p>
              </w:tc>
              <w:tc>
                <w:tcPr>
                  <w:tcW w:w="789" w:type="pct"/>
                  <w:vMerge w:val="continue"/>
                  <w:vAlign w:val="center"/>
                </w:tcPr>
                <w:p w14:paraId="1D498D31">
                  <w:pPr>
                    <w:spacing w:line="320" w:lineRule="exact"/>
                    <w:jc w:val="center"/>
                    <w:rPr>
                      <w:snapToGrid w:val="0"/>
                      <w:color w:val="auto"/>
                      <w:kern w:val="0"/>
                      <w:szCs w:val="21"/>
                    </w:rPr>
                  </w:pPr>
                </w:p>
              </w:tc>
              <w:tc>
                <w:tcPr>
                  <w:tcW w:w="1041" w:type="pct"/>
                  <w:vMerge w:val="continue"/>
                  <w:vAlign w:val="center"/>
                </w:tcPr>
                <w:p w14:paraId="32B30737">
                  <w:pPr>
                    <w:spacing w:line="320" w:lineRule="exact"/>
                    <w:jc w:val="center"/>
                    <w:rPr>
                      <w:rFonts w:hint="eastAsia"/>
                      <w:color w:val="auto"/>
                      <w:szCs w:val="21"/>
                    </w:rPr>
                  </w:pPr>
                </w:p>
              </w:tc>
              <w:tc>
                <w:tcPr>
                  <w:tcW w:w="695" w:type="pct"/>
                  <w:tcBorders>
                    <w:bottom w:val="single" w:color="auto" w:sz="4" w:space="0"/>
                  </w:tcBorders>
                  <w:vAlign w:val="center"/>
                </w:tcPr>
                <w:p w14:paraId="41CF9AFA">
                  <w:pPr>
                    <w:spacing w:line="320" w:lineRule="exact"/>
                    <w:jc w:val="center"/>
                    <w:rPr>
                      <w:rFonts w:hint="eastAsia"/>
                      <w:snapToGrid w:val="0"/>
                      <w:color w:val="auto"/>
                      <w:kern w:val="0"/>
                      <w:szCs w:val="21"/>
                    </w:rPr>
                  </w:pPr>
                  <w:r>
                    <w:rPr>
                      <w:rFonts w:hint="eastAsia"/>
                      <w:snapToGrid w:val="0"/>
                      <w:color w:val="auto"/>
                      <w:kern w:val="0"/>
                      <w:szCs w:val="21"/>
                    </w:rPr>
                    <w:t>昼间</w:t>
                  </w:r>
                </w:p>
              </w:tc>
              <w:tc>
                <w:tcPr>
                  <w:tcW w:w="631" w:type="pct"/>
                  <w:tcBorders>
                    <w:bottom w:val="single" w:color="auto" w:sz="4" w:space="0"/>
                  </w:tcBorders>
                  <w:vAlign w:val="center"/>
                </w:tcPr>
                <w:p w14:paraId="18C970AE">
                  <w:pPr>
                    <w:spacing w:line="320" w:lineRule="exact"/>
                    <w:jc w:val="center"/>
                    <w:rPr>
                      <w:rFonts w:hint="eastAsia"/>
                      <w:snapToGrid w:val="0"/>
                      <w:color w:val="auto"/>
                      <w:kern w:val="0"/>
                      <w:szCs w:val="21"/>
                    </w:rPr>
                  </w:pPr>
                  <w:r>
                    <w:rPr>
                      <w:rFonts w:hint="eastAsia"/>
                      <w:snapToGrid w:val="0"/>
                      <w:color w:val="auto"/>
                      <w:kern w:val="0"/>
                      <w:szCs w:val="21"/>
                    </w:rPr>
                    <w:t>夜间</w:t>
                  </w:r>
                </w:p>
              </w:tc>
              <w:tc>
                <w:tcPr>
                  <w:tcW w:w="692" w:type="pct"/>
                  <w:tcBorders>
                    <w:bottom w:val="single" w:color="auto" w:sz="4" w:space="0"/>
                    <w:right w:val="single" w:color="auto" w:sz="4" w:space="0"/>
                  </w:tcBorders>
                  <w:shd w:val="clear" w:color="auto" w:fill="auto"/>
                  <w:vAlign w:val="center"/>
                </w:tcPr>
                <w:p w14:paraId="2EE69B21">
                  <w:pPr>
                    <w:spacing w:line="320" w:lineRule="exact"/>
                    <w:jc w:val="center"/>
                    <w:rPr>
                      <w:rFonts w:hint="eastAsia"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rPr>
                    <w:t>昼间</w:t>
                  </w:r>
                </w:p>
              </w:tc>
              <w:tc>
                <w:tcPr>
                  <w:tcW w:w="636" w:type="pct"/>
                  <w:tcBorders>
                    <w:left w:val="single" w:color="auto" w:sz="4" w:space="0"/>
                    <w:bottom w:val="single" w:color="auto" w:sz="4" w:space="0"/>
                  </w:tcBorders>
                  <w:shd w:val="clear" w:color="auto" w:fill="auto"/>
                  <w:vAlign w:val="center"/>
                </w:tcPr>
                <w:p w14:paraId="3E2B7EEB">
                  <w:pPr>
                    <w:spacing w:line="320" w:lineRule="exact"/>
                    <w:jc w:val="center"/>
                    <w:rPr>
                      <w:rFonts w:hint="eastAsia"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rPr>
                    <w:t>夜间</w:t>
                  </w:r>
                </w:p>
              </w:tc>
            </w:tr>
            <w:tr w14:paraId="1EFE4B3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14" w:type="pct"/>
                  <w:vAlign w:val="center"/>
                </w:tcPr>
                <w:p w14:paraId="502390EC">
                  <w:pPr>
                    <w:spacing w:line="320" w:lineRule="exact"/>
                    <w:jc w:val="center"/>
                    <w:rPr>
                      <w:snapToGrid w:val="0"/>
                      <w:color w:val="auto"/>
                      <w:kern w:val="0"/>
                      <w:szCs w:val="21"/>
                    </w:rPr>
                  </w:pPr>
                  <w:r>
                    <w:rPr>
                      <w:snapToGrid w:val="0"/>
                      <w:color w:val="auto"/>
                      <w:kern w:val="0"/>
                      <w:szCs w:val="21"/>
                    </w:rPr>
                    <w:t>1</w:t>
                  </w:r>
                </w:p>
              </w:tc>
              <w:tc>
                <w:tcPr>
                  <w:tcW w:w="789" w:type="pct"/>
                  <w:vAlign w:val="center"/>
                </w:tcPr>
                <w:p w14:paraId="334A7C03">
                  <w:pPr>
                    <w:spacing w:line="320" w:lineRule="exact"/>
                    <w:jc w:val="center"/>
                    <w:rPr>
                      <w:snapToGrid w:val="0"/>
                      <w:color w:val="auto"/>
                      <w:kern w:val="0"/>
                      <w:szCs w:val="21"/>
                    </w:rPr>
                  </w:pPr>
                  <w:r>
                    <w:rPr>
                      <w:rFonts w:hint="eastAsia"/>
                      <w:snapToGrid w:val="0"/>
                      <w:color w:val="auto"/>
                      <w:kern w:val="0"/>
                      <w:szCs w:val="21"/>
                      <w:lang w:val="en-US" w:eastAsia="zh-CN"/>
                    </w:rPr>
                    <w:t>北</w:t>
                  </w:r>
                  <w:r>
                    <w:rPr>
                      <w:snapToGrid w:val="0"/>
                      <w:color w:val="auto"/>
                      <w:kern w:val="0"/>
                      <w:szCs w:val="21"/>
                    </w:rPr>
                    <w:t>场界</w:t>
                  </w:r>
                </w:p>
              </w:tc>
              <w:tc>
                <w:tcPr>
                  <w:tcW w:w="1041" w:type="pct"/>
                  <w:vAlign w:val="center"/>
                </w:tcPr>
                <w:p w14:paraId="414E8742">
                  <w:pPr>
                    <w:spacing w:line="320" w:lineRule="exact"/>
                    <w:jc w:val="center"/>
                    <w:rPr>
                      <w:rFonts w:hint="default" w:eastAsia="宋体"/>
                      <w:color w:val="auto"/>
                      <w:szCs w:val="21"/>
                      <w:lang w:val="en-US" w:eastAsia="zh-CN"/>
                    </w:rPr>
                  </w:pPr>
                  <w:r>
                    <w:rPr>
                      <w:rFonts w:hint="eastAsia"/>
                      <w:color w:val="auto"/>
                      <w:szCs w:val="21"/>
                      <w:lang w:val="en-US" w:eastAsia="zh-CN"/>
                    </w:rPr>
                    <w:t>60.01</w:t>
                  </w:r>
                </w:p>
              </w:tc>
              <w:tc>
                <w:tcPr>
                  <w:tcW w:w="695" w:type="pct"/>
                  <w:tcBorders>
                    <w:bottom w:val="single" w:color="auto" w:sz="4" w:space="0"/>
                  </w:tcBorders>
                  <w:vAlign w:val="center"/>
                </w:tcPr>
                <w:p w14:paraId="59D01ABD">
                  <w:pPr>
                    <w:spacing w:line="320" w:lineRule="exact"/>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65</w:t>
                  </w:r>
                </w:p>
              </w:tc>
              <w:tc>
                <w:tcPr>
                  <w:tcW w:w="631" w:type="pct"/>
                  <w:tcBorders>
                    <w:bottom w:val="single" w:color="auto" w:sz="4" w:space="0"/>
                  </w:tcBorders>
                  <w:vAlign w:val="center"/>
                </w:tcPr>
                <w:p w14:paraId="39DD9E23">
                  <w:pPr>
                    <w:spacing w:line="320" w:lineRule="exact"/>
                    <w:jc w:val="center"/>
                    <w:rPr>
                      <w:rFonts w:hint="default" w:eastAsia="宋体"/>
                      <w:snapToGrid w:val="0"/>
                      <w:color w:val="auto"/>
                      <w:kern w:val="0"/>
                      <w:szCs w:val="21"/>
                      <w:lang w:val="en-US" w:eastAsia="zh-CN"/>
                    </w:rPr>
                  </w:pPr>
                  <w:r>
                    <w:rPr>
                      <w:rFonts w:hint="eastAsia"/>
                      <w:snapToGrid w:val="0"/>
                      <w:color w:val="auto"/>
                      <w:kern w:val="0"/>
                      <w:szCs w:val="21"/>
                      <w:lang w:val="en-US" w:eastAsia="zh-CN"/>
                    </w:rPr>
                    <w:t>55</w:t>
                  </w:r>
                </w:p>
              </w:tc>
              <w:tc>
                <w:tcPr>
                  <w:tcW w:w="692" w:type="pct"/>
                  <w:tcBorders>
                    <w:bottom w:val="single" w:color="auto" w:sz="4" w:space="0"/>
                    <w:right w:val="single" w:color="auto" w:sz="4" w:space="0"/>
                  </w:tcBorders>
                  <w:vAlign w:val="center"/>
                </w:tcPr>
                <w:p w14:paraId="3BA9143B">
                  <w:pPr>
                    <w:spacing w:line="320" w:lineRule="exact"/>
                    <w:jc w:val="center"/>
                    <w:rPr>
                      <w:rFonts w:hint="eastAsia" w:eastAsia="宋体"/>
                      <w:snapToGrid w:val="0"/>
                      <w:color w:val="auto"/>
                      <w:kern w:val="0"/>
                      <w:szCs w:val="21"/>
                      <w:lang w:val="en-US" w:eastAsia="zh-CN"/>
                    </w:rPr>
                  </w:pPr>
                  <w:r>
                    <w:rPr>
                      <w:rFonts w:hint="eastAsia"/>
                      <w:snapToGrid w:val="0"/>
                      <w:color w:val="auto"/>
                      <w:kern w:val="0"/>
                      <w:szCs w:val="21"/>
                      <w:lang w:val="en-US" w:eastAsia="zh-CN"/>
                    </w:rPr>
                    <w:t>达标</w:t>
                  </w:r>
                </w:p>
              </w:tc>
              <w:tc>
                <w:tcPr>
                  <w:tcW w:w="636" w:type="pct"/>
                  <w:tcBorders>
                    <w:left w:val="single" w:color="auto" w:sz="4" w:space="0"/>
                    <w:bottom w:val="single" w:color="auto" w:sz="4" w:space="0"/>
                  </w:tcBorders>
                  <w:vAlign w:val="center"/>
                </w:tcPr>
                <w:p w14:paraId="4B0E5C85">
                  <w:pPr>
                    <w:spacing w:line="320" w:lineRule="exact"/>
                    <w:jc w:val="center"/>
                    <w:rPr>
                      <w:rFonts w:hint="eastAsia" w:eastAsia="宋体"/>
                      <w:snapToGrid w:val="0"/>
                      <w:color w:val="auto"/>
                      <w:kern w:val="0"/>
                      <w:szCs w:val="21"/>
                      <w:lang w:val="en-US" w:eastAsia="zh-CN"/>
                    </w:rPr>
                  </w:pPr>
                  <w:r>
                    <w:rPr>
                      <w:rFonts w:hint="eastAsia"/>
                      <w:snapToGrid w:val="0"/>
                      <w:color w:val="auto"/>
                      <w:kern w:val="0"/>
                      <w:szCs w:val="21"/>
                      <w:lang w:val="en-US" w:eastAsia="zh-CN"/>
                    </w:rPr>
                    <w:t>超标</w:t>
                  </w:r>
                </w:p>
              </w:tc>
            </w:tr>
            <w:tr w14:paraId="0AECA25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14" w:type="pct"/>
                  <w:vAlign w:val="center"/>
                </w:tcPr>
                <w:p w14:paraId="625995D9">
                  <w:pPr>
                    <w:spacing w:line="320" w:lineRule="exact"/>
                    <w:jc w:val="center"/>
                    <w:rPr>
                      <w:snapToGrid w:val="0"/>
                      <w:color w:val="auto"/>
                      <w:kern w:val="0"/>
                      <w:szCs w:val="21"/>
                    </w:rPr>
                  </w:pPr>
                  <w:r>
                    <w:rPr>
                      <w:snapToGrid w:val="0"/>
                      <w:color w:val="auto"/>
                      <w:kern w:val="0"/>
                      <w:szCs w:val="21"/>
                    </w:rPr>
                    <w:t>2</w:t>
                  </w:r>
                </w:p>
              </w:tc>
              <w:tc>
                <w:tcPr>
                  <w:tcW w:w="789" w:type="pct"/>
                  <w:vAlign w:val="center"/>
                </w:tcPr>
                <w:p w14:paraId="69EB234A">
                  <w:pPr>
                    <w:spacing w:line="320" w:lineRule="exact"/>
                    <w:jc w:val="center"/>
                    <w:rPr>
                      <w:snapToGrid w:val="0"/>
                      <w:color w:val="auto"/>
                      <w:kern w:val="0"/>
                      <w:szCs w:val="21"/>
                    </w:rPr>
                  </w:pPr>
                  <w:r>
                    <w:rPr>
                      <w:rFonts w:hint="eastAsia"/>
                      <w:snapToGrid w:val="0"/>
                      <w:color w:val="auto"/>
                      <w:kern w:val="0"/>
                      <w:szCs w:val="21"/>
                      <w:lang w:val="en-US" w:eastAsia="zh-CN"/>
                    </w:rPr>
                    <w:t>东</w:t>
                  </w:r>
                  <w:r>
                    <w:rPr>
                      <w:snapToGrid w:val="0"/>
                      <w:color w:val="auto"/>
                      <w:kern w:val="0"/>
                      <w:szCs w:val="21"/>
                    </w:rPr>
                    <w:t>场界</w:t>
                  </w:r>
                </w:p>
              </w:tc>
              <w:tc>
                <w:tcPr>
                  <w:tcW w:w="1041" w:type="pct"/>
                  <w:vAlign w:val="center"/>
                </w:tcPr>
                <w:p w14:paraId="603F25F5">
                  <w:pPr>
                    <w:spacing w:line="320" w:lineRule="exact"/>
                    <w:jc w:val="center"/>
                    <w:rPr>
                      <w:rFonts w:hint="default" w:eastAsia="宋体"/>
                      <w:color w:val="auto"/>
                      <w:szCs w:val="21"/>
                      <w:lang w:val="en-US" w:eastAsia="zh-CN"/>
                    </w:rPr>
                  </w:pPr>
                  <w:r>
                    <w:rPr>
                      <w:rFonts w:hint="eastAsia"/>
                      <w:color w:val="auto"/>
                      <w:szCs w:val="21"/>
                      <w:lang w:val="en-US" w:eastAsia="zh-CN"/>
                    </w:rPr>
                    <w:t>51.64</w:t>
                  </w:r>
                </w:p>
              </w:tc>
              <w:tc>
                <w:tcPr>
                  <w:tcW w:w="1155" w:type="dxa"/>
                  <w:tcBorders>
                    <w:top w:val="single" w:color="auto" w:sz="4" w:space="0"/>
                    <w:bottom w:val="single" w:color="auto" w:sz="4" w:space="0"/>
                  </w:tcBorders>
                  <w:shd w:val="clear" w:color="auto" w:fill="auto"/>
                  <w:vAlign w:val="center"/>
                </w:tcPr>
                <w:p w14:paraId="0C00F623">
                  <w:pPr>
                    <w:spacing w:line="320" w:lineRule="exact"/>
                    <w:jc w:val="center"/>
                    <w:rPr>
                      <w:rFonts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65</w:t>
                  </w:r>
                </w:p>
              </w:tc>
              <w:tc>
                <w:tcPr>
                  <w:tcW w:w="1050" w:type="dxa"/>
                  <w:tcBorders>
                    <w:top w:val="single" w:color="auto" w:sz="4" w:space="0"/>
                    <w:bottom w:val="single" w:color="auto" w:sz="4" w:space="0"/>
                  </w:tcBorders>
                  <w:shd w:val="clear" w:color="auto" w:fill="auto"/>
                  <w:vAlign w:val="center"/>
                </w:tcPr>
                <w:p w14:paraId="42FE326E">
                  <w:pPr>
                    <w:spacing w:line="320" w:lineRule="exact"/>
                    <w:jc w:val="center"/>
                    <w:rPr>
                      <w:rFonts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55</w:t>
                  </w:r>
                </w:p>
              </w:tc>
              <w:tc>
                <w:tcPr>
                  <w:tcW w:w="692" w:type="pct"/>
                  <w:tcBorders>
                    <w:top w:val="single" w:color="auto" w:sz="4" w:space="0"/>
                    <w:bottom w:val="single" w:color="auto" w:sz="4" w:space="0"/>
                    <w:right w:val="single" w:color="auto" w:sz="4" w:space="0"/>
                  </w:tcBorders>
                  <w:vAlign w:val="center"/>
                </w:tcPr>
                <w:p w14:paraId="528630B9">
                  <w:pPr>
                    <w:spacing w:line="320" w:lineRule="exact"/>
                    <w:jc w:val="center"/>
                    <w:rPr>
                      <w:snapToGrid w:val="0"/>
                      <w:color w:val="auto"/>
                      <w:kern w:val="0"/>
                      <w:szCs w:val="21"/>
                    </w:rPr>
                  </w:pPr>
                  <w:r>
                    <w:rPr>
                      <w:rFonts w:hint="eastAsia"/>
                      <w:snapToGrid w:val="0"/>
                      <w:color w:val="auto"/>
                      <w:kern w:val="0"/>
                      <w:szCs w:val="21"/>
                      <w:lang w:val="en-US" w:eastAsia="zh-CN"/>
                    </w:rPr>
                    <w:t>达标</w:t>
                  </w:r>
                </w:p>
              </w:tc>
              <w:tc>
                <w:tcPr>
                  <w:tcW w:w="636" w:type="pct"/>
                  <w:tcBorders>
                    <w:top w:val="single" w:color="auto" w:sz="4" w:space="0"/>
                    <w:left w:val="single" w:color="auto" w:sz="4" w:space="0"/>
                    <w:bottom w:val="single" w:color="auto" w:sz="4" w:space="0"/>
                  </w:tcBorders>
                  <w:vAlign w:val="center"/>
                </w:tcPr>
                <w:p w14:paraId="73646BD5">
                  <w:pPr>
                    <w:spacing w:line="320" w:lineRule="exact"/>
                    <w:jc w:val="center"/>
                    <w:rPr>
                      <w:snapToGrid w:val="0"/>
                      <w:color w:val="auto"/>
                      <w:kern w:val="0"/>
                      <w:szCs w:val="21"/>
                    </w:rPr>
                  </w:pPr>
                  <w:r>
                    <w:rPr>
                      <w:rFonts w:hint="eastAsia"/>
                      <w:snapToGrid w:val="0"/>
                      <w:color w:val="auto"/>
                      <w:kern w:val="0"/>
                      <w:szCs w:val="21"/>
                      <w:lang w:val="en-US" w:eastAsia="zh-CN"/>
                    </w:rPr>
                    <w:t>达标</w:t>
                  </w:r>
                </w:p>
              </w:tc>
            </w:tr>
            <w:tr w14:paraId="6C61B7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14" w:type="pct"/>
                  <w:vAlign w:val="center"/>
                </w:tcPr>
                <w:p w14:paraId="41E68BC4">
                  <w:pPr>
                    <w:spacing w:line="320" w:lineRule="exact"/>
                    <w:jc w:val="center"/>
                    <w:rPr>
                      <w:snapToGrid w:val="0"/>
                      <w:color w:val="auto"/>
                      <w:kern w:val="0"/>
                      <w:szCs w:val="21"/>
                    </w:rPr>
                  </w:pPr>
                  <w:r>
                    <w:rPr>
                      <w:snapToGrid w:val="0"/>
                      <w:color w:val="auto"/>
                      <w:kern w:val="0"/>
                      <w:szCs w:val="21"/>
                    </w:rPr>
                    <w:t>3</w:t>
                  </w:r>
                </w:p>
              </w:tc>
              <w:tc>
                <w:tcPr>
                  <w:tcW w:w="789" w:type="pct"/>
                  <w:vAlign w:val="center"/>
                </w:tcPr>
                <w:p w14:paraId="359C2AC1">
                  <w:pPr>
                    <w:spacing w:line="320" w:lineRule="exact"/>
                    <w:jc w:val="center"/>
                    <w:rPr>
                      <w:snapToGrid w:val="0"/>
                      <w:color w:val="auto"/>
                      <w:kern w:val="0"/>
                      <w:szCs w:val="21"/>
                    </w:rPr>
                  </w:pPr>
                  <w:r>
                    <w:rPr>
                      <w:rFonts w:hint="eastAsia"/>
                      <w:snapToGrid w:val="0"/>
                      <w:color w:val="auto"/>
                      <w:kern w:val="0"/>
                      <w:szCs w:val="21"/>
                      <w:lang w:val="en-US" w:eastAsia="zh-CN"/>
                    </w:rPr>
                    <w:t>南</w:t>
                  </w:r>
                  <w:r>
                    <w:rPr>
                      <w:snapToGrid w:val="0"/>
                      <w:color w:val="auto"/>
                      <w:kern w:val="0"/>
                      <w:szCs w:val="21"/>
                    </w:rPr>
                    <w:t>场界</w:t>
                  </w:r>
                </w:p>
              </w:tc>
              <w:tc>
                <w:tcPr>
                  <w:tcW w:w="1041" w:type="pct"/>
                  <w:vAlign w:val="center"/>
                </w:tcPr>
                <w:p w14:paraId="4C952415">
                  <w:pPr>
                    <w:spacing w:line="320" w:lineRule="exact"/>
                    <w:jc w:val="center"/>
                    <w:rPr>
                      <w:rFonts w:hint="default" w:eastAsia="宋体"/>
                      <w:color w:val="auto"/>
                      <w:szCs w:val="21"/>
                      <w:lang w:val="en-US" w:eastAsia="zh-CN"/>
                    </w:rPr>
                  </w:pPr>
                  <w:r>
                    <w:rPr>
                      <w:rFonts w:hint="eastAsia"/>
                      <w:color w:val="auto"/>
                      <w:szCs w:val="21"/>
                      <w:lang w:val="en-US" w:eastAsia="zh-CN"/>
                    </w:rPr>
                    <w:t>50.65</w:t>
                  </w:r>
                </w:p>
              </w:tc>
              <w:tc>
                <w:tcPr>
                  <w:tcW w:w="1155" w:type="dxa"/>
                  <w:tcBorders>
                    <w:top w:val="single" w:color="auto" w:sz="4" w:space="0"/>
                    <w:bottom w:val="single" w:color="auto" w:sz="4" w:space="0"/>
                  </w:tcBorders>
                  <w:shd w:val="clear" w:color="auto" w:fill="auto"/>
                  <w:vAlign w:val="center"/>
                </w:tcPr>
                <w:p w14:paraId="64CDC85A">
                  <w:pPr>
                    <w:spacing w:line="320" w:lineRule="exact"/>
                    <w:jc w:val="center"/>
                    <w:rPr>
                      <w:rFonts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65</w:t>
                  </w:r>
                </w:p>
              </w:tc>
              <w:tc>
                <w:tcPr>
                  <w:tcW w:w="1050" w:type="dxa"/>
                  <w:tcBorders>
                    <w:top w:val="single" w:color="auto" w:sz="4" w:space="0"/>
                    <w:bottom w:val="single" w:color="auto" w:sz="4" w:space="0"/>
                  </w:tcBorders>
                  <w:shd w:val="clear" w:color="auto" w:fill="auto"/>
                  <w:vAlign w:val="center"/>
                </w:tcPr>
                <w:p w14:paraId="1CB6DC45">
                  <w:pPr>
                    <w:spacing w:line="320" w:lineRule="exact"/>
                    <w:jc w:val="center"/>
                    <w:rPr>
                      <w:rFonts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55</w:t>
                  </w:r>
                </w:p>
              </w:tc>
              <w:tc>
                <w:tcPr>
                  <w:tcW w:w="692" w:type="pct"/>
                  <w:tcBorders>
                    <w:top w:val="single" w:color="auto" w:sz="4" w:space="0"/>
                    <w:bottom w:val="single" w:color="auto" w:sz="4" w:space="0"/>
                    <w:right w:val="single" w:color="auto" w:sz="4" w:space="0"/>
                  </w:tcBorders>
                  <w:vAlign w:val="center"/>
                </w:tcPr>
                <w:p w14:paraId="11E6ADD0">
                  <w:pPr>
                    <w:spacing w:line="320" w:lineRule="exact"/>
                    <w:jc w:val="center"/>
                    <w:rPr>
                      <w:snapToGrid w:val="0"/>
                      <w:color w:val="auto"/>
                      <w:kern w:val="0"/>
                      <w:szCs w:val="21"/>
                    </w:rPr>
                  </w:pPr>
                  <w:r>
                    <w:rPr>
                      <w:rFonts w:hint="eastAsia"/>
                      <w:snapToGrid w:val="0"/>
                      <w:color w:val="auto"/>
                      <w:kern w:val="0"/>
                      <w:szCs w:val="21"/>
                      <w:lang w:val="en-US" w:eastAsia="zh-CN"/>
                    </w:rPr>
                    <w:t>达标</w:t>
                  </w:r>
                </w:p>
              </w:tc>
              <w:tc>
                <w:tcPr>
                  <w:tcW w:w="636" w:type="pct"/>
                  <w:tcBorders>
                    <w:top w:val="single" w:color="auto" w:sz="4" w:space="0"/>
                    <w:left w:val="single" w:color="auto" w:sz="4" w:space="0"/>
                    <w:bottom w:val="single" w:color="auto" w:sz="4" w:space="0"/>
                  </w:tcBorders>
                  <w:vAlign w:val="center"/>
                </w:tcPr>
                <w:p w14:paraId="375D633A">
                  <w:pPr>
                    <w:spacing w:line="320" w:lineRule="exact"/>
                    <w:jc w:val="center"/>
                    <w:rPr>
                      <w:snapToGrid w:val="0"/>
                      <w:color w:val="auto"/>
                      <w:kern w:val="0"/>
                      <w:szCs w:val="21"/>
                    </w:rPr>
                  </w:pPr>
                  <w:r>
                    <w:rPr>
                      <w:rFonts w:hint="eastAsia"/>
                      <w:snapToGrid w:val="0"/>
                      <w:color w:val="auto"/>
                      <w:kern w:val="0"/>
                      <w:szCs w:val="21"/>
                      <w:lang w:val="en-US" w:eastAsia="zh-CN"/>
                    </w:rPr>
                    <w:t>达标</w:t>
                  </w:r>
                </w:p>
              </w:tc>
            </w:tr>
            <w:tr w14:paraId="42493C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514" w:type="pct"/>
                  <w:vAlign w:val="center"/>
                </w:tcPr>
                <w:p w14:paraId="04ADDFA6">
                  <w:pPr>
                    <w:spacing w:line="320" w:lineRule="exact"/>
                    <w:jc w:val="center"/>
                    <w:rPr>
                      <w:snapToGrid w:val="0"/>
                      <w:color w:val="auto"/>
                      <w:kern w:val="0"/>
                      <w:szCs w:val="21"/>
                    </w:rPr>
                  </w:pPr>
                  <w:r>
                    <w:rPr>
                      <w:snapToGrid w:val="0"/>
                      <w:color w:val="auto"/>
                      <w:kern w:val="0"/>
                      <w:szCs w:val="21"/>
                    </w:rPr>
                    <w:t>4</w:t>
                  </w:r>
                </w:p>
              </w:tc>
              <w:tc>
                <w:tcPr>
                  <w:tcW w:w="789" w:type="pct"/>
                  <w:vAlign w:val="center"/>
                </w:tcPr>
                <w:p w14:paraId="6E5DD85C">
                  <w:pPr>
                    <w:spacing w:line="320" w:lineRule="exact"/>
                    <w:jc w:val="center"/>
                    <w:rPr>
                      <w:snapToGrid w:val="0"/>
                      <w:color w:val="auto"/>
                      <w:kern w:val="0"/>
                      <w:szCs w:val="21"/>
                    </w:rPr>
                  </w:pPr>
                  <w:r>
                    <w:rPr>
                      <w:rFonts w:hint="eastAsia"/>
                      <w:snapToGrid w:val="0"/>
                      <w:color w:val="auto"/>
                      <w:kern w:val="0"/>
                      <w:szCs w:val="21"/>
                      <w:lang w:val="en-US" w:eastAsia="zh-CN"/>
                    </w:rPr>
                    <w:t>西</w:t>
                  </w:r>
                  <w:r>
                    <w:rPr>
                      <w:snapToGrid w:val="0"/>
                      <w:color w:val="auto"/>
                      <w:kern w:val="0"/>
                      <w:szCs w:val="21"/>
                    </w:rPr>
                    <w:t>场界</w:t>
                  </w:r>
                </w:p>
              </w:tc>
              <w:tc>
                <w:tcPr>
                  <w:tcW w:w="1041" w:type="pct"/>
                  <w:vAlign w:val="center"/>
                </w:tcPr>
                <w:p w14:paraId="50707CA9">
                  <w:pPr>
                    <w:spacing w:line="320" w:lineRule="exact"/>
                    <w:jc w:val="center"/>
                    <w:rPr>
                      <w:rFonts w:hint="default" w:eastAsia="宋体"/>
                      <w:color w:val="auto"/>
                      <w:szCs w:val="21"/>
                      <w:lang w:val="en-US" w:eastAsia="zh-CN"/>
                    </w:rPr>
                  </w:pPr>
                  <w:r>
                    <w:rPr>
                      <w:rFonts w:hint="eastAsia"/>
                      <w:color w:val="auto"/>
                      <w:szCs w:val="21"/>
                      <w:lang w:val="en-US" w:eastAsia="zh-CN"/>
                    </w:rPr>
                    <w:t>46.04</w:t>
                  </w:r>
                </w:p>
              </w:tc>
              <w:tc>
                <w:tcPr>
                  <w:tcW w:w="1155" w:type="dxa"/>
                  <w:tcBorders>
                    <w:top w:val="single" w:color="auto" w:sz="4" w:space="0"/>
                    <w:bottom w:val="single" w:color="auto" w:sz="4" w:space="0"/>
                  </w:tcBorders>
                  <w:shd w:val="clear" w:color="auto" w:fill="auto"/>
                  <w:vAlign w:val="center"/>
                </w:tcPr>
                <w:p w14:paraId="0FDC7755">
                  <w:pPr>
                    <w:spacing w:line="320" w:lineRule="exact"/>
                    <w:jc w:val="center"/>
                    <w:rPr>
                      <w:rFonts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65</w:t>
                  </w:r>
                </w:p>
              </w:tc>
              <w:tc>
                <w:tcPr>
                  <w:tcW w:w="1050" w:type="dxa"/>
                  <w:tcBorders>
                    <w:top w:val="single" w:color="auto" w:sz="4" w:space="0"/>
                    <w:bottom w:val="single" w:color="auto" w:sz="4" w:space="0"/>
                  </w:tcBorders>
                  <w:shd w:val="clear" w:color="auto" w:fill="auto"/>
                  <w:vAlign w:val="center"/>
                </w:tcPr>
                <w:p w14:paraId="2267D44D">
                  <w:pPr>
                    <w:spacing w:line="320" w:lineRule="exact"/>
                    <w:jc w:val="center"/>
                    <w:rPr>
                      <w:rFonts w:ascii="Times New Roman" w:hAnsi="Times New Roman" w:eastAsia="宋体" w:cs="Times New Roman"/>
                      <w:snapToGrid w:val="0"/>
                      <w:color w:val="auto"/>
                      <w:kern w:val="0"/>
                      <w:sz w:val="21"/>
                      <w:szCs w:val="21"/>
                      <w:lang w:val="en-US" w:eastAsia="zh-CN" w:bidi="ar-SA"/>
                    </w:rPr>
                  </w:pPr>
                  <w:r>
                    <w:rPr>
                      <w:rFonts w:hint="eastAsia"/>
                      <w:snapToGrid w:val="0"/>
                      <w:color w:val="auto"/>
                      <w:kern w:val="0"/>
                      <w:szCs w:val="21"/>
                      <w:lang w:val="en-US" w:eastAsia="zh-CN"/>
                    </w:rPr>
                    <w:t>55</w:t>
                  </w:r>
                </w:p>
              </w:tc>
              <w:tc>
                <w:tcPr>
                  <w:tcW w:w="692" w:type="pct"/>
                  <w:tcBorders>
                    <w:top w:val="single" w:color="auto" w:sz="4" w:space="0"/>
                    <w:bottom w:val="single" w:color="auto" w:sz="4" w:space="0"/>
                    <w:right w:val="single" w:color="auto" w:sz="4" w:space="0"/>
                  </w:tcBorders>
                  <w:vAlign w:val="center"/>
                </w:tcPr>
                <w:p w14:paraId="79CFB5F6">
                  <w:pPr>
                    <w:spacing w:line="320" w:lineRule="exact"/>
                    <w:jc w:val="center"/>
                    <w:rPr>
                      <w:snapToGrid w:val="0"/>
                      <w:color w:val="auto"/>
                      <w:kern w:val="0"/>
                      <w:szCs w:val="21"/>
                    </w:rPr>
                  </w:pPr>
                  <w:r>
                    <w:rPr>
                      <w:rFonts w:hint="eastAsia"/>
                      <w:snapToGrid w:val="0"/>
                      <w:color w:val="auto"/>
                      <w:kern w:val="0"/>
                      <w:szCs w:val="21"/>
                      <w:lang w:val="en-US" w:eastAsia="zh-CN"/>
                    </w:rPr>
                    <w:t>达标</w:t>
                  </w:r>
                </w:p>
              </w:tc>
              <w:tc>
                <w:tcPr>
                  <w:tcW w:w="636" w:type="pct"/>
                  <w:tcBorders>
                    <w:top w:val="single" w:color="auto" w:sz="4" w:space="0"/>
                    <w:left w:val="single" w:color="auto" w:sz="4" w:space="0"/>
                    <w:bottom w:val="single" w:color="auto" w:sz="4" w:space="0"/>
                  </w:tcBorders>
                  <w:vAlign w:val="center"/>
                </w:tcPr>
                <w:p w14:paraId="6640C2BD">
                  <w:pPr>
                    <w:spacing w:line="320" w:lineRule="exact"/>
                    <w:jc w:val="center"/>
                    <w:rPr>
                      <w:snapToGrid w:val="0"/>
                      <w:color w:val="auto"/>
                      <w:kern w:val="0"/>
                      <w:szCs w:val="21"/>
                    </w:rPr>
                  </w:pPr>
                  <w:r>
                    <w:rPr>
                      <w:rFonts w:hint="eastAsia"/>
                      <w:snapToGrid w:val="0"/>
                      <w:color w:val="auto"/>
                      <w:kern w:val="0"/>
                      <w:szCs w:val="21"/>
                      <w:lang w:val="en-US" w:eastAsia="zh-CN"/>
                    </w:rPr>
                    <w:t>达标</w:t>
                  </w:r>
                </w:p>
              </w:tc>
            </w:tr>
          </w:tbl>
          <w:p w14:paraId="506E89BD">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eastAsia"/>
                <w:color w:val="auto"/>
                <w:sz w:val="24"/>
                <w:lang w:eastAsia="zh-CN"/>
              </w:rPr>
            </w:pPr>
            <w:r>
              <w:rPr>
                <w:color w:val="auto"/>
                <w:sz w:val="24"/>
              </w:rPr>
              <w:t>由</w:t>
            </w:r>
            <w:r>
              <w:rPr>
                <w:rFonts w:hint="eastAsia"/>
                <w:color w:val="auto"/>
                <w:sz w:val="24"/>
              </w:rPr>
              <w:t>噪声预测结果</w:t>
            </w:r>
            <w:r>
              <w:rPr>
                <w:color w:val="auto"/>
                <w:sz w:val="24"/>
              </w:rPr>
              <w:t>可知，</w:t>
            </w:r>
            <w:r>
              <w:rPr>
                <w:rFonts w:hint="eastAsia"/>
                <w:color w:val="auto"/>
                <w:sz w:val="24"/>
                <w:lang w:val="en-US" w:eastAsia="zh-CN"/>
              </w:rPr>
              <w:t>项目北侧</w:t>
            </w:r>
            <w:r>
              <w:rPr>
                <w:rFonts w:hint="eastAsia"/>
                <w:color w:val="auto"/>
                <w:sz w:val="24"/>
              </w:rPr>
              <w:t>厂界</w:t>
            </w:r>
            <w:r>
              <w:rPr>
                <w:color w:val="auto"/>
                <w:sz w:val="24"/>
              </w:rPr>
              <w:t>噪声贡献值</w:t>
            </w:r>
            <w:r>
              <w:rPr>
                <w:rFonts w:hint="eastAsia"/>
                <w:color w:val="auto"/>
                <w:sz w:val="24"/>
                <w:lang w:val="en-US" w:eastAsia="zh-CN"/>
              </w:rPr>
              <w:t>为60.01</w:t>
            </w:r>
            <w:r>
              <w:rPr>
                <w:color w:val="auto"/>
                <w:sz w:val="24"/>
              </w:rPr>
              <w:t>dB</w:t>
            </w:r>
            <w:r>
              <w:rPr>
                <w:rFonts w:hint="eastAsia"/>
                <w:color w:val="auto"/>
                <w:sz w:val="24"/>
              </w:rPr>
              <w:t>（</w:t>
            </w:r>
            <w:r>
              <w:rPr>
                <w:color w:val="auto"/>
                <w:sz w:val="24"/>
              </w:rPr>
              <w:t>A</w:t>
            </w:r>
            <w:r>
              <w:rPr>
                <w:rFonts w:hint="eastAsia"/>
                <w:color w:val="auto"/>
                <w:sz w:val="24"/>
              </w:rPr>
              <w:t>）</w:t>
            </w:r>
            <w:r>
              <w:rPr>
                <w:rFonts w:hint="eastAsia"/>
                <w:color w:val="auto"/>
                <w:sz w:val="24"/>
                <w:lang w:eastAsia="zh-CN"/>
              </w:rPr>
              <w:t>，不能满足《工业企业厂界环境噪声排放标准》（GB12348-2008）</w:t>
            </w:r>
            <w:r>
              <w:rPr>
                <w:rFonts w:hint="eastAsia"/>
                <w:color w:val="auto"/>
                <w:sz w:val="24"/>
                <w:lang w:val="en-US" w:eastAsia="zh-CN"/>
              </w:rPr>
              <w:t>3</w:t>
            </w:r>
            <w:r>
              <w:rPr>
                <w:rFonts w:hint="eastAsia"/>
                <w:color w:val="auto"/>
                <w:sz w:val="24"/>
                <w:lang w:eastAsia="zh-CN"/>
              </w:rPr>
              <w:t>类标准要求，其余厂界</w:t>
            </w:r>
            <w:r>
              <w:rPr>
                <w:color w:val="auto"/>
                <w:sz w:val="24"/>
              </w:rPr>
              <w:t>噪声贡献值</w:t>
            </w:r>
            <w:r>
              <w:rPr>
                <w:rFonts w:hint="eastAsia"/>
                <w:color w:val="auto"/>
                <w:sz w:val="24"/>
                <w:lang w:val="en-US" w:eastAsia="zh-CN"/>
              </w:rPr>
              <w:t>为46.04</w:t>
            </w:r>
            <w:r>
              <w:rPr>
                <w:rFonts w:hint="eastAsia" w:ascii="宋体" w:hAnsi="宋体" w:eastAsia="宋体" w:cs="宋体"/>
                <w:color w:val="auto"/>
                <w:sz w:val="24"/>
                <w:lang w:val="en-US" w:eastAsia="zh-CN"/>
              </w:rPr>
              <w:t>～</w:t>
            </w:r>
            <w:r>
              <w:rPr>
                <w:rFonts w:hint="eastAsia"/>
                <w:color w:val="auto"/>
                <w:sz w:val="24"/>
                <w:lang w:val="en-US" w:eastAsia="zh-CN"/>
              </w:rPr>
              <w:t>51.64</w:t>
            </w:r>
            <w:r>
              <w:rPr>
                <w:color w:val="auto"/>
                <w:sz w:val="24"/>
              </w:rPr>
              <w:t>dB</w:t>
            </w:r>
            <w:r>
              <w:rPr>
                <w:rFonts w:hint="eastAsia"/>
                <w:color w:val="auto"/>
                <w:sz w:val="24"/>
              </w:rPr>
              <w:t>（</w:t>
            </w:r>
            <w:r>
              <w:rPr>
                <w:color w:val="auto"/>
                <w:sz w:val="24"/>
              </w:rPr>
              <w:t>A</w:t>
            </w:r>
            <w:r>
              <w:rPr>
                <w:rFonts w:hint="eastAsia"/>
                <w:color w:val="auto"/>
                <w:sz w:val="24"/>
              </w:rPr>
              <w:t>）</w:t>
            </w:r>
            <w:r>
              <w:rPr>
                <w:rFonts w:hint="eastAsia"/>
                <w:color w:val="auto"/>
                <w:sz w:val="24"/>
                <w:lang w:eastAsia="zh-CN"/>
              </w:rPr>
              <w:t>，可满足《工业企业厂界环境噪声排放标准》（GB12348-2008）</w:t>
            </w:r>
            <w:r>
              <w:rPr>
                <w:rFonts w:hint="eastAsia"/>
                <w:color w:val="auto"/>
                <w:sz w:val="24"/>
                <w:lang w:val="en-US" w:eastAsia="zh-CN"/>
              </w:rPr>
              <w:t>3</w:t>
            </w:r>
            <w:r>
              <w:rPr>
                <w:rFonts w:hint="eastAsia"/>
                <w:color w:val="auto"/>
                <w:sz w:val="24"/>
                <w:lang w:eastAsia="zh-CN"/>
              </w:rPr>
              <w:t>类标准要求。</w:t>
            </w:r>
            <w:r>
              <w:rPr>
                <w:rFonts w:hint="eastAsia"/>
                <w:color w:val="auto"/>
                <w:sz w:val="24"/>
                <w:lang w:val="en-US" w:eastAsia="zh-CN"/>
              </w:rPr>
              <w:t>根据软件预测，厂界30m范围外噪声低于55dB(A)，可满足《工业企业厂界环境噪声排放标准》（GB12348-2008）3类标准要求，本项目厂界周围50m范围内无居民居住，且本项目建设位于李家壕煤矿井田范围内，不会有居民搬迁至风井场地周围，因此项目噪声对周围环境影响在可接受范围内。</w:t>
            </w:r>
          </w:p>
          <w:p w14:paraId="6B6D2481">
            <w:pPr>
              <w:keepNext w:val="0"/>
              <w:keepLines w:val="0"/>
              <w:pageBreakBefore w:val="0"/>
              <w:widowControl w:val="0"/>
              <w:kinsoku/>
              <w:wordWrap/>
              <w:overflowPunct/>
              <w:topLinePunct w:val="0"/>
              <w:autoSpaceDE/>
              <w:autoSpaceDN/>
              <w:bidi w:val="0"/>
              <w:adjustRightInd w:val="0"/>
              <w:snapToGrid w:val="0"/>
              <w:spacing w:line="520" w:lineRule="exact"/>
              <w:ind w:firstLine="482" w:firstLineChars="200"/>
              <w:textAlignment w:val="auto"/>
              <w:rPr>
                <w:rFonts w:ascii="宋体" w:hAnsi="宋体" w:cs="宋体"/>
                <w:b/>
                <w:color w:val="auto"/>
                <w:sz w:val="24"/>
              </w:rPr>
            </w:pPr>
            <w:r>
              <w:rPr>
                <w:rFonts w:hint="eastAsia" w:ascii="宋体" w:hAnsi="宋体" w:cs="宋体"/>
                <w:b/>
                <w:color w:val="auto"/>
                <w:sz w:val="24"/>
              </w:rPr>
              <w:t>4、固废环境影响分析</w:t>
            </w:r>
          </w:p>
          <w:p w14:paraId="4D4DE9FE">
            <w:pPr>
              <w:pStyle w:val="61"/>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Fonts w:hint="eastAsia" w:ascii="Times New Roman" w:hAnsi="Times New Roman" w:cs="Times New Roman"/>
                <w:color w:val="auto"/>
                <w:sz w:val="24"/>
                <w:lang w:val="en-US"/>
              </w:rPr>
            </w:pPr>
            <w:r>
              <w:rPr>
                <w:rFonts w:hint="eastAsia" w:ascii="Times New Roman" w:hAnsi="Times New Roman" w:cs="Times New Roman"/>
                <w:color w:val="auto"/>
                <w:sz w:val="24"/>
                <w:lang w:val="en-US"/>
              </w:rPr>
              <w:t>本项目不新增劳动定员，无生活垃圾产生。</w:t>
            </w:r>
          </w:p>
          <w:p w14:paraId="76C6FE10">
            <w:pPr>
              <w:pStyle w:val="61"/>
              <w:keepNext w:val="0"/>
              <w:keepLines w:val="0"/>
              <w:pageBreakBefore w:val="0"/>
              <w:widowControl w:val="0"/>
              <w:kinsoku/>
              <w:wordWrap/>
              <w:overflowPunct/>
              <w:topLinePunct w:val="0"/>
              <w:autoSpaceDE/>
              <w:autoSpaceDN/>
              <w:bidi w:val="0"/>
              <w:spacing w:line="520" w:lineRule="exact"/>
              <w:ind w:firstLine="480" w:firstLineChars="200"/>
              <w:jc w:val="both"/>
              <w:textAlignment w:val="auto"/>
              <w:rPr>
                <w:rStyle w:val="34"/>
                <w:rFonts w:hint="eastAsia" w:ascii="Times New Roman" w:hAnsi="Times New Roman" w:cs="Times New Roman"/>
                <w:color w:val="auto"/>
                <w:kern w:val="0"/>
                <w:sz w:val="24"/>
                <w:szCs w:val="24"/>
                <w:lang w:val="en-US" w:eastAsia="zh-CN" w:bidi="ar-SA"/>
              </w:rPr>
            </w:pPr>
            <w:r>
              <w:rPr>
                <w:rStyle w:val="34"/>
                <w:rFonts w:hint="eastAsia" w:ascii="Times New Roman" w:hAnsi="Times New Roman" w:cs="Times New Roman"/>
                <w:color w:val="auto"/>
                <w:kern w:val="0"/>
                <w:sz w:val="24"/>
                <w:szCs w:val="24"/>
                <w:lang w:val="en-US" w:eastAsia="zh-CN" w:bidi="ar-SA"/>
              </w:rPr>
              <w:t>项目运营期间，设备检修时会产生废机油和废油桶，废机油产生量约</w:t>
            </w:r>
            <w:r>
              <w:rPr>
                <w:rStyle w:val="34"/>
                <w:rFonts w:hint="default" w:ascii="Times New Roman" w:hAnsi="Times New Roman" w:cs="Times New Roman"/>
                <w:color w:val="auto"/>
                <w:kern w:val="0"/>
                <w:sz w:val="24"/>
                <w:szCs w:val="24"/>
                <w:lang w:val="en-US" w:eastAsia="zh-CN" w:bidi="ar-SA"/>
              </w:rPr>
              <w:t>0.1t/a</w:t>
            </w:r>
            <w:r>
              <w:rPr>
                <w:rStyle w:val="34"/>
                <w:rFonts w:hint="eastAsia" w:ascii="Times New Roman" w:hAnsi="Times New Roman" w:cs="Times New Roman"/>
                <w:color w:val="auto"/>
                <w:kern w:val="0"/>
                <w:sz w:val="24"/>
                <w:szCs w:val="24"/>
                <w:lang w:val="en-US" w:eastAsia="zh-CN" w:bidi="ar-SA"/>
              </w:rPr>
              <w:t>，废油桶产生量约3个/a、约0.01t/a，暂存于李家壕煤矿现有危废暂存库（360m</w:t>
            </w:r>
            <w:r>
              <w:rPr>
                <w:rStyle w:val="34"/>
                <w:rFonts w:hint="eastAsia" w:ascii="Times New Roman" w:hAnsi="Times New Roman" w:cs="Times New Roman"/>
                <w:color w:val="auto"/>
                <w:kern w:val="0"/>
                <w:sz w:val="24"/>
                <w:szCs w:val="24"/>
                <w:vertAlign w:val="superscript"/>
                <w:lang w:val="en-US" w:eastAsia="zh-CN" w:bidi="ar-SA"/>
              </w:rPr>
              <w:t>2</w:t>
            </w:r>
            <w:r>
              <w:rPr>
                <w:rStyle w:val="34"/>
                <w:rFonts w:hint="eastAsia" w:ascii="Times New Roman" w:hAnsi="Times New Roman" w:cs="Times New Roman"/>
                <w:color w:val="auto"/>
                <w:kern w:val="0"/>
                <w:sz w:val="24"/>
                <w:szCs w:val="24"/>
                <w:lang w:val="en-US" w:eastAsia="zh-CN" w:bidi="ar-SA"/>
              </w:rPr>
              <w:t>），委托有资质单位集中处置。矿井工业场地设有一座危废暂存库，为独立的密闭厂房，已于2020年李家壕煤矿危废库工程完成竣工环保验收。危废暂存库按照《危险废物贮存污染控制标准》（</w:t>
            </w:r>
            <w:r>
              <w:rPr>
                <w:rStyle w:val="34"/>
                <w:rFonts w:hint="default" w:ascii="Times New Roman" w:hAnsi="Times New Roman" w:cs="Times New Roman"/>
                <w:color w:val="auto"/>
                <w:kern w:val="0"/>
                <w:sz w:val="24"/>
                <w:szCs w:val="24"/>
                <w:lang w:val="en-US" w:eastAsia="zh-CN" w:bidi="ar-SA"/>
              </w:rPr>
              <w:t>GB18597-2023</w:t>
            </w:r>
            <w:r>
              <w:rPr>
                <w:rStyle w:val="34"/>
                <w:rFonts w:hint="eastAsia" w:ascii="Times New Roman" w:hAnsi="Times New Roman" w:cs="Times New Roman"/>
                <w:color w:val="auto"/>
                <w:kern w:val="0"/>
                <w:sz w:val="24"/>
                <w:szCs w:val="24"/>
                <w:lang w:val="en-US" w:eastAsia="zh-CN" w:bidi="ar-SA"/>
              </w:rPr>
              <w:t>）的要求建设，废机油和废油桶由专人管理，有危险废物排放量及处置管理台账。综上，危险废物能得到合理处置，不会对周围环境造成影响。</w:t>
            </w:r>
          </w:p>
        </w:tc>
      </w:tr>
      <w:tr w14:paraId="10EE9E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691" w:type="dxa"/>
            <w:vAlign w:val="center"/>
          </w:tcPr>
          <w:p w14:paraId="0CDEB857">
            <w:pPr>
              <w:pStyle w:val="25"/>
              <w:adjustRightInd w:val="0"/>
              <w:snapToGrid w:val="0"/>
              <w:spacing w:before="0" w:beforeAutospacing="0" w:after="0" w:afterAutospacing="0"/>
              <w:jc w:val="center"/>
              <w:rPr>
                <w:rFonts w:cs="宋体"/>
                <w:bCs/>
                <w:color w:val="auto"/>
                <w:kern w:val="2"/>
                <w:sz w:val="21"/>
                <w:szCs w:val="21"/>
              </w:rPr>
            </w:pPr>
            <w:r>
              <w:rPr>
                <w:rFonts w:hint="eastAsia" w:cs="宋体"/>
                <w:bCs/>
                <w:color w:val="auto"/>
                <w:kern w:val="2"/>
              </w:rPr>
              <w:t>选址选线环境合理性分析</w:t>
            </w:r>
          </w:p>
        </w:tc>
        <w:tc>
          <w:tcPr>
            <w:tcW w:w="8551" w:type="dxa"/>
          </w:tcPr>
          <w:p w14:paraId="156D2588">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ascii="宋体" w:hAnsi="宋体" w:cs="宋体"/>
                <w:color w:val="auto"/>
                <w:sz w:val="24"/>
              </w:rPr>
            </w:pPr>
            <w:r>
              <w:rPr>
                <w:rFonts w:hint="eastAsia" w:ascii="宋体" w:hAnsi="宋体" w:cs="宋体"/>
                <w:bCs/>
                <w:color w:val="auto"/>
                <w:sz w:val="24"/>
              </w:rPr>
              <w:t>本项目位于</w:t>
            </w:r>
            <w:r>
              <w:rPr>
                <w:color w:val="auto"/>
                <w:sz w:val="24"/>
              </w:rPr>
              <w:t>鄂尔多斯市东胜区罕台镇查干</w:t>
            </w:r>
            <w:r>
              <w:rPr>
                <w:rFonts w:hint="eastAsia"/>
                <w:color w:val="auto"/>
                <w:sz w:val="24"/>
              </w:rPr>
              <w:t>布拉格</w:t>
            </w:r>
            <w:r>
              <w:rPr>
                <w:color w:val="auto"/>
                <w:sz w:val="24"/>
              </w:rPr>
              <w:t>村</w:t>
            </w:r>
            <w:r>
              <w:rPr>
                <w:rFonts w:hint="eastAsia"/>
                <w:color w:val="auto"/>
                <w:sz w:val="24"/>
              </w:rPr>
              <w:t>李家壕煤矿</w:t>
            </w:r>
            <w:r>
              <w:rPr>
                <w:rFonts w:hint="eastAsia" w:ascii="宋体" w:hAnsi="宋体" w:cs="宋体"/>
                <w:color w:val="auto"/>
                <w:sz w:val="24"/>
              </w:rPr>
              <w:t>，项目为李家壕煤矿附属工程，主要建设</w:t>
            </w:r>
            <w:r>
              <w:rPr>
                <w:color w:val="auto"/>
                <w:sz w:val="24"/>
              </w:rPr>
              <w:t>内容</w:t>
            </w:r>
            <w:r>
              <w:rPr>
                <w:rFonts w:hint="eastAsia"/>
                <w:color w:val="auto"/>
                <w:sz w:val="24"/>
                <w:lang w:val="en-US" w:eastAsia="zh-CN"/>
              </w:rPr>
              <w:t>为新建了1座风井场地，主要</w:t>
            </w:r>
            <w:r>
              <w:rPr>
                <w:color w:val="auto"/>
                <w:sz w:val="24"/>
              </w:rPr>
              <w:t>包括</w:t>
            </w:r>
            <w:r>
              <w:rPr>
                <w:rFonts w:hint="eastAsia"/>
                <w:color w:val="auto"/>
                <w:sz w:val="24"/>
                <w:szCs w:val="24"/>
                <w:lang w:val="en-US" w:eastAsia="zh-CN"/>
              </w:rPr>
              <w:t>1座进风立井、1座回风立井</w:t>
            </w:r>
            <w:r>
              <w:rPr>
                <w:color w:val="auto"/>
                <w:sz w:val="24"/>
                <w:szCs w:val="24"/>
              </w:rPr>
              <w:t>及配套</w:t>
            </w:r>
            <w:r>
              <w:rPr>
                <w:rFonts w:hint="eastAsia"/>
                <w:color w:val="auto"/>
                <w:sz w:val="24"/>
                <w:szCs w:val="24"/>
                <w:lang w:val="en-US" w:eastAsia="zh-CN"/>
              </w:rPr>
              <w:t>的公辅工程和环保工程</w:t>
            </w:r>
            <w:r>
              <w:rPr>
                <w:color w:val="auto"/>
                <w:sz w:val="24"/>
              </w:rPr>
              <w:t>等</w:t>
            </w:r>
            <w:r>
              <w:rPr>
                <w:rFonts w:hint="eastAsia" w:ascii="宋体" w:hAnsi="宋体" w:cs="宋体"/>
                <w:color w:val="auto"/>
                <w:sz w:val="24"/>
              </w:rPr>
              <w:t>。</w:t>
            </w:r>
          </w:p>
          <w:p w14:paraId="395BD4DB">
            <w:pPr>
              <w:autoSpaceDE w:val="0"/>
              <w:autoSpaceDN w:val="0"/>
              <w:adjustRightInd w:val="0"/>
              <w:snapToGrid w:val="0"/>
              <w:spacing w:line="480" w:lineRule="exact"/>
              <w:ind w:firstLine="480" w:firstLineChars="200"/>
              <w:rPr>
                <w:rFonts w:hint="eastAsia"/>
                <w:color w:val="auto"/>
                <w:sz w:val="24"/>
                <w:lang w:eastAsia="zh-CN"/>
              </w:rPr>
            </w:pPr>
            <w:r>
              <w:rPr>
                <w:color w:val="auto"/>
                <w:sz w:val="24"/>
              </w:rPr>
              <w:t>根据</w:t>
            </w:r>
            <w:r>
              <w:rPr>
                <w:rFonts w:hint="eastAsia"/>
                <w:color w:val="auto"/>
                <w:sz w:val="24"/>
              </w:rPr>
              <w:t>土地勘测定界报告</w:t>
            </w:r>
            <w:r>
              <w:rPr>
                <w:color w:val="auto"/>
                <w:sz w:val="24"/>
              </w:rPr>
              <w:t>，本项目占地类型为</w:t>
            </w:r>
            <w:r>
              <w:rPr>
                <w:rFonts w:hint="eastAsia"/>
                <w:color w:val="auto"/>
                <w:sz w:val="24"/>
              </w:rPr>
              <w:t>其他</w:t>
            </w:r>
            <w:r>
              <w:rPr>
                <w:color w:val="auto"/>
                <w:sz w:val="24"/>
              </w:rPr>
              <w:t>林地、</w:t>
            </w:r>
            <w:r>
              <w:rPr>
                <w:rFonts w:hint="eastAsia"/>
                <w:color w:val="auto"/>
                <w:sz w:val="24"/>
              </w:rPr>
              <w:t>其他草地、</w:t>
            </w:r>
            <w:r>
              <w:rPr>
                <w:color w:val="auto"/>
                <w:sz w:val="24"/>
              </w:rPr>
              <w:t>天然牧草地、农村道路，不涉及永久基本农田，</w:t>
            </w:r>
            <w:r>
              <w:rPr>
                <w:rFonts w:hint="eastAsia"/>
                <w:color w:val="auto"/>
                <w:sz w:val="24"/>
              </w:rPr>
              <w:t>不涉及基本草原，</w:t>
            </w:r>
            <w:r>
              <w:rPr>
                <w:color w:val="auto"/>
                <w:sz w:val="24"/>
              </w:rPr>
              <w:t>不在生态保护红线范围内；不涉及自然保护区、风景名胜区、国家公园、</w:t>
            </w:r>
            <w:r>
              <w:rPr>
                <w:rFonts w:hint="eastAsia"/>
                <w:color w:val="auto"/>
                <w:sz w:val="24"/>
              </w:rPr>
              <w:t>水源保护区</w:t>
            </w:r>
            <w:r>
              <w:rPr>
                <w:color w:val="auto"/>
                <w:sz w:val="24"/>
              </w:rPr>
              <w:t>等敏感区；</w:t>
            </w:r>
            <w:r>
              <w:rPr>
                <w:rFonts w:hint="eastAsia"/>
                <w:color w:val="auto"/>
                <w:sz w:val="24"/>
                <w:lang w:val="en-US" w:eastAsia="zh-CN"/>
              </w:rPr>
              <w:t>不涉及文物；</w:t>
            </w:r>
            <w:r>
              <w:rPr>
                <w:color w:val="auto"/>
                <w:sz w:val="24"/>
              </w:rPr>
              <w:t>本项目涉及</w:t>
            </w:r>
            <w:r>
              <w:rPr>
                <w:rFonts w:hint="eastAsia"/>
                <w:color w:val="auto"/>
                <w:sz w:val="24"/>
              </w:rPr>
              <w:t>压覆李家壕煤矿的重要矿产资源，属于项目建设单位，可进行建设，项目施工场地位于风井场地占地范围内，</w:t>
            </w:r>
            <w:r>
              <w:rPr>
                <w:color w:val="auto"/>
                <w:sz w:val="24"/>
              </w:rPr>
              <w:t>各施工活动应严格控制在施工区域内进行，</w:t>
            </w:r>
            <w:r>
              <w:rPr>
                <w:rFonts w:hint="eastAsia"/>
                <w:color w:val="auto"/>
                <w:sz w:val="24"/>
              </w:rPr>
              <w:t>不会对该矿区产生影响</w:t>
            </w:r>
            <w:r>
              <w:rPr>
                <w:rFonts w:hint="eastAsia"/>
                <w:color w:val="auto"/>
                <w:sz w:val="24"/>
                <w:lang w:eastAsia="zh-CN"/>
              </w:rPr>
              <w:t>。</w:t>
            </w:r>
          </w:p>
          <w:p w14:paraId="770BF09E">
            <w:pPr>
              <w:keepNext w:val="0"/>
              <w:keepLines w:val="0"/>
              <w:pageBreakBefore w:val="0"/>
              <w:widowControl w:val="0"/>
              <w:kinsoku/>
              <w:wordWrap/>
              <w:overflowPunct/>
              <w:topLinePunct w:val="0"/>
              <w:bidi w:val="0"/>
              <w:adjustRightInd w:val="0"/>
              <w:snapToGrid w:val="0"/>
              <w:spacing w:line="500" w:lineRule="exact"/>
              <w:ind w:firstLine="480" w:firstLineChars="200"/>
              <w:textAlignment w:val="auto"/>
              <w:rPr>
                <w:rFonts w:ascii="宋体" w:hAnsi="宋体" w:cs="宋体"/>
                <w:color w:val="auto"/>
                <w:sz w:val="24"/>
              </w:rPr>
            </w:pPr>
            <w:r>
              <w:rPr>
                <w:color w:val="auto"/>
                <w:sz w:val="24"/>
              </w:rPr>
              <w:t>本项目风井场地周边500m范围内</w:t>
            </w:r>
            <w:r>
              <w:rPr>
                <w:rFonts w:hint="eastAsia"/>
                <w:color w:val="auto"/>
                <w:sz w:val="24"/>
                <w:lang w:val="en-US" w:eastAsia="zh-CN"/>
              </w:rPr>
              <w:t>有</w:t>
            </w:r>
            <w:r>
              <w:rPr>
                <w:rFonts w:hint="eastAsia"/>
                <w:color w:val="auto"/>
                <w:sz w:val="24"/>
                <w:szCs w:val="24"/>
              </w:rPr>
              <w:t>韩家沟村</w:t>
            </w:r>
            <w:r>
              <w:rPr>
                <w:rFonts w:hint="eastAsia"/>
                <w:color w:val="auto"/>
                <w:sz w:val="24"/>
                <w:szCs w:val="24"/>
                <w:lang w:val="en-US" w:eastAsia="zh-CN"/>
              </w:rPr>
              <w:t>3户</w:t>
            </w:r>
            <w:r>
              <w:rPr>
                <w:rFonts w:hint="eastAsia"/>
                <w:color w:val="auto"/>
                <w:sz w:val="24"/>
                <w:lang w:val="en-US" w:eastAsia="zh-CN"/>
              </w:rPr>
              <w:t>居民。</w:t>
            </w:r>
            <w:r>
              <w:rPr>
                <w:rFonts w:hint="default"/>
                <w:color w:val="auto"/>
                <w:sz w:val="24"/>
              </w:rPr>
              <w:t>经工程分析可知，本项目运营期产生废气、噪声均可达标排放，</w:t>
            </w:r>
            <w:r>
              <w:rPr>
                <w:rFonts w:hint="eastAsia"/>
                <w:color w:val="auto"/>
                <w:sz w:val="24"/>
                <w:lang w:val="en-US" w:eastAsia="zh-CN"/>
              </w:rPr>
              <w:t>废水不外排，</w:t>
            </w:r>
            <w:r>
              <w:rPr>
                <w:color w:val="auto"/>
                <w:sz w:val="24"/>
              </w:rPr>
              <w:t>同时固废也得到妥善处置</w:t>
            </w:r>
            <w:r>
              <w:rPr>
                <w:rFonts w:hint="eastAsia"/>
                <w:color w:val="auto"/>
                <w:sz w:val="24"/>
                <w:lang w:eastAsia="zh-CN"/>
              </w:rPr>
              <w:t>，</w:t>
            </w:r>
            <w:r>
              <w:rPr>
                <w:rFonts w:hint="default"/>
                <w:color w:val="auto"/>
                <w:sz w:val="24"/>
              </w:rPr>
              <w:t>项目的建设对周围环境及敏感目标影响</w:t>
            </w:r>
            <w:r>
              <w:rPr>
                <w:color w:val="auto"/>
                <w:sz w:val="24"/>
              </w:rPr>
              <w:t>较小。</w:t>
            </w:r>
          </w:p>
          <w:p w14:paraId="44E507B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r>
              <w:rPr>
                <w:rFonts w:hint="eastAsia" w:ascii="宋体" w:hAnsi="宋体" w:cs="宋体"/>
                <w:bCs/>
                <w:color w:val="auto"/>
                <w:sz w:val="24"/>
              </w:rPr>
              <w:t>综上所述，从环保角度分析，本项目选址选线合理。</w:t>
            </w:r>
          </w:p>
          <w:p w14:paraId="5D86A91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38F2F45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5C05D406">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6D605C52">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05999481">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54D8314E">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1B5F3ED4">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3F090325">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748A98A0">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rPr>
            </w:pPr>
          </w:p>
          <w:p w14:paraId="2B1FE333">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eastAsia" w:ascii="宋体" w:hAnsi="宋体" w:cs="宋体"/>
                <w:bCs/>
                <w:color w:val="auto"/>
                <w:sz w:val="24"/>
                <w:lang w:eastAsia="zh-CN"/>
              </w:rPr>
            </w:pPr>
          </w:p>
          <w:p w14:paraId="007435D2">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textAlignment w:val="auto"/>
              <w:rPr>
                <w:rFonts w:hint="eastAsia" w:ascii="宋体" w:hAnsi="宋体" w:eastAsia="宋体" w:cs="宋体"/>
                <w:bCs/>
                <w:color w:val="auto"/>
                <w:sz w:val="24"/>
                <w:lang w:eastAsia="zh-CN"/>
              </w:rPr>
            </w:pPr>
          </w:p>
        </w:tc>
      </w:tr>
    </w:tbl>
    <w:p w14:paraId="52EC7467">
      <w:pPr>
        <w:pStyle w:val="25"/>
        <w:jc w:val="center"/>
        <w:rPr>
          <w:rFonts w:ascii="黑体" w:hAnsi="黑体" w:eastAsia="黑体"/>
          <w:snapToGrid w:val="0"/>
          <w:color w:val="auto"/>
          <w:sz w:val="36"/>
          <w:szCs w:val="36"/>
        </w:rPr>
        <w:sectPr>
          <w:pgSz w:w="11906" w:h="16838"/>
          <w:pgMar w:top="1440" w:right="1800" w:bottom="1440" w:left="1800" w:header="851" w:footer="1077" w:gutter="0"/>
          <w:pgNumType w:fmt="numberInDash"/>
          <w:cols w:space="720" w:num="1"/>
          <w:docGrid w:linePitch="312" w:charSpace="0"/>
        </w:sectPr>
      </w:pPr>
    </w:p>
    <w:p w14:paraId="50D194A9">
      <w:pPr>
        <w:pStyle w:val="25"/>
        <w:adjustRightInd w:val="0"/>
        <w:snapToGrid w:val="0"/>
        <w:spacing w:before="0" w:beforeAutospacing="0" w:after="0" w:afterAutospacing="0" w:line="14" w:lineRule="auto"/>
        <w:jc w:val="center"/>
        <w:rPr>
          <w:rFonts w:ascii="黑体" w:hAnsi="黑体" w:eastAsia="黑体"/>
          <w:snapToGrid w:val="0"/>
          <w:color w:val="auto"/>
          <w:sz w:val="30"/>
          <w:szCs w:val="30"/>
        </w:rPr>
      </w:pPr>
    </w:p>
    <w:p w14:paraId="554F6917">
      <w:pPr>
        <w:pStyle w:val="25"/>
        <w:spacing w:beforeLines="100" w:beforeAutospacing="0" w:afterLines="100" w:afterAutospacing="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五、主要生态环境保护措施</w:t>
      </w:r>
    </w:p>
    <w:tbl>
      <w:tblPr>
        <w:tblStyle w:val="29"/>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14:paraId="7915AD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5" w:hRule="atLeast"/>
          <w:jc w:val="center"/>
        </w:trPr>
        <w:tc>
          <w:tcPr>
            <w:tcW w:w="753" w:type="dxa"/>
            <w:tcMar>
              <w:left w:w="28" w:type="dxa"/>
              <w:right w:w="28" w:type="dxa"/>
            </w:tcMar>
            <w:vAlign w:val="center"/>
          </w:tcPr>
          <w:p w14:paraId="24DDD635">
            <w:pPr>
              <w:adjustRightInd w:val="0"/>
              <w:snapToGrid w:val="0"/>
              <w:jc w:val="center"/>
              <w:rPr>
                <w:rFonts w:ascii="宋体" w:hAnsi="宋体"/>
                <w:bCs/>
                <w:color w:val="auto"/>
                <w:szCs w:val="21"/>
              </w:rPr>
            </w:pPr>
            <w:r>
              <w:rPr>
                <w:rFonts w:hint="eastAsia" w:ascii="宋体" w:hAnsi="宋体" w:cs="宋体"/>
                <w:bCs/>
                <w:color w:val="auto"/>
                <w:spacing w:val="10"/>
                <w:sz w:val="24"/>
              </w:rPr>
              <w:t>施工期生态环境保护措施</w:t>
            </w:r>
          </w:p>
        </w:tc>
        <w:tc>
          <w:tcPr>
            <w:tcW w:w="8457" w:type="dxa"/>
          </w:tcPr>
          <w:p w14:paraId="72973E96">
            <w:pPr>
              <w:widowControl/>
              <w:spacing w:line="500" w:lineRule="exact"/>
              <w:ind w:firstLine="482" w:firstLineChars="200"/>
              <w:rPr>
                <w:b/>
                <w:bCs/>
                <w:color w:val="auto"/>
                <w:sz w:val="24"/>
              </w:rPr>
            </w:pPr>
            <w:r>
              <w:rPr>
                <w:rFonts w:hint="eastAsia"/>
                <w:b/>
                <w:bCs/>
                <w:color w:val="auto"/>
                <w:kern w:val="0"/>
                <w:sz w:val="24"/>
              </w:rPr>
              <w:t>1</w:t>
            </w:r>
            <w:r>
              <w:rPr>
                <w:b/>
                <w:bCs/>
                <w:color w:val="auto"/>
                <w:kern w:val="0"/>
                <w:sz w:val="24"/>
              </w:rPr>
              <w:t>、生态环境保护措施</w:t>
            </w:r>
          </w:p>
          <w:p w14:paraId="127D928A">
            <w:pPr>
              <w:spacing w:line="500" w:lineRule="exact"/>
              <w:ind w:firstLine="480" w:firstLineChars="200"/>
              <w:rPr>
                <w:color w:val="auto"/>
                <w:sz w:val="24"/>
              </w:rPr>
            </w:pPr>
            <w:r>
              <w:rPr>
                <w:rFonts w:hint="eastAsia"/>
                <w:color w:val="auto"/>
                <w:sz w:val="24"/>
              </w:rPr>
              <w:t>（1）</w:t>
            </w:r>
            <w:r>
              <w:rPr>
                <w:color w:val="auto"/>
                <w:sz w:val="24"/>
              </w:rPr>
              <w:t>植被保护措施</w:t>
            </w:r>
          </w:p>
          <w:p w14:paraId="264A6792">
            <w:pPr>
              <w:pStyle w:val="36"/>
              <w:spacing w:line="500" w:lineRule="exact"/>
              <w:rPr>
                <w:color w:val="auto"/>
                <w:sz w:val="24"/>
              </w:rPr>
            </w:pPr>
            <w:r>
              <w:rPr>
                <w:color w:val="auto"/>
                <w:sz w:val="24"/>
              </w:rPr>
              <w:t>①施工时应采取尽量少占地、少破坏植被的原则，各施工活动应严格控制在施工区域内进行，以免造成周围植被、土壤的大面积破坏和干扰动物的栖息环境。对于植被生长较好的地段，尽量不要在这些地段设置临时工棚，料场等。</w:t>
            </w:r>
          </w:p>
          <w:p w14:paraId="6CBAE44B">
            <w:pPr>
              <w:pStyle w:val="36"/>
              <w:spacing w:line="500" w:lineRule="exact"/>
              <w:rPr>
                <w:color w:val="auto"/>
                <w:sz w:val="24"/>
              </w:rPr>
            </w:pPr>
            <w:r>
              <w:rPr>
                <w:color w:val="auto"/>
                <w:sz w:val="24"/>
              </w:rPr>
              <w:t>②对于临时占地等破坏区，项目建设结束后应进行植被恢复。凡受到施工车辆、机械破坏的地方均要进行土地平整、耕翻疏松（要求深翻表土</w:t>
            </w:r>
            <w:r>
              <w:rPr>
                <w:rFonts w:hint="eastAsia"/>
                <w:color w:val="auto"/>
                <w:sz w:val="24"/>
                <w:lang w:val="en-US" w:eastAsia="zh-CN"/>
              </w:rPr>
              <w:t>3</w:t>
            </w:r>
            <w:r>
              <w:rPr>
                <w:color w:val="auto"/>
                <w:sz w:val="24"/>
              </w:rPr>
              <w:t>0cm)，并在适当季节进行植树、种草工作，保持地表原有的稳定状态。</w:t>
            </w:r>
          </w:p>
          <w:p w14:paraId="72764AC7">
            <w:pPr>
              <w:pStyle w:val="36"/>
              <w:spacing w:line="500" w:lineRule="exact"/>
              <w:rPr>
                <w:color w:val="auto"/>
                <w:sz w:val="24"/>
              </w:rPr>
            </w:pPr>
            <w:r>
              <w:rPr>
                <w:color w:val="auto"/>
                <w:sz w:val="24"/>
              </w:rPr>
              <w:t>③应加强对施工人员生态环境保护意识的教育，严禁在规定的施工范围外随意砍伐树木。对于施工过程中破坏的乔木和灌丛，要制定补偿措施，损失多少必须补偿多少，进行原地补充或异地补充。</w:t>
            </w:r>
          </w:p>
          <w:p w14:paraId="15B53586">
            <w:pPr>
              <w:spacing w:line="500" w:lineRule="exact"/>
              <w:ind w:firstLine="480" w:firstLineChars="200"/>
              <w:rPr>
                <w:color w:val="auto"/>
                <w:sz w:val="24"/>
              </w:rPr>
            </w:pPr>
            <w:r>
              <w:rPr>
                <w:rFonts w:hint="eastAsia"/>
                <w:color w:val="auto"/>
                <w:sz w:val="24"/>
              </w:rPr>
              <w:t>（</w:t>
            </w:r>
            <w:r>
              <w:rPr>
                <w:color w:val="auto"/>
                <w:sz w:val="24"/>
              </w:rPr>
              <w:t>2）</w:t>
            </w:r>
            <w:r>
              <w:rPr>
                <w:rFonts w:hint="eastAsia"/>
                <w:color w:val="auto"/>
                <w:sz w:val="24"/>
              </w:rPr>
              <w:t>野生</w:t>
            </w:r>
            <w:r>
              <w:rPr>
                <w:color w:val="auto"/>
                <w:sz w:val="24"/>
              </w:rPr>
              <w:t>动物保护措施</w:t>
            </w:r>
          </w:p>
          <w:p w14:paraId="758979A3">
            <w:pPr>
              <w:spacing w:line="500" w:lineRule="exact"/>
              <w:ind w:firstLine="480" w:firstLineChars="200"/>
              <w:rPr>
                <w:color w:val="auto"/>
                <w:sz w:val="24"/>
              </w:rPr>
            </w:pPr>
            <w:r>
              <w:rPr>
                <w:color w:val="auto"/>
                <w:sz w:val="24"/>
              </w:rPr>
              <w:t>①施工期应加强对施工人员生态环境保护意识的教育，严禁对周围草地乱碾压，破坏生态及动物的生境、栖息地；严禁对野生动物的滥捕滥杀。</w:t>
            </w:r>
          </w:p>
          <w:p w14:paraId="006FE798">
            <w:pPr>
              <w:spacing w:line="500" w:lineRule="exact"/>
              <w:ind w:firstLine="480" w:firstLineChars="200"/>
              <w:rPr>
                <w:color w:val="auto"/>
                <w:sz w:val="24"/>
              </w:rPr>
            </w:pPr>
            <w:r>
              <w:rPr>
                <w:color w:val="auto"/>
                <w:sz w:val="24"/>
              </w:rPr>
              <w:t>②工程施工前应划定施工范围，施工必须限制在划定范围内，并且在工程施工区设置警示牌，禁止施工人员和车辆进入施工范围以外区域，避免施工人员的非施工活动惊扰影响动物的栖息</w:t>
            </w:r>
          </w:p>
          <w:p w14:paraId="03CC9469">
            <w:pPr>
              <w:spacing w:line="500" w:lineRule="exact"/>
              <w:ind w:firstLine="480" w:firstLineChars="200"/>
              <w:rPr>
                <w:color w:val="auto"/>
                <w:sz w:val="24"/>
              </w:rPr>
            </w:pPr>
            <w:r>
              <w:rPr>
                <w:color w:val="auto"/>
                <w:sz w:val="24"/>
              </w:rPr>
              <w:t>③项目建设中，各种施工作业，尤其是噪声较高的施工活动等应避开野生动物的栖息地，避免对其产生干扰。</w:t>
            </w:r>
          </w:p>
          <w:p w14:paraId="1E1532A5">
            <w:pPr>
              <w:spacing w:line="500" w:lineRule="exact"/>
              <w:ind w:firstLine="480" w:firstLineChars="200"/>
              <w:rPr>
                <w:color w:val="auto"/>
                <w:sz w:val="24"/>
              </w:rPr>
            </w:pPr>
            <w:r>
              <w:rPr>
                <w:color w:val="auto"/>
                <w:sz w:val="24"/>
              </w:rPr>
              <w:t>④优化施工路线，工程物料运输路线以</w:t>
            </w:r>
            <w:r>
              <w:rPr>
                <w:rFonts w:hint="eastAsia"/>
                <w:color w:val="auto"/>
                <w:sz w:val="24"/>
              </w:rPr>
              <w:t>现有</w:t>
            </w:r>
            <w:r>
              <w:rPr>
                <w:color w:val="auto"/>
                <w:sz w:val="24"/>
              </w:rPr>
              <w:t>道路为主，避免车辆惊扰栖息的动物。</w:t>
            </w:r>
          </w:p>
          <w:p w14:paraId="624AE42C">
            <w:pPr>
              <w:spacing w:line="500" w:lineRule="exact"/>
              <w:ind w:firstLine="480" w:firstLineChars="200"/>
              <w:rPr>
                <w:color w:val="auto"/>
                <w:sz w:val="24"/>
              </w:rPr>
            </w:pPr>
            <w:r>
              <w:rPr>
                <w:rFonts w:hint="eastAsia"/>
                <w:color w:val="auto"/>
                <w:sz w:val="24"/>
              </w:rPr>
              <w:t>（3）</w:t>
            </w:r>
            <w:r>
              <w:rPr>
                <w:color w:val="auto"/>
                <w:sz w:val="24"/>
              </w:rPr>
              <w:t xml:space="preserve">水土流失防治措施 </w:t>
            </w:r>
          </w:p>
          <w:p w14:paraId="3619015C">
            <w:pPr>
              <w:spacing w:line="500" w:lineRule="exact"/>
              <w:ind w:firstLine="480" w:firstLineChars="200"/>
              <w:rPr>
                <w:color w:val="auto"/>
                <w:sz w:val="24"/>
              </w:rPr>
            </w:pPr>
            <w:r>
              <w:rPr>
                <w:color w:val="auto"/>
                <w:sz w:val="24"/>
              </w:rPr>
              <w:t>①工程措施</w:t>
            </w:r>
          </w:p>
          <w:p w14:paraId="275FB3D4">
            <w:pPr>
              <w:spacing w:line="500" w:lineRule="exact"/>
              <w:ind w:firstLine="480" w:firstLineChars="200"/>
              <w:rPr>
                <w:color w:val="auto"/>
                <w:sz w:val="24"/>
              </w:rPr>
            </w:pPr>
            <w:r>
              <w:rPr>
                <w:color w:val="auto"/>
                <w:sz w:val="24"/>
              </w:rPr>
              <w:t>表土剥离：工业场地施工前，根据实际表土情况对扰动土地进行表土剥离</w:t>
            </w:r>
            <w:r>
              <w:rPr>
                <w:rFonts w:hint="eastAsia"/>
                <w:color w:val="auto"/>
                <w:sz w:val="24"/>
              </w:rPr>
              <w:t>，剥离厚度0.2m</w:t>
            </w:r>
            <w:r>
              <w:rPr>
                <w:color w:val="auto"/>
                <w:sz w:val="24"/>
              </w:rPr>
              <w:t>。剥离面积</w:t>
            </w:r>
            <w:r>
              <w:rPr>
                <w:rFonts w:hint="eastAsia"/>
                <w:color w:val="auto"/>
                <w:sz w:val="24"/>
              </w:rPr>
              <w:t>0.56</w:t>
            </w:r>
            <w:r>
              <w:rPr>
                <w:color w:val="auto"/>
                <w:sz w:val="24"/>
              </w:rPr>
              <w:t>h</w:t>
            </w:r>
            <w:r>
              <w:rPr>
                <w:rFonts w:hint="eastAsia"/>
                <w:color w:val="auto"/>
                <w:sz w:val="24"/>
              </w:rPr>
              <w:t>m²</w:t>
            </w:r>
            <w:r>
              <w:rPr>
                <w:color w:val="auto"/>
                <w:sz w:val="24"/>
              </w:rPr>
              <w:t>，剥离厚度</w:t>
            </w:r>
            <w:r>
              <w:rPr>
                <w:rFonts w:hint="eastAsia"/>
                <w:color w:val="auto"/>
                <w:sz w:val="24"/>
              </w:rPr>
              <w:t>0.2</w:t>
            </w:r>
            <w:r>
              <w:rPr>
                <w:color w:val="auto"/>
                <w:sz w:val="24"/>
              </w:rPr>
              <w:t>m，剥离土方量</w:t>
            </w:r>
            <w:r>
              <w:rPr>
                <w:rFonts w:hint="eastAsia"/>
                <w:color w:val="auto"/>
                <w:sz w:val="24"/>
              </w:rPr>
              <w:t>为1110m³</w:t>
            </w:r>
            <w:r>
              <w:rPr>
                <w:color w:val="auto"/>
                <w:sz w:val="24"/>
              </w:rPr>
              <w:t>。剥离的表土就近集中堆放在工业场地内，待施工结束后用于工业场地绿化覆土。</w:t>
            </w:r>
          </w:p>
          <w:p w14:paraId="0414015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浆砌石截排水沟：在工业场地北侧边坡顶部布设排水沟，</w:t>
            </w:r>
            <w:r>
              <w:rPr>
                <w:rFonts w:hint="eastAsia"/>
                <w:color w:val="auto"/>
                <w:sz w:val="24"/>
              </w:rPr>
              <w:t>排水沟长200m，宽0.4m，深0.4m，水沟沟壁和沟底厚300mm；</w:t>
            </w:r>
            <w:r>
              <w:rPr>
                <w:color w:val="auto"/>
                <w:sz w:val="24"/>
              </w:rPr>
              <w:t>排水沟出口处布设</w:t>
            </w:r>
            <w:r>
              <w:rPr>
                <w:rFonts w:hint="eastAsia"/>
                <w:color w:val="auto"/>
                <w:sz w:val="24"/>
              </w:rPr>
              <w:t>2座</w:t>
            </w:r>
            <w:r>
              <w:rPr>
                <w:color w:val="auto"/>
                <w:sz w:val="24"/>
              </w:rPr>
              <w:t>消力池</w:t>
            </w:r>
            <w:r>
              <w:rPr>
                <w:rFonts w:hint="eastAsia"/>
                <w:color w:val="auto"/>
                <w:sz w:val="24"/>
              </w:rPr>
              <w:t>，消力池容积均为1.6m</w:t>
            </w:r>
            <w:r>
              <w:rPr>
                <w:rFonts w:hint="eastAsia"/>
                <w:color w:val="auto"/>
                <w:sz w:val="24"/>
                <w:vertAlign w:val="superscript"/>
              </w:rPr>
              <w:t>3</w:t>
            </w:r>
            <w:r>
              <w:rPr>
                <w:rFonts w:hint="eastAsia"/>
                <w:color w:val="auto"/>
                <w:sz w:val="24"/>
              </w:rPr>
              <w:t>（长2.5m×宽0.8m×深0.8m）</w:t>
            </w:r>
            <w:r>
              <w:rPr>
                <w:color w:val="auto"/>
                <w:sz w:val="24"/>
              </w:rPr>
              <w:t>。</w:t>
            </w:r>
          </w:p>
          <w:p w14:paraId="29C2BA5A">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表土回覆：施工结束后，对工业场地规划的绿化区域进行表土回覆。</w:t>
            </w:r>
          </w:p>
          <w:p w14:paraId="0DC6C567">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土地平整：施工结束后，对工业场地规划的绿化区域进行土地平整。</w:t>
            </w:r>
            <w:r>
              <w:rPr>
                <w:snapToGrid w:val="0"/>
                <w:color w:val="auto"/>
                <w:kern w:val="0"/>
                <w:sz w:val="24"/>
              </w:rPr>
              <w:t>土地整治的主要工作内容为场地平整、清理垃圾杂物、松土</w:t>
            </w:r>
            <w:r>
              <w:rPr>
                <w:rFonts w:hint="eastAsia"/>
                <w:snapToGrid w:val="0"/>
                <w:color w:val="auto"/>
                <w:kern w:val="0"/>
                <w:sz w:val="24"/>
              </w:rPr>
              <w:t>、覆土</w:t>
            </w:r>
            <w:r>
              <w:rPr>
                <w:snapToGrid w:val="0"/>
                <w:color w:val="auto"/>
                <w:kern w:val="0"/>
                <w:sz w:val="24"/>
              </w:rPr>
              <w:t>等，土地整治面积</w:t>
            </w:r>
            <w:r>
              <w:rPr>
                <w:rFonts w:hint="eastAsia"/>
                <w:snapToGrid w:val="0"/>
                <w:color w:val="auto"/>
                <w:kern w:val="0"/>
                <w:sz w:val="24"/>
              </w:rPr>
              <w:t>0.37</w:t>
            </w:r>
            <w:r>
              <w:rPr>
                <w:snapToGrid w:val="0"/>
                <w:color w:val="auto"/>
                <w:kern w:val="0"/>
                <w:sz w:val="24"/>
              </w:rPr>
              <w:t>hm²，整治厚度0.</w:t>
            </w:r>
            <w:r>
              <w:rPr>
                <w:rFonts w:hint="eastAsia"/>
                <w:snapToGrid w:val="0"/>
                <w:color w:val="auto"/>
                <w:kern w:val="0"/>
                <w:sz w:val="24"/>
              </w:rPr>
              <w:t>30</w:t>
            </w:r>
            <w:r>
              <w:rPr>
                <w:snapToGrid w:val="0"/>
                <w:color w:val="auto"/>
                <w:kern w:val="0"/>
                <w:sz w:val="24"/>
              </w:rPr>
              <w:t>m，共整治土方</w:t>
            </w:r>
            <w:r>
              <w:rPr>
                <w:rFonts w:hint="eastAsia"/>
                <w:snapToGrid w:val="0"/>
                <w:color w:val="auto"/>
                <w:kern w:val="0"/>
                <w:sz w:val="24"/>
              </w:rPr>
              <w:t>1110</w:t>
            </w:r>
            <w:r>
              <w:rPr>
                <w:snapToGrid w:val="0"/>
                <w:color w:val="auto"/>
                <w:kern w:val="0"/>
                <w:sz w:val="24"/>
              </w:rPr>
              <w:t>m³。</w:t>
            </w:r>
          </w:p>
          <w:p w14:paraId="4EE5E10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②植物措施</w:t>
            </w:r>
          </w:p>
          <w:p w14:paraId="47C92DB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rFonts w:hint="eastAsia"/>
                <w:color w:val="auto"/>
                <w:sz w:val="24"/>
              </w:rPr>
              <w:t>边坡防护：四周边坡防护区及围墙外扰动区在施工完成后进行撒播紫花苜蓿和草木樨绿化，绿化面积0.23hm²，共撒播紫花苜蓿</w:t>
            </w:r>
            <w:r>
              <w:rPr>
                <w:rFonts w:hint="eastAsia"/>
                <w:color w:val="auto"/>
                <w:sz w:val="24"/>
                <w:lang w:val="en-US" w:eastAsia="zh-CN"/>
              </w:rPr>
              <w:t>和</w:t>
            </w:r>
            <w:r>
              <w:rPr>
                <w:rFonts w:hint="eastAsia"/>
                <w:color w:val="auto"/>
                <w:sz w:val="24"/>
              </w:rPr>
              <w:t>草木樨</w:t>
            </w:r>
            <w:r>
              <w:rPr>
                <w:rFonts w:hint="eastAsia"/>
                <w:color w:val="auto"/>
                <w:sz w:val="24"/>
                <w:lang w:val="en-US" w:eastAsia="zh-CN"/>
              </w:rPr>
              <w:t>各</w:t>
            </w:r>
            <w:r>
              <w:rPr>
                <w:rFonts w:hint="eastAsia"/>
                <w:color w:val="auto"/>
                <w:sz w:val="24"/>
              </w:rPr>
              <w:t>3.45kg。撒播草籽比例为1:1，播种量为30kg/hm²。</w:t>
            </w:r>
          </w:p>
          <w:p w14:paraId="029D3F16">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场地绿化：绿化区布设在工业场地西侧靠围墙边，施工完成后进行撒播紫花苜蓿和草木樨绿化，绿化面积</w:t>
            </w:r>
            <w:r>
              <w:rPr>
                <w:rFonts w:hint="eastAsia"/>
                <w:color w:val="auto"/>
                <w:sz w:val="24"/>
              </w:rPr>
              <w:t>0.14h</w:t>
            </w:r>
            <w:r>
              <w:rPr>
                <w:color w:val="auto"/>
                <w:sz w:val="24"/>
              </w:rPr>
              <w:t>m²，共撒播紫花苜蓿</w:t>
            </w:r>
            <w:r>
              <w:rPr>
                <w:rFonts w:hint="eastAsia"/>
                <w:color w:val="auto"/>
                <w:sz w:val="24"/>
                <w:lang w:val="en-US" w:eastAsia="zh-CN"/>
              </w:rPr>
              <w:t>和</w:t>
            </w:r>
            <w:r>
              <w:rPr>
                <w:color w:val="auto"/>
                <w:sz w:val="24"/>
              </w:rPr>
              <w:t>草木樨</w:t>
            </w:r>
            <w:r>
              <w:rPr>
                <w:rFonts w:hint="eastAsia"/>
                <w:color w:val="auto"/>
                <w:sz w:val="24"/>
                <w:lang w:val="en-US" w:eastAsia="zh-CN"/>
              </w:rPr>
              <w:t>各</w:t>
            </w:r>
            <w:r>
              <w:rPr>
                <w:color w:val="auto"/>
                <w:sz w:val="24"/>
              </w:rPr>
              <w:t>2.10kg。撒播草籽比例为1:1，播种量为30kg/hm²。</w:t>
            </w:r>
          </w:p>
          <w:p w14:paraId="7DE6F0B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③临时措施</w:t>
            </w:r>
          </w:p>
          <w:p w14:paraId="08861C51">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裸露地表密目网苫盖：施工过程中，对工业场地裸露地面进行密目网苫盖，面积0.60hm²，共需密目网约6600m²。</w:t>
            </w:r>
          </w:p>
          <w:p w14:paraId="217C1B8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color w:val="auto"/>
                <w:sz w:val="24"/>
              </w:rPr>
              <w:t>表土</w:t>
            </w:r>
            <w:bookmarkStart w:id="14" w:name="_Hlk193383256"/>
            <w:r>
              <w:rPr>
                <w:color w:val="auto"/>
                <w:sz w:val="24"/>
              </w:rPr>
              <w:t>、基础回填土密目网苫盖</w:t>
            </w:r>
            <w:bookmarkEnd w:id="14"/>
            <w:r>
              <w:rPr>
                <w:color w:val="auto"/>
                <w:sz w:val="24"/>
              </w:rPr>
              <w:t>：本工程基础回填土方和剥离后表土集中堆放于工业场地内硬化空地及道路，共设置基础回填土方堆放场地1处，表土临时堆放场地1处。基础回填土方占地为0.09hm²，尺寸为30m×30m，共堆放土方2500m³，堆高不超过3m，边坡比1:1，边坡人工拍实，并采取防护网苫盖，四周用土或石块压实，基础回填土方堆土场需密目网2200m²。表土临时堆土场占地为0.04hm²，尺寸为20m×20m，共堆放表土1110m³，堆高不超过3m，边坡比1:1，边坡人工拍实，并采取防护网苫盖，四周用土或石块压实，表土临时堆场需密目网为1565m²。</w:t>
            </w:r>
          </w:p>
          <w:p w14:paraId="769366C5">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rFonts w:hint="eastAsia"/>
                <w:color w:val="auto"/>
                <w:sz w:val="24"/>
              </w:rPr>
              <w:t xml:space="preserve">（4）生态环境管理措施 </w:t>
            </w:r>
          </w:p>
          <w:p w14:paraId="199ECD50">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color w:val="auto"/>
                <w:sz w:val="24"/>
              </w:rPr>
            </w:pPr>
            <w:r>
              <w:rPr>
                <w:rFonts w:hint="eastAsia"/>
                <w:color w:val="auto"/>
                <w:sz w:val="24"/>
              </w:rPr>
              <w:t>生态环境管理是对建设项目的生态影响实施有效管理</w:t>
            </w:r>
            <w:r>
              <w:rPr>
                <w:rFonts w:hint="eastAsia"/>
                <w:color w:val="auto"/>
                <w:sz w:val="24"/>
                <w:lang w:eastAsia="zh-CN"/>
              </w:rPr>
              <w:t>，</w:t>
            </w:r>
            <w:r>
              <w:rPr>
                <w:rFonts w:hint="eastAsia"/>
                <w:color w:val="auto"/>
                <w:sz w:val="24"/>
              </w:rPr>
              <w:t>是其日常工作的一个重要组成部分。对本项目而言，要使得各项措施得以顺利落实，还必须加强管理，具体措施如下：</w:t>
            </w:r>
          </w:p>
          <w:p w14:paraId="6F8B852D">
            <w:pPr>
              <w:spacing w:line="500" w:lineRule="exact"/>
              <w:ind w:firstLine="480" w:firstLineChars="200"/>
              <w:rPr>
                <w:color w:val="auto"/>
                <w:sz w:val="24"/>
              </w:rPr>
            </w:pPr>
            <w:r>
              <w:rPr>
                <w:color w:val="auto"/>
                <w:sz w:val="24"/>
              </w:rPr>
              <w:t>①要求</w:t>
            </w:r>
            <w:r>
              <w:rPr>
                <w:rFonts w:hint="eastAsia"/>
                <w:color w:val="auto"/>
                <w:sz w:val="24"/>
              </w:rPr>
              <w:t>李家壕</w:t>
            </w:r>
            <w:r>
              <w:rPr>
                <w:color w:val="auto"/>
                <w:sz w:val="24"/>
              </w:rPr>
              <w:t>煤矿加强对</w:t>
            </w:r>
            <w:r>
              <w:rPr>
                <w:rFonts w:hint="eastAsia"/>
                <w:color w:val="auto"/>
                <w:sz w:val="24"/>
              </w:rPr>
              <w:t>新</w:t>
            </w:r>
            <w:r>
              <w:rPr>
                <w:rFonts w:hint="eastAsia"/>
                <w:color w:val="auto"/>
                <w:sz w:val="24"/>
                <w:lang w:val="en-US" w:eastAsia="zh-CN"/>
              </w:rPr>
              <w:t>建</w:t>
            </w:r>
            <w:r>
              <w:rPr>
                <w:rFonts w:hint="eastAsia"/>
                <w:color w:val="auto"/>
                <w:sz w:val="24"/>
              </w:rPr>
              <w:t>风井</w:t>
            </w:r>
            <w:r>
              <w:rPr>
                <w:color w:val="auto"/>
                <w:sz w:val="24"/>
              </w:rPr>
              <w:t xml:space="preserve">场地的生态治理，严格保证各项绿化和生态恢复措施的实施，为确保植树种草的成活率，翌年应实地检查，对死苗及时补种，病害苗及时打药后移除。 </w:t>
            </w:r>
          </w:p>
          <w:p w14:paraId="2A85DF23">
            <w:pPr>
              <w:spacing w:line="500" w:lineRule="exact"/>
              <w:ind w:firstLine="480" w:firstLineChars="200"/>
              <w:rPr>
                <w:color w:val="auto"/>
                <w:sz w:val="24"/>
              </w:rPr>
            </w:pPr>
            <w:r>
              <w:rPr>
                <w:color w:val="auto"/>
                <w:sz w:val="24"/>
              </w:rPr>
              <w:t>②严格实施</w:t>
            </w:r>
            <w:r>
              <w:rPr>
                <w:rFonts w:hint="eastAsia"/>
                <w:color w:val="auto"/>
                <w:sz w:val="24"/>
              </w:rPr>
              <w:t>李家壕</w:t>
            </w:r>
            <w:r>
              <w:rPr>
                <w:color w:val="auto"/>
                <w:sz w:val="24"/>
              </w:rPr>
              <w:t>煤矿各项水土保持措施，确保</w:t>
            </w:r>
            <w:r>
              <w:rPr>
                <w:rFonts w:hint="eastAsia"/>
                <w:color w:val="auto"/>
                <w:sz w:val="24"/>
              </w:rPr>
              <w:t>新</w:t>
            </w:r>
            <w:r>
              <w:rPr>
                <w:rFonts w:hint="eastAsia"/>
                <w:color w:val="auto"/>
                <w:sz w:val="24"/>
                <w:lang w:val="en-US" w:eastAsia="zh-CN"/>
              </w:rPr>
              <w:t>建</w:t>
            </w:r>
            <w:r>
              <w:rPr>
                <w:rFonts w:hint="eastAsia"/>
                <w:color w:val="auto"/>
                <w:sz w:val="24"/>
              </w:rPr>
              <w:t>风井</w:t>
            </w:r>
            <w:r>
              <w:rPr>
                <w:color w:val="auto"/>
                <w:sz w:val="24"/>
              </w:rPr>
              <w:t xml:space="preserve">场地排水沟、防护设施等严格按照设计要求，保质保量完成。 </w:t>
            </w:r>
          </w:p>
          <w:p w14:paraId="7F218DD3">
            <w:pPr>
              <w:spacing w:line="500" w:lineRule="exact"/>
              <w:ind w:firstLine="480" w:firstLineChars="200"/>
              <w:rPr>
                <w:color w:val="auto"/>
                <w:sz w:val="24"/>
              </w:rPr>
            </w:pPr>
            <w:r>
              <w:rPr>
                <w:color w:val="auto"/>
                <w:sz w:val="24"/>
              </w:rPr>
              <w:t xml:space="preserve">③制定生态管理方案，定期检查，发现问题要及时处理，必要时呈报上级主管部门及时处理。 </w:t>
            </w:r>
          </w:p>
          <w:p w14:paraId="3109FD05">
            <w:pPr>
              <w:spacing w:line="500" w:lineRule="exact"/>
              <w:ind w:firstLine="480" w:firstLineChars="200"/>
              <w:rPr>
                <w:color w:val="auto"/>
                <w:sz w:val="24"/>
              </w:rPr>
            </w:pPr>
            <w:r>
              <w:rPr>
                <w:color w:val="auto"/>
                <w:sz w:val="24"/>
              </w:rPr>
              <w:t>此外，建设单位必须加强对施工单位的监督管理，按照环境管理规章制度，对施工单位进行经常性检查、监督，查看施工单位落实环境保护措施的情况。</w:t>
            </w:r>
          </w:p>
          <w:p w14:paraId="6F281604">
            <w:pPr>
              <w:spacing w:line="500" w:lineRule="exact"/>
              <w:ind w:firstLine="482" w:firstLineChars="200"/>
              <w:rPr>
                <w:b/>
                <w:bCs/>
                <w:color w:val="auto"/>
                <w:sz w:val="24"/>
              </w:rPr>
            </w:pPr>
            <w:r>
              <w:rPr>
                <w:rFonts w:hint="eastAsia"/>
                <w:b/>
                <w:bCs/>
                <w:color w:val="auto"/>
                <w:sz w:val="24"/>
              </w:rPr>
              <w:t>2、大气环境保护措施</w:t>
            </w:r>
          </w:p>
          <w:p w14:paraId="05B3FA0D">
            <w:pPr>
              <w:snapToGrid w:val="0"/>
              <w:spacing w:line="500" w:lineRule="exact"/>
              <w:ind w:firstLine="480" w:firstLineChars="200"/>
              <w:rPr>
                <w:rFonts w:hint="eastAsia" w:eastAsia="宋体"/>
                <w:color w:val="auto"/>
                <w:sz w:val="24"/>
                <w:highlight w:val="none"/>
                <w:lang w:eastAsia="zh-CN"/>
              </w:rPr>
            </w:pPr>
            <w:r>
              <w:rPr>
                <w:rFonts w:hint="eastAsia"/>
                <w:color w:val="auto"/>
                <w:sz w:val="24"/>
                <w:highlight w:val="none"/>
              </w:rPr>
              <w:t>（</w:t>
            </w:r>
            <w:r>
              <w:rPr>
                <w:color w:val="auto"/>
                <w:sz w:val="24"/>
                <w:highlight w:val="none"/>
              </w:rPr>
              <w:t>1）施工扬尘治理措施</w:t>
            </w:r>
          </w:p>
          <w:p w14:paraId="713EF13E">
            <w:pPr>
              <w:snapToGrid w:val="0"/>
              <w:spacing w:line="500" w:lineRule="exact"/>
              <w:ind w:firstLine="480" w:firstLineChars="200"/>
              <w:rPr>
                <w:color w:val="auto"/>
                <w:spacing w:val="-1"/>
                <w:sz w:val="24"/>
              </w:rPr>
            </w:pPr>
            <w:r>
              <w:rPr>
                <w:color w:val="auto"/>
                <w:sz w:val="24"/>
              </w:rPr>
              <w:t>①</w:t>
            </w:r>
            <w:r>
              <w:rPr>
                <w:color w:val="auto"/>
                <w:spacing w:val="-1"/>
                <w:sz w:val="24"/>
              </w:rPr>
              <w:t>施工工地周围应当按照有关规定设置连续、密闭的围挡</w:t>
            </w:r>
            <w:r>
              <w:rPr>
                <w:rFonts w:hint="eastAsia"/>
                <w:color w:val="auto"/>
              </w:rPr>
              <w:t>，</w:t>
            </w:r>
            <w:r>
              <w:rPr>
                <w:rFonts w:hint="eastAsia"/>
                <w:color w:val="auto"/>
                <w:spacing w:val="-1"/>
                <w:sz w:val="24"/>
              </w:rPr>
              <w:t>围挡高度不低于2.5m。</w:t>
            </w:r>
          </w:p>
          <w:p w14:paraId="7911B96C">
            <w:pPr>
              <w:snapToGrid w:val="0"/>
              <w:spacing w:line="500" w:lineRule="exact"/>
              <w:ind w:firstLine="480" w:firstLineChars="200"/>
              <w:rPr>
                <w:color w:val="auto"/>
                <w:sz w:val="24"/>
              </w:rPr>
            </w:pPr>
            <w:r>
              <w:rPr>
                <w:color w:val="auto"/>
                <w:sz w:val="24"/>
              </w:rPr>
              <w:t xml:space="preserve">②施工现场裸露场地采用抑尘网覆盖，并随时洒水抑尘； </w:t>
            </w:r>
          </w:p>
          <w:p w14:paraId="6AF8CD22">
            <w:pPr>
              <w:snapToGrid w:val="0"/>
              <w:spacing w:line="500" w:lineRule="exact"/>
              <w:ind w:firstLine="480" w:firstLineChars="200"/>
              <w:rPr>
                <w:color w:val="auto"/>
                <w:sz w:val="24"/>
              </w:rPr>
            </w:pPr>
            <w:r>
              <w:rPr>
                <w:color w:val="auto"/>
                <w:sz w:val="24"/>
              </w:rPr>
              <w:t xml:space="preserve">③运输建筑材料的车辆严禁超载，运输颗粒物料沙土等车辆必须采取加盖篷布等防尘措施，防止物料沿途抛撒导致二次扬尘。车辆应按照批准的路线和时间进行物料等的运输；施工现场设置洒水车，对施工现场和进场道路进行定期洒水，保持地面湿度，在无雨日的上下午各洒水两次，减少二次扬尘产生。 </w:t>
            </w:r>
          </w:p>
          <w:p w14:paraId="0F3F6AF6">
            <w:pPr>
              <w:snapToGrid w:val="0"/>
              <w:spacing w:line="500" w:lineRule="exact"/>
              <w:ind w:firstLine="480" w:firstLineChars="200"/>
              <w:rPr>
                <w:color w:val="auto"/>
                <w:sz w:val="24"/>
              </w:rPr>
            </w:pPr>
            <w:r>
              <w:rPr>
                <w:color w:val="auto"/>
                <w:sz w:val="24"/>
              </w:rPr>
              <w:t>④土方作业，采取洒水抑尘措施，缩短起尘操作时间；气象预报风速达到四级以上或者出现重污染天气状况时，应停止土石方作业工程施工；在施工中要加强管理、切实落实好以上措施。</w:t>
            </w:r>
          </w:p>
          <w:p w14:paraId="09071374">
            <w:pPr>
              <w:snapToGrid w:val="0"/>
              <w:spacing w:line="500" w:lineRule="exact"/>
              <w:ind w:firstLine="480" w:firstLineChars="200"/>
              <w:rPr>
                <w:color w:val="auto"/>
                <w:sz w:val="24"/>
              </w:rPr>
            </w:pPr>
            <w:r>
              <w:rPr>
                <w:color w:val="auto"/>
                <w:sz w:val="24"/>
              </w:rPr>
              <w:t>⑤施工现场各类建材应进料有序，原则上不超过一周的施工用料。建材堆放应设置标牌，实现分类堆放。建材堆放应当整齐有序，无场外堆放物料现象，禁止露天敞开堆放易扬尘性建筑施工材料。</w:t>
            </w:r>
            <w:r>
              <w:rPr>
                <w:rFonts w:hint="eastAsia"/>
                <w:color w:val="auto"/>
                <w:sz w:val="24"/>
                <w:lang w:eastAsia="zh-CN"/>
              </w:rPr>
              <w:t>施工场地</w:t>
            </w:r>
            <w:r>
              <w:rPr>
                <w:color w:val="auto"/>
                <w:sz w:val="24"/>
              </w:rPr>
              <w:t>内堆放的粉状物料堆场采取封闭措施，其他工程材料、砂石、土方等易产生扬尘的物料应当采取覆盖防尘网或者防尘布等措施</w:t>
            </w:r>
            <w:r>
              <w:rPr>
                <w:rFonts w:hint="eastAsia"/>
                <w:color w:val="auto"/>
                <w:sz w:val="24"/>
              </w:rPr>
              <w:t>。</w:t>
            </w:r>
          </w:p>
          <w:p w14:paraId="0E8C66DB">
            <w:pPr>
              <w:snapToGrid w:val="0"/>
              <w:spacing w:line="480" w:lineRule="exact"/>
              <w:ind w:firstLine="480" w:firstLineChars="200"/>
              <w:rPr>
                <w:color w:val="auto"/>
                <w:sz w:val="24"/>
              </w:rPr>
            </w:pPr>
            <w:r>
              <w:rPr>
                <w:color w:val="auto"/>
                <w:sz w:val="24"/>
              </w:rPr>
              <w:t>⑥施工期开挖土方集中堆存，临时堆土进行拦挡、苫盖防护，减少堆存量、减短堆存时间，施工期对表土进行剥离，堆放于</w:t>
            </w:r>
            <w:r>
              <w:rPr>
                <w:rFonts w:hint="eastAsia"/>
                <w:color w:val="auto"/>
                <w:sz w:val="24"/>
              </w:rPr>
              <w:t>堆场</w:t>
            </w:r>
            <w:r>
              <w:rPr>
                <w:color w:val="auto"/>
                <w:sz w:val="24"/>
              </w:rPr>
              <w:t>，最终用于植被恢复用土。施工结束后及时进行土地平整及植被恢复。</w:t>
            </w:r>
          </w:p>
          <w:p w14:paraId="01E8E90F">
            <w:pPr>
              <w:snapToGrid w:val="0"/>
              <w:spacing w:line="480" w:lineRule="exact"/>
              <w:ind w:firstLine="480" w:firstLineChars="200"/>
              <w:rPr>
                <w:color w:val="auto"/>
                <w:sz w:val="24"/>
              </w:rPr>
            </w:pPr>
            <w:r>
              <w:rPr>
                <w:rFonts w:hint="eastAsia"/>
                <w:color w:val="auto"/>
                <w:sz w:val="24"/>
              </w:rPr>
              <w:t>⑦施工单位文明施工，做好洒水抑尘工作，对撒落在路面的渣土及时清除，清理阶段做到先洒水后清扫，确保不会对周围居民造成影响。</w:t>
            </w:r>
          </w:p>
          <w:p w14:paraId="63EA194C">
            <w:pPr>
              <w:widowControl/>
              <w:spacing w:line="480" w:lineRule="exact"/>
              <w:ind w:firstLine="480" w:firstLineChars="200"/>
              <w:rPr>
                <w:rFonts w:hint="eastAsia"/>
                <w:color w:val="auto"/>
                <w:kern w:val="0"/>
                <w:sz w:val="24"/>
              </w:rPr>
            </w:pPr>
            <w:r>
              <w:rPr>
                <w:rFonts w:hint="eastAsia"/>
                <w:color w:val="auto"/>
                <w:kern w:val="0"/>
                <w:sz w:val="24"/>
              </w:rPr>
              <w:t>⑧</w:t>
            </w:r>
            <w:r>
              <w:rPr>
                <w:rFonts w:hint="eastAsia"/>
                <w:color w:val="auto"/>
                <w:sz w:val="24"/>
                <w:lang w:val="en-US" w:eastAsia="zh-CN"/>
              </w:rPr>
              <w:t>井巷施工产生的少量煤尘，采用湿法作业，湿式钻孔、湿式钻眼等防尘措施。</w:t>
            </w:r>
          </w:p>
          <w:p w14:paraId="23683489">
            <w:pPr>
              <w:widowControl/>
              <w:spacing w:line="480" w:lineRule="exact"/>
              <w:ind w:firstLine="480" w:firstLineChars="200"/>
              <w:rPr>
                <w:color w:val="auto"/>
                <w:kern w:val="0"/>
                <w:sz w:val="24"/>
              </w:rPr>
            </w:pPr>
            <w:r>
              <w:rPr>
                <w:rFonts w:hint="eastAsia"/>
                <w:color w:val="auto"/>
                <w:kern w:val="0"/>
                <w:sz w:val="24"/>
              </w:rPr>
              <w:t>（</w:t>
            </w:r>
            <w:r>
              <w:rPr>
                <w:color w:val="auto"/>
                <w:kern w:val="0"/>
                <w:sz w:val="24"/>
              </w:rPr>
              <w:t>2）施工机械与运输车辆</w:t>
            </w:r>
            <w:r>
              <w:rPr>
                <w:color w:val="auto"/>
                <w:sz w:val="24"/>
              </w:rPr>
              <w:t>尾气</w:t>
            </w:r>
          </w:p>
          <w:p w14:paraId="3D8177AA">
            <w:pPr>
              <w:widowControl/>
              <w:spacing w:line="480" w:lineRule="exact"/>
              <w:ind w:firstLine="480" w:firstLineChars="200"/>
              <w:rPr>
                <w:color w:val="auto"/>
                <w:kern w:val="0"/>
                <w:sz w:val="24"/>
              </w:rPr>
            </w:pPr>
            <w:r>
              <w:rPr>
                <w:color w:val="auto"/>
                <w:kern w:val="0"/>
                <w:sz w:val="24"/>
              </w:rPr>
              <w:t>对于施工机械与车辆产生的</w:t>
            </w:r>
            <w:r>
              <w:rPr>
                <w:color w:val="auto"/>
                <w:sz w:val="24"/>
              </w:rPr>
              <w:t>尾气采取以下措施，</w:t>
            </w:r>
            <w:r>
              <w:rPr>
                <w:color w:val="auto"/>
                <w:kern w:val="0"/>
                <w:sz w:val="24"/>
              </w:rPr>
              <w:t>施工期</w:t>
            </w:r>
            <w:r>
              <w:rPr>
                <w:rFonts w:hint="eastAsia"/>
                <w:color w:val="auto"/>
                <w:kern w:val="0"/>
                <w:sz w:val="24"/>
              </w:rPr>
              <w:t>间</w:t>
            </w:r>
            <w:r>
              <w:rPr>
                <w:color w:val="auto"/>
                <w:kern w:val="0"/>
                <w:sz w:val="24"/>
              </w:rPr>
              <w:t>各机械设备必须使用满足标准的油品，不得使用低于国家阶段性排放标准的汽油和柴油；在施工过程中采取控制速度，缩短怠速、减速和加速的时间；加强车辆及施工机械的维护保养，保证不排放黑烟；做好车辆疏导，减轻塞车或车速</w:t>
            </w:r>
            <w:r>
              <w:rPr>
                <w:rFonts w:hint="eastAsia"/>
                <w:color w:val="auto"/>
                <w:kern w:val="0"/>
                <w:sz w:val="24"/>
                <w:lang w:val="en-US" w:eastAsia="zh-CN"/>
              </w:rPr>
              <w:t>降低</w:t>
            </w:r>
            <w:r>
              <w:rPr>
                <w:color w:val="auto"/>
                <w:kern w:val="0"/>
                <w:sz w:val="24"/>
              </w:rPr>
              <w:t>带来的尾气污染；在加强施工机械和运输车辆管理和合理安排调度作业的前提下，燃油废气对环境空气质量基本无影响。</w:t>
            </w:r>
          </w:p>
          <w:p w14:paraId="71F8E9C5">
            <w:pPr>
              <w:widowControl/>
              <w:spacing w:line="480" w:lineRule="exact"/>
              <w:ind w:firstLine="480" w:firstLineChars="200"/>
              <w:rPr>
                <w:color w:val="auto"/>
                <w:sz w:val="24"/>
              </w:rPr>
            </w:pPr>
            <w:r>
              <w:rPr>
                <w:color w:val="auto"/>
                <w:sz w:val="24"/>
              </w:rPr>
              <w:t>总之，项目施工期扬尘对周围空气环境有一定的影响，但是由于施工期是暂时的，影响也是短暂的，随着项目施工的</w:t>
            </w:r>
            <w:r>
              <w:rPr>
                <w:rFonts w:hint="eastAsia"/>
                <w:color w:val="auto"/>
                <w:sz w:val="24"/>
                <w:lang w:val="en-US" w:eastAsia="zh-CN"/>
              </w:rPr>
              <w:t>结束</w:t>
            </w:r>
            <w:r>
              <w:rPr>
                <w:color w:val="auto"/>
                <w:sz w:val="24"/>
              </w:rPr>
              <w:t>，施工期大气环境影响也将随之消失。</w:t>
            </w:r>
          </w:p>
          <w:p w14:paraId="347E6982">
            <w:pPr>
              <w:pStyle w:val="44"/>
              <w:tabs>
                <w:tab w:val="left" w:pos="425"/>
              </w:tabs>
              <w:spacing w:line="480" w:lineRule="exact"/>
              <w:ind w:firstLine="482"/>
              <w:rPr>
                <w:b/>
                <w:color w:val="auto"/>
              </w:rPr>
            </w:pPr>
            <w:r>
              <w:rPr>
                <w:rFonts w:hint="eastAsia"/>
                <w:b/>
                <w:color w:val="auto"/>
              </w:rPr>
              <w:t>3</w:t>
            </w:r>
            <w:r>
              <w:rPr>
                <w:b/>
                <w:color w:val="auto"/>
              </w:rPr>
              <w:t>、水环境保护措施</w:t>
            </w:r>
          </w:p>
          <w:p w14:paraId="42844B38">
            <w:pPr>
              <w:snapToGrid w:val="0"/>
              <w:spacing w:line="480" w:lineRule="exact"/>
              <w:ind w:firstLine="480" w:firstLineChars="200"/>
              <w:rPr>
                <w:rFonts w:hint="eastAsia" w:eastAsia="宋体"/>
                <w:bCs/>
                <w:color w:val="auto"/>
                <w:sz w:val="24"/>
                <w:lang w:eastAsia="zh-CN"/>
              </w:rPr>
            </w:pPr>
            <w:r>
              <w:rPr>
                <w:bCs/>
                <w:color w:val="auto"/>
                <w:sz w:val="24"/>
              </w:rPr>
              <w:t>本项目施工期施工人员产生的生活污水</w:t>
            </w:r>
            <w:r>
              <w:rPr>
                <w:color w:val="auto"/>
                <w:spacing w:val="-3"/>
                <w:sz w:val="24"/>
              </w:rPr>
              <w:t>在施工场地</w:t>
            </w:r>
            <w:r>
              <w:rPr>
                <w:rFonts w:hint="eastAsia"/>
                <w:color w:val="auto"/>
                <w:spacing w:val="-3"/>
                <w:sz w:val="24"/>
              </w:rPr>
              <w:t>设置临时化粪池，</w:t>
            </w:r>
            <w:r>
              <w:rPr>
                <w:color w:val="auto"/>
                <w:sz w:val="24"/>
              </w:rPr>
              <w:t>定期由吸粪车输送至工业场地既有生活污水处理站统一处理后回用，</w:t>
            </w:r>
            <w:r>
              <w:rPr>
                <w:rFonts w:hint="eastAsia"/>
                <w:color w:val="auto"/>
                <w:sz w:val="24"/>
              </w:rPr>
              <w:t>不外排</w:t>
            </w:r>
            <w:r>
              <w:rPr>
                <w:bCs/>
                <w:color w:val="auto"/>
                <w:sz w:val="24"/>
              </w:rPr>
              <w:t>，对环境影响较小</w:t>
            </w:r>
            <w:r>
              <w:rPr>
                <w:rFonts w:hint="eastAsia"/>
                <w:bCs/>
                <w:color w:val="auto"/>
                <w:sz w:val="24"/>
                <w:lang w:eastAsia="zh-CN"/>
              </w:rPr>
              <w:t>。</w:t>
            </w:r>
          </w:p>
          <w:p w14:paraId="31CDB7F1">
            <w:pPr>
              <w:snapToGrid w:val="0"/>
              <w:spacing w:line="480" w:lineRule="exact"/>
              <w:ind w:firstLine="480" w:firstLineChars="200"/>
              <w:rPr>
                <w:bCs/>
                <w:color w:val="auto"/>
                <w:sz w:val="24"/>
              </w:rPr>
            </w:pPr>
            <w:r>
              <w:rPr>
                <w:bCs/>
                <w:color w:val="auto"/>
                <w:sz w:val="24"/>
              </w:rPr>
              <w:t>施工期废水主要污染物为SS，施工场地内设置</w:t>
            </w:r>
            <w:r>
              <w:rPr>
                <w:rFonts w:hint="eastAsia"/>
                <w:bCs/>
                <w:color w:val="auto"/>
                <w:sz w:val="24"/>
                <w:lang w:val="en-US" w:eastAsia="zh-CN"/>
              </w:rPr>
              <w:t>临时</w:t>
            </w:r>
            <w:r>
              <w:rPr>
                <w:bCs/>
                <w:color w:val="auto"/>
                <w:sz w:val="24"/>
              </w:rPr>
              <w:t>沉淀池，施工生产废水经沉淀池处理后循环利用，对地表水环境影响小。</w:t>
            </w:r>
          </w:p>
          <w:p w14:paraId="3FEC0268">
            <w:pPr>
              <w:pStyle w:val="55"/>
              <w:spacing w:line="480" w:lineRule="exact"/>
              <w:ind w:firstLine="480"/>
              <w:rPr>
                <w:rFonts w:hint="eastAsia" w:ascii="Times New Roman" w:hAnsi="Times New Roman" w:eastAsia="宋体" w:cs="Times New Roman"/>
                <w:color w:val="auto"/>
                <w:szCs w:val="24"/>
                <w:lang w:eastAsia="zh-CN"/>
              </w:rPr>
            </w:pPr>
            <w:r>
              <w:rPr>
                <w:rFonts w:hint="eastAsia" w:ascii="Times New Roman" w:hAnsi="Times New Roman" w:eastAsia="宋体" w:cs="Times New Roman"/>
                <w:color w:val="auto"/>
                <w:szCs w:val="24"/>
                <w:lang w:eastAsia="zh-CN"/>
              </w:rPr>
              <w:t>井筒掘进涌水</w:t>
            </w:r>
            <w:r>
              <w:rPr>
                <w:rFonts w:hint="eastAsia" w:cs="Times New Roman"/>
                <w:color w:val="auto"/>
                <w:szCs w:val="24"/>
              </w:rPr>
              <w:t>：</w:t>
            </w:r>
            <w:r>
              <w:rPr>
                <w:rFonts w:hint="eastAsia" w:ascii="Times New Roman" w:hAnsi="Times New Roman" w:eastAsia="宋体" w:cs="Times New Roman"/>
                <w:color w:val="auto"/>
                <w:szCs w:val="24"/>
              </w:rPr>
              <w:t>井筒掘进在特殊情况下会产生少量涌水，</w:t>
            </w:r>
            <w:r>
              <w:rPr>
                <w:rFonts w:ascii="Times New Roman" w:hAnsi="Times New Roman" w:eastAsia="宋体" w:cs="Times New Roman"/>
                <w:color w:val="auto"/>
                <w:szCs w:val="24"/>
              </w:rPr>
              <w:t>由抽水车定期集中抽排，运送至工业场地既有矿井水处理站处理后回用</w:t>
            </w:r>
            <w:r>
              <w:rPr>
                <w:rFonts w:hint="eastAsia" w:ascii="Times New Roman" w:hAnsi="Times New Roman" w:eastAsia="宋体" w:cs="Times New Roman"/>
                <w:color w:val="auto"/>
                <w:szCs w:val="24"/>
                <w:lang w:eastAsia="zh-CN"/>
              </w:rPr>
              <w:t>。</w:t>
            </w:r>
          </w:p>
          <w:p w14:paraId="49C510E6">
            <w:pPr>
              <w:snapToGrid w:val="0"/>
              <w:spacing w:line="480" w:lineRule="exact"/>
              <w:ind w:firstLine="480" w:firstLineChars="200"/>
              <w:rPr>
                <w:bCs/>
                <w:color w:val="auto"/>
                <w:sz w:val="24"/>
              </w:rPr>
            </w:pPr>
            <w:r>
              <w:rPr>
                <w:bCs/>
                <w:color w:val="auto"/>
                <w:sz w:val="24"/>
              </w:rPr>
              <w:t>经过采取上述措施后，施工期废水对当地地表水体产生影响</w:t>
            </w:r>
            <w:r>
              <w:rPr>
                <w:rFonts w:hint="eastAsia"/>
                <w:bCs/>
                <w:color w:val="auto"/>
                <w:sz w:val="24"/>
                <w:lang w:val="en-US" w:eastAsia="zh-CN"/>
              </w:rPr>
              <w:t>较</w:t>
            </w:r>
            <w:r>
              <w:rPr>
                <w:bCs/>
                <w:color w:val="auto"/>
                <w:sz w:val="24"/>
              </w:rPr>
              <w:t>小。</w:t>
            </w:r>
          </w:p>
          <w:p w14:paraId="44E456CD">
            <w:pPr>
              <w:keepNext w:val="0"/>
              <w:keepLines w:val="0"/>
              <w:pageBreakBefore w:val="0"/>
              <w:kinsoku/>
              <w:wordWrap/>
              <w:overflowPunct/>
              <w:topLinePunct w:val="0"/>
              <w:autoSpaceDE/>
              <w:autoSpaceDN/>
              <w:bidi w:val="0"/>
              <w:snapToGrid w:val="0"/>
              <w:spacing w:line="480" w:lineRule="exact"/>
              <w:ind w:firstLine="482" w:firstLineChars="200"/>
              <w:textAlignment w:val="auto"/>
              <w:rPr>
                <w:rFonts w:hint="eastAsia"/>
                <w:b/>
                <w:color w:val="auto"/>
                <w:sz w:val="24"/>
              </w:rPr>
            </w:pPr>
          </w:p>
          <w:p w14:paraId="047AF221">
            <w:pPr>
              <w:keepNext w:val="0"/>
              <w:keepLines w:val="0"/>
              <w:pageBreakBefore w:val="0"/>
              <w:kinsoku/>
              <w:wordWrap/>
              <w:overflowPunct/>
              <w:topLinePunct w:val="0"/>
              <w:autoSpaceDE/>
              <w:autoSpaceDN/>
              <w:bidi w:val="0"/>
              <w:snapToGrid w:val="0"/>
              <w:spacing w:line="480" w:lineRule="exact"/>
              <w:ind w:firstLine="482" w:firstLineChars="200"/>
              <w:textAlignment w:val="auto"/>
              <w:rPr>
                <w:b/>
                <w:color w:val="auto"/>
                <w:sz w:val="24"/>
              </w:rPr>
            </w:pPr>
            <w:r>
              <w:rPr>
                <w:rFonts w:hint="eastAsia"/>
                <w:b/>
                <w:color w:val="auto"/>
                <w:sz w:val="24"/>
              </w:rPr>
              <w:t>4</w:t>
            </w:r>
            <w:r>
              <w:rPr>
                <w:b/>
                <w:color w:val="auto"/>
                <w:sz w:val="24"/>
              </w:rPr>
              <w:t>、声环境保护措施</w:t>
            </w:r>
          </w:p>
          <w:p w14:paraId="3260825D">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rFonts w:hint="eastAsia"/>
                <w:bCs/>
                <w:color w:val="auto"/>
                <w:sz w:val="24"/>
              </w:rPr>
              <w:t xml:space="preserve">本次环评建议施工单位采取噪声防治措施，对施工噪声进行控制，最大限度地减少噪声对环境的影响。应采取以下措施： </w:t>
            </w:r>
          </w:p>
          <w:p w14:paraId="2D497B11">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rFonts w:hint="eastAsia"/>
                <w:bCs/>
                <w:color w:val="auto"/>
                <w:sz w:val="24"/>
              </w:rPr>
              <w:t>（1）</w:t>
            </w:r>
            <w:r>
              <w:rPr>
                <w:rFonts w:hint="eastAsia"/>
                <w:bCs/>
                <w:color w:val="auto"/>
                <w:sz w:val="24"/>
                <w:lang w:val="en-US" w:eastAsia="zh-CN"/>
              </w:rPr>
              <w:t>加强施工管理，</w:t>
            </w:r>
            <w:r>
              <w:rPr>
                <w:color w:val="auto"/>
                <w:sz w:val="24"/>
              </w:rPr>
              <w:t>合理安排施工时间，</w:t>
            </w:r>
            <w:r>
              <w:rPr>
                <w:rFonts w:hint="eastAsia"/>
                <w:color w:val="auto"/>
                <w:sz w:val="24"/>
              </w:rPr>
              <w:t>禁止夜间（22：00～06：00）、中午（12：00-14：00）施工</w:t>
            </w:r>
            <w:r>
              <w:rPr>
                <w:rFonts w:hint="eastAsia"/>
                <w:bCs/>
                <w:color w:val="auto"/>
                <w:sz w:val="24"/>
              </w:rPr>
              <w:t xml:space="preserve">。 </w:t>
            </w:r>
          </w:p>
          <w:p w14:paraId="606E2554">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rFonts w:hint="eastAsia"/>
                <w:bCs/>
                <w:color w:val="auto"/>
                <w:sz w:val="24"/>
              </w:rPr>
              <w:t>（2）</w:t>
            </w:r>
            <w:r>
              <w:rPr>
                <w:rFonts w:hint="eastAsia"/>
                <w:bCs/>
                <w:color w:val="auto"/>
                <w:sz w:val="24"/>
                <w:lang w:val="en-US" w:eastAsia="zh-CN"/>
              </w:rPr>
              <w:t>尽可能采用低噪声的施工机械，并且经常维护保养，使施工机械设备良好运转，同时定期检验设备的噪声声级，以便有效地缩小施工期的噪声影响范围。</w:t>
            </w:r>
            <w:r>
              <w:rPr>
                <w:rFonts w:hint="eastAsia"/>
                <w:bCs/>
                <w:color w:val="auto"/>
                <w:sz w:val="24"/>
              </w:rPr>
              <w:t xml:space="preserve"> </w:t>
            </w:r>
          </w:p>
          <w:p w14:paraId="15347E9B">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rFonts w:hint="eastAsia"/>
                <w:bCs/>
                <w:color w:val="auto"/>
                <w:sz w:val="24"/>
                <w:lang w:val="en-US" w:eastAsia="zh-CN"/>
              </w:rPr>
              <w:t xml:space="preserve">（3）合理布局施工设备，高噪声设备远离敏感点，且对固定的高噪声设备进行隔声处理，在高噪声设备周围设置掩蔽物，施工现场设置彩钢板围挡，以增加噪声的衰减量，减少对周边环境的影响。 </w:t>
            </w:r>
          </w:p>
          <w:p w14:paraId="62A2E50C">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rFonts w:hint="eastAsia"/>
                <w:bCs/>
                <w:color w:val="auto"/>
                <w:sz w:val="24"/>
                <w:lang w:val="en-US" w:eastAsia="zh-CN"/>
              </w:rPr>
              <w:t>（4）运输车辆应限速、禁鸣，减少交通噪声对周边环境的影响。</w:t>
            </w:r>
          </w:p>
          <w:p w14:paraId="785FA991">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bCs/>
                <w:color w:val="auto"/>
                <w:sz w:val="24"/>
              </w:rPr>
              <w:t>随着施工期的结束，施工噪声的影响将消失，所以施工噪声对环境的不利影响是暂时的，短期的行为</w:t>
            </w:r>
            <w:r>
              <w:rPr>
                <w:rFonts w:hint="eastAsia"/>
                <w:bCs/>
                <w:color w:val="auto"/>
                <w:sz w:val="24"/>
              </w:rPr>
              <w:t>，</w:t>
            </w:r>
            <w:r>
              <w:rPr>
                <w:bCs/>
                <w:color w:val="auto"/>
                <w:sz w:val="24"/>
              </w:rPr>
              <w:t>对周围环境影响不大。</w:t>
            </w:r>
          </w:p>
          <w:p w14:paraId="5F38DF45">
            <w:pPr>
              <w:keepNext w:val="0"/>
              <w:keepLines w:val="0"/>
              <w:pageBreakBefore w:val="0"/>
              <w:kinsoku/>
              <w:wordWrap/>
              <w:overflowPunct/>
              <w:topLinePunct w:val="0"/>
              <w:autoSpaceDE/>
              <w:autoSpaceDN/>
              <w:bidi w:val="0"/>
              <w:spacing w:line="480" w:lineRule="exact"/>
              <w:ind w:firstLine="482" w:firstLineChars="200"/>
              <w:textAlignment w:val="auto"/>
              <w:rPr>
                <w:b/>
                <w:color w:val="auto"/>
                <w:sz w:val="24"/>
              </w:rPr>
            </w:pPr>
            <w:r>
              <w:rPr>
                <w:rFonts w:hint="eastAsia"/>
                <w:b/>
                <w:color w:val="auto"/>
                <w:sz w:val="24"/>
              </w:rPr>
              <w:t>5、</w:t>
            </w:r>
            <w:r>
              <w:rPr>
                <w:b/>
                <w:color w:val="auto"/>
                <w:sz w:val="24"/>
              </w:rPr>
              <w:t>固体废物</w:t>
            </w:r>
          </w:p>
          <w:p w14:paraId="1B722F4F">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本项目施工期产生的固体废物为</w:t>
            </w:r>
            <w:r>
              <w:rPr>
                <w:color w:val="auto"/>
                <w:sz w:val="24"/>
              </w:rPr>
              <w:t>施工过程中产生的</w:t>
            </w:r>
            <w:r>
              <w:rPr>
                <w:rFonts w:hint="eastAsia"/>
                <w:color w:val="auto"/>
                <w:sz w:val="24"/>
              </w:rPr>
              <w:t>弃土方、</w:t>
            </w:r>
            <w:r>
              <w:rPr>
                <w:rFonts w:hint="eastAsia" w:ascii="Times New Roman" w:hAnsi="Times New Roman" w:eastAsia="宋体" w:cs="Times New Roman"/>
                <w:b w:val="0"/>
                <w:bCs/>
                <w:color w:val="auto"/>
                <w:kern w:val="0"/>
                <w:sz w:val="24"/>
                <w:szCs w:val="24"/>
                <w:highlight w:val="none"/>
                <w:lang w:val="en-US" w:eastAsia="zh-CN" w:bidi="ar-SA"/>
              </w:rPr>
              <w:t>井巷施工产生的废弃物、</w:t>
            </w:r>
            <w:r>
              <w:rPr>
                <w:color w:val="auto"/>
                <w:sz w:val="24"/>
              </w:rPr>
              <w:t>施工人员生活垃圾</w:t>
            </w:r>
            <w:r>
              <w:rPr>
                <w:rFonts w:hint="eastAsia"/>
                <w:color w:val="auto"/>
                <w:sz w:val="24"/>
              </w:rPr>
              <w:t>、</w:t>
            </w:r>
            <w:r>
              <w:rPr>
                <w:color w:val="auto"/>
                <w:spacing w:val="-3"/>
                <w:sz w:val="24"/>
              </w:rPr>
              <w:t>建筑垃圾</w:t>
            </w:r>
            <w:r>
              <w:rPr>
                <w:color w:val="auto"/>
                <w:sz w:val="24"/>
              </w:rPr>
              <w:t>。</w:t>
            </w:r>
          </w:p>
          <w:p w14:paraId="1957FD79">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rFonts w:hint="eastAsia"/>
                <w:color w:val="auto"/>
                <w:sz w:val="24"/>
              </w:rPr>
              <w:t>（1）弃土方：</w:t>
            </w:r>
            <w:r>
              <w:rPr>
                <w:rFonts w:hint="eastAsia"/>
                <w:bCs/>
                <w:color w:val="auto"/>
                <w:kern w:val="0"/>
                <w:sz w:val="24"/>
              </w:rPr>
              <w:t>基础开挖和风井开挖产生的余方全部用于场地平整，无弃方产生。</w:t>
            </w:r>
          </w:p>
          <w:p w14:paraId="3CD4F608">
            <w:pPr>
              <w:keepNext w:val="0"/>
              <w:keepLines w:val="0"/>
              <w:pageBreakBefore w:val="0"/>
              <w:kinsoku/>
              <w:wordWrap/>
              <w:overflowPunct/>
              <w:topLinePunct w:val="0"/>
              <w:autoSpaceDE/>
              <w:autoSpaceDN/>
              <w:bidi w:val="0"/>
              <w:spacing w:line="480" w:lineRule="exact"/>
              <w:ind w:firstLine="480" w:firstLineChars="200"/>
              <w:textAlignment w:val="auto"/>
              <w:rPr>
                <w:rFonts w:hint="eastAsia" w:eastAsia="宋体"/>
                <w:bCs/>
                <w:color w:val="auto"/>
                <w:sz w:val="24"/>
                <w:lang w:eastAsia="zh-CN"/>
              </w:rPr>
            </w:pPr>
            <w:r>
              <w:rPr>
                <w:rFonts w:hint="eastAsia"/>
                <w:bCs/>
                <w:color w:val="auto"/>
                <w:sz w:val="24"/>
                <w:lang w:eastAsia="zh-CN"/>
              </w:rPr>
              <w:t>（</w:t>
            </w:r>
            <w:r>
              <w:rPr>
                <w:rFonts w:hint="eastAsia"/>
                <w:bCs/>
                <w:color w:val="auto"/>
                <w:sz w:val="24"/>
                <w:lang w:val="en-US" w:eastAsia="zh-CN"/>
              </w:rPr>
              <w:t>2</w:t>
            </w:r>
            <w:r>
              <w:rPr>
                <w:rFonts w:hint="eastAsia"/>
                <w:bCs/>
                <w:color w:val="auto"/>
                <w:sz w:val="24"/>
                <w:lang w:eastAsia="zh-CN"/>
              </w:rPr>
              <w:t>）</w:t>
            </w:r>
            <w:r>
              <w:rPr>
                <w:rFonts w:hint="eastAsia" w:ascii="Times New Roman" w:hAnsi="Times New Roman" w:eastAsia="宋体" w:cs="Times New Roman"/>
                <w:b w:val="0"/>
                <w:bCs/>
                <w:color w:val="auto"/>
                <w:kern w:val="0"/>
                <w:sz w:val="24"/>
                <w:szCs w:val="24"/>
                <w:highlight w:val="none"/>
                <w:lang w:val="en-US" w:eastAsia="zh-CN" w:bidi="ar-SA"/>
              </w:rPr>
              <w:t>井巷施工产生的废弃物：井巷施工过程产生煤、半煤岩和煤矸石。煤和半煤岩送至李家壕煤矿配套的洗煤厂进行</w:t>
            </w:r>
            <w:r>
              <w:rPr>
                <w:rFonts w:hint="eastAsia" w:ascii="宋体" w:hAnsi="宋体"/>
                <w:b w:val="0"/>
                <w:bCs w:val="0"/>
                <w:color w:val="auto"/>
                <w:sz w:val="24"/>
                <w:highlight w:val="none"/>
              </w:rPr>
              <w:t>综合利用</w:t>
            </w:r>
            <w:r>
              <w:rPr>
                <w:rFonts w:hint="eastAsia" w:ascii="Times New Roman" w:hAnsi="Times New Roman" w:eastAsia="宋体" w:cs="Times New Roman"/>
                <w:b w:val="0"/>
                <w:bCs/>
                <w:color w:val="auto"/>
                <w:kern w:val="0"/>
                <w:sz w:val="24"/>
                <w:szCs w:val="24"/>
                <w:highlight w:val="none"/>
                <w:lang w:val="en-US" w:eastAsia="zh-CN" w:bidi="ar-SA"/>
              </w:rPr>
              <w:t>，</w:t>
            </w:r>
            <w:r>
              <w:rPr>
                <w:rFonts w:hint="eastAsia" w:ascii="宋体" w:hAnsi="宋体"/>
                <w:b w:val="0"/>
                <w:bCs w:val="0"/>
                <w:color w:val="auto"/>
                <w:sz w:val="24"/>
                <w:highlight w:val="none"/>
              </w:rPr>
              <w:t>煤矸石</w:t>
            </w:r>
            <w:r>
              <w:rPr>
                <w:rFonts w:hint="eastAsia" w:ascii="宋体" w:hAnsi="宋体"/>
                <w:b w:val="0"/>
                <w:bCs w:val="0"/>
                <w:color w:val="auto"/>
                <w:sz w:val="24"/>
                <w:highlight w:val="none"/>
                <w:lang w:val="en-US" w:eastAsia="zh-CN"/>
              </w:rPr>
              <w:t>送至</w:t>
            </w:r>
            <w:r>
              <w:rPr>
                <w:rFonts w:hint="default" w:ascii="Times New Roman" w:hAnsi="Times New Roman" w:cs="Times New Roman"/>
                <w:b w:val="0"/>
                <w:bCs w:val="0"/>
                <w:color w:val="auto"/>
                <w:sz w:val="24"/>
                <w:highlight w:val="none"/>
                <w:lang w:val="en-US" w:eastAsia="zh-CN"/>
              </w:rPr>
              <w:t>鄂尔多斯市金通矿业有限公司利用煤矸石复垦露天采坑</w:t>
            </w:r>
            <w:r>
              <w:rPr>
                <w:rFonts w:hint="eastAsia" w:ascii="宋体" w:hAnsi="宋体"/>
                <w:b w:val="0"/>
                <w:bCs w:val="0"/>
                <w:color w:val="auto"/>
                <w:sz w:val="24"/>
                <w:highlight w:val="none"/>
                <w:lang w:eastAsia="zh-CN"/>
              </w:rPr>
              <w:t>。</w:t>
            </w:r>
          </w:p>
          <w:p w14:paraId="6F9A554C">
            <w:pPr>
              <w:keepNext w:val="0"/>
              <w:keepLines w:val="0"/>
              <w:pageBreakBefore w:val="0"/>
              <w:kinsoku/>
              <w:wordWrap/>
              <w:overflowPunct/>
              <w:topLinePunct w:val="0"/>
              <w:autoSpaceDE/>
              <w:autoSpaceDN/>
              <w:bidi w:val="0"/>
              <w:spacing w:line="480" w:lineRule="exact"/>
              <w:ind w:firstLine="480" w:firstLineChars="200"/>
              <w:textAlignment w:val="auto"/>
              <w:rPr>
                <w:bCs/>
                <w:color w:val="auto"/>
                <w:sz w:val="24"/>
              </w:rPr>
            </w:pPr>
            <w:r>
              <w:rPr>
                <w:rFonts w:hint="eastAsia"/>
                <w:bCs/>
                <w:color w:val="auto"/>
                <w:sz w:val="24"/>
              </w:rPr>
              <w:t>（</w:t>
            </w:r>
            <w:r>
              <w:rPr>
                <w:rFonts w:hint="eastAsia"/>
                <w:bCs/>
                <w:color w:val="auto"/>
                <w:sz w:val="24"/>
                <w:lang w:val="en-US" w:eastAsia="zh-CN"/>
              </w:rPr>
              <w:t>3</w:t>
            </w:r>
            <w:r>
              <w:rPr>
                <w:rFonts w:hint="eastAsia"/>
                <w:bCs/>
                <w:color w:val="auto"/>
                <w:sz w:val="24"/>
              </w:rPr>
              <w:t>）</w:t>
            </w:r>
            <w:r>
              <w:rPr>
                <w:bCs/>
                <w:color w:val="auto"/>
                <w:sz w:val="24"/>
              </w:rPr>
              <w:t>施工人员生活垃圾</w:t>
            </w:r>
            <w:r>
              <w:rPr>
                <w:rFonts w:hint="eastAsia"/>
                <w:bCs/>
                <w:color w:val="auto"/>
                <w:sz w:val="24"/>
              </w:rPr>
              <w:t>：</w:t>
            </w:r>
            <w:r>
              <w:rPr>
                <w:bCs/>
                <w:color w:val="auto"/>
                <w:sz w:val="24"/>
              </w:rPr>
              <w:t>设置垃圾桶收集，施工人员生活垃圾集中收集后运往当地生活垃圾收集点，交当地环卫部门处置。</w:t>
            </w:r>
          </w:p>
          <w:p w14:paraId="300A7977">
            <w:pPr>
              <w:keepNext w:val="0"/>
              <w:keepLines w:val="0"/>
              <w:pageBreakBefore w:val="0"/>
              <w:widowControl/>
              <w:kinsoku/>
              <w:wordWrap/>
              <w:overflowPunct/>
              <w:topLinePunct w:val="0"/>
              <w:autoSpaceDE/>
              <w:autoSpaceDN/>
              <w:bidi w:val="0"/>
              <w:spacing w:line="480" w:lineRule="exact"/>
              <w:ind w:firstLine="480" w:firstLineChars="200"/>
              <w:textAlignment w:val="auto"/>
              <w:rPr>
                <w:bCs/>
                <w:color w:val="auto"/>
                <w:sz w:val="24"/>
              </w:rPr>
            </w:pPr>
            <w:r>
              <w:rPr>
                <w:rFonts w:hint="eastAsia"/>
                <w:bCs/>
                <w:color w:val="auto"/>
                <w:sz w:val="24"/>
              </w:rPr>
              <w:t>（</w:t>
            </w:r>
            <w:r>
              <w:rPr>
                <w:rFonts w:hint="eastAsia"/>
                <w:bCs/>
                <w:color w:val="auto"/>
                <w:sz w:val="24"/>
                <w:lang w:val="en-US" w:eastAsia="zh-CN"/>
              </w:rPr>
              <w:t>4</w:t>
            </w:r>
            <w:r>
              <w:rPr>
                <w:rFonts w:hint="eastAsia"/>
                <w:bCs/>
                <w:color w:val="auto"/>
                <w:sz w:val="24"/>
              </w:rPr>
              <w:t>）</w:t>
            </w:r>
            <w:r>
              <w:rPr>
                <w:color w:val="auto"/>
                <w:spacing w:val="-3"/>
                <w:sz w:val="24"/>
              </w:rPr>
              <w:t>建筑垃圾</w:t>
            </w:r>
            <w:r>
              <w:rPr>
                <w:rFonts w:hint="eastAsia"/>
                <w:color w:val="auto"/>
                <w:sz w:val="24"/>
              </w:rPr>
              <w:t>：</w:t>
            </w:r>
            <w:r>
              <w:rPr>
                <w:color w:val="auto"/>
                <w:sz w:val="24"/>
              </w:rPr>
              <w:t>按要求分类处置</w:t>
            </w:r>
            <w:r>
              <w:rPr>
                <w:rFonts w:hint="eastAsia"/>
                <w:color w:val="auto"/>
                <w:sz w:val="24"/>
              </w:rPr>
              <w:t>，</w:t>
            </w:r>
            <w:r>
              <w:rPr>
                <w:color w:val="auto"/>
                <w:sz w:val="24"/>
              </w:rPr>
              <w:t>废金属、钢材与纸质废包装等可回收利用的垃圾可卖废品，其他难以回收利用的垃圾分类收集后送至政府指定地点堆放。</w:t>
            </w:r>
          </w:p>
          <w:p w14:paraId="3FD77635">
            <w:pPr>
              <w:adjustRightInd w:val="0"/>
              <w:snapToGrid w:val="0"/>
              <w:spacing w:line="520" w:lineRule="exact"/>
              <w:ind w:firstLine="480" w:firstLineChars="200"/>
              <w:rPr>
                <w:color w:val="auto"/>
                <w:sz w:val="24"/>
              </w:rPr>
            </w:pPr>
            <w:r>
              <w:rPr>
                <w:bCs/>
                <w:color w:val="auto"/>
                <w:sz w:val="24"/>
              </w:rPr>
              <w:t>采取以上措施之后，施工期固体废弃物对周围环境产生的影响不大。</w:t>
            </w:r>
          </w:p>
        </w:tc>
      </w:tr>
      <w:tr w14:paraId="4FA3B0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753" w:type="dxa"/>
            <w:tcMar>
              <w:left w:w="28" w:type="dxa"/>
              <w:right w:w="28" w:type="dxa"/>
            </w:tcMar>
            <w:vAlign w:val="center"/>
          </w:tcPr>
          <w:p w14:paraId="4E0416A9">
            <w:pPr>
              <w:adjustRightInd w:val="0"/>
              <w:snapToGrid w:val="0"/>
              <w:jc w:val="center"/>
              <w:rPr>
                <w:rFonts w:ascii="宋体" w:hAnsi="宋体" w:cs="宋体"/>
                <w:bCs/>
                <w:color w:val="auto"/>
                <w:spacing w:val="10"/>
                <w:szCs w:val="21"/>
              </w:rPr>
            </w:pPr>
            <w:r>
              <w:rPr>
                <w:rFonts w:hint="eastAsia" w:ascii="宋体" w:hAnsi="宋体" w:cs="宋体"/>
                <w:bCs/>
                <w:color w:val="auto"/>
                <w:spacing w:val="10"/>
                <w:sz w:val="24"/>
              </w:rPr>
              <w:t>运营期生态环境保护措施</w:t>
            </w:r>
          </w:p>
        </w:tc>
        <w:tc>
          <w:tcPr>
            <w:tcW w:w="8457" w:type="dxa"/>
          </w:tcPr>
          <w:p w14:paraId="29124561">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b/>
                <w:bCs/>
                <w:color w:val="auto"/>
                <w:sz w:val="24"/>
              </w:rPr>
            </w:pPr>
            <w:r>
              <w:rPr>
                <w:rFonts w:hint="eastAsia"/>
                <w:b/>
                <w:bCs/>
                <w:color w:val="auto"/>
                <w:sz w:val="24"/>
              </w:rPr>
              <w:t>1、大气环境保护措施</w:t>
            </w:r>
          </w:p>
          <w:p w14:paraId="759F12ED">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bCs/>
                <w:color w:val="auto"/>
                <w:sz w:val="24"/>
              </w:rPr>
            </w:pPr>
            <w:r>
              <w:rPr>
                <w:bCs/>
                <w:color w:val="auto"/>
                <w:sz w:val="24"/>
              </w:rPr>
              <w:t>运营期废气主要为</w:t>
            </w:r>
            <w:r>
              <w:rPr>
                <w:rFonts w:hint="eastAsia" w:ascii="宋体" w:hAnsi="宋体" w:cs="宋体"/>
                <w:bCs/>
                <w:color w:val="auto"/>
                <w:sz w:val="24"/>
              </w:rPr>
              <w:t>通风机排气中的微量煤尘</w:t>
            </w:r>
            <w:r>
              <w:rPr>
                <w:rFonts w:hint="default" w:ascii="Times New Roman" w:hAnsi="Times New Roman" w:cs="Times New Roman"/>
                <w:bCs/>
                <w:color w:val="auto"/>
                <w:sz w:val="24"/>
                <w:highlight w:val="none"/>
              </w:rPr>
              <w:t>与瓦斯</w:t>
            </w:r>
            <w:r>
              <w:rPr>
                <w:bCs/>
                <w:color w:val="auto"/>
                <w:sz w:val="24"/>
              </w:rPr>
              <w:t xml:space="preserve">。 </w:t>
            </w:r>
          </w:p>
          <w:p w14:paraId="0D084A3D">
            <w:pPr>
              <w:keepNext w:val="0"/>
              <w:keepLines w:val="0"/>
              <w:pageBreakBefore w:val="0"/>
              <w:widowControl w:val="0"/>
              <w:kinsoku/>
              <w:wordWrap/>
              <w:overflowPunct/>
              <w:topLinePunct w:val="0"/>
              <w:autoSpaceDE/>
              <w:autoSpaceDN/>
              <w:bidi w:val="0"/>
              <w:adjustRightInd/>
              <w:snapToGrid/>
              <w:spacing w:line="480" w:lineRule="exact"/>
              <w:ind w:firstLine="480" w:firstLineChars="200"/>
              <w:textAlignment w:val="auto"/>
              <w:rPr>
                <w:rFonts w:hint="default" w:ascii="Times New Roman" w:hAnsi="Times New Roman" w:cs="Times New Roman"/>
                <w:bCs/>
                <w:color w:val="auto"/>
                <w:sz w:val="24"/>
                <w:highlight w:val="none"/>
              </w:rPr>
            </w:pPr>
            <w:r>
              <w:rPr>
                <w:bCs/>
                <w:color w:val="auto"/>
                <w:sz w:val="24"/>
              </w:rPr>
              <w:t>本项目运营期采取</w:t>
            </w:r>
            <w:r>
              <w:rPr>
                <w:rFonts w:hint="eastAsia"/>
                <w:bCs/>
                <w:color w:val="auto"/>
                <w:sz w:val="24"/>
                <w:lang w:val="en-US" w:eastAsia="zh-CN"/>
              </w:rPr>
              <w:t>在</w:t>
            </w:r>
            <w:r>
              <w:rPr>
                <w:rFonts w:hint="eastAsia"/>
                <w:color w:val="auto"/>
                <w:sz w:val="24"/>
                <w:lang w:val="en-US" w:eastAsia="zh-CN"/>
              </w:rPr>
              <w:t>煤矿井下建立防尘洒水系统，对煤流的各转载点设有喷雾洒水装置，输送机巷和主要通风巷等处均设置净化水幕，作业时开启；粉尘积聚处定期清理、并撒布岩粉</w:t>
            </w:r>
            <w:r>
              <w:rPr>
                <w:rFonts w:hint="eastAsia" w:ascii="Times New Roman" w:hAnsi="Times New Roman" w:cs="Times New Roman"/>
                <w:bCs/>
                <w:color w:val="auto"/>
                <w:sz w:val="24"/>
                <w:highlight w:val="none"/>
                <w:lang w:val="en-US" w:eastAsia="zh-CN"/>
              </w:rPr>
              <w:t>等措施</w:t>
            </w:r>
            <w:r>
              <w:rPr>
                <w:bCs/>
                <w:color w:val="auto"/>
                <w:sz w:val="24"/>
              </w:rPr>
              <w:t>。采取上述措施后可有效抑制井下粉尘产生，</w:t>
            </w:r>
            <w:r>
              <w:rPr>
                <w:rFonts w:hint="eastAsia"/>
                <w:bCs/>
                <w:color w:val="auto"/>
                <w:sz w:val="24"/>
                <w:lang w:val="en-US" w:eastAsia="zh-CN"/>
              </w:rPr>
              <w:t>粉尘</w:t>
            </w:r>
            <w:r>
              <w:rPr>
                <w:bCs/>
                <w:color w:val="auto"/>
                <w:sz w:val="24"/>
              </w:rPr>
              <w:t>产生量较小。</w:t>
            </w:r>
            <w:r>
              <w:rPr>
                <w:rFonts w:hint="default" w:ascii="Times New Roman" w:hAnsi="Times New Roman" w:cs="Times New Roman"/>
                <w:bCs/>
                <w:color w:val="auto"/>
                <w:sz w:val="24"/>
                <w:highlight w:val="none"/>
              </w:rPr>
              <w:t>预计无组织粉尘排放浓度满足《煤炭工业污染物排放标准》（GB20426-2006）中的相关限值。</w:t>
            </w:r>
          </w:p>
          <w:p w14:paraId="308ADE1A">
            <w:pPr>
              <w:keepNext w:val="0"/>
              <w:keepLines w:val="0"/>
              <w:pageBreakBefore w:val="0"/>
              <w:kinsoku/>
              <w:wordWrap/>
              <w:overflowPunct/>
              <w:topLinePunct w:val="0"/>
              <w:autoSpaceDE/>
              <w:autoSpaceDN/>
              <w:bidi w:val="0"/>
              <w:adjustRightInd w:val="0"/>
              <w:snapToGrid w:val="0"/>
              <w:spacing w:line="480" w:lineRule="exact"/>
              <w:ind w:firstLine="482" w:firstLineChars="200"/>
              <w:textAlignment w:val="auto"/>
              <w:rPr>
                <w:b/>
                <w:bCs/>
                <w:color w:val="auto"/>
                <w:sz w:val="24"/>
              </w:rPr>
            </w:pPr>
            <w:r>
              <w:rPr>
                <w:rFonts w:hint="eastAsia"/>
                <w:b/>
                <w:bCs/>
                <w:color w:val="auto"/>
                <w:sz w:val="24"/>
              </w:rPr>
              <w:t>2、水环境保护措施</w:t>
            </w:r>
          </w:p>
          <w:p w14:paraId="347C4AA2">
            <w:pPr>
              <w:keepNext w:val="0"/>
              <w:keepLines w:val="0"/>
              <w:pageBreakBefore w:val="0"/>
              <w:kinsoku/>
              <w:wordWrap/>
              <w:overflowPunct/>
              <w:topLinePunct w:val="0"/>
              <w:autoSpaceDE/>
              <w:autoSpaceDN/>
              <w:bidi w:val="0"/>
              <w:adjustRightInd w:val="0"/>
              <w:snapToGrid w:val="0"/>
              <w:spacing w:line="480" w:lineRule="exact"/>
              <w:ind w:firstLine="480" w:firstLineChars="200"/>
              <w:textAlignment w:val="auto"/>
              <w:rPr>
                <w:bCs/>
                <w:color w:val="auto"/>
                <w:sz w:val="24"/>
              </w:rPr>
            </w:pPr>
            <w:r>
              <w:rPr>
                <w:rFonts w:hint="eastAsia"/>
                <w:bCs/>
                <w:color w:val="auto"/>
                <w:sz w:val="24"/>
              </w:rPr>
              <w:t>（1）本项目劳动定员为李家壕煤矿现有员工调配，</w:t>
            </w:r>
            <w:r>
              <w:rPr>
                <w:color w:val="auto"/>
                <w:sz w:val="24"/>
              </w:rPr>
              <w:t>本项目不新增劳动定员</w:t>
            </w:r>
            <w:r>
              <w:rPr>
                <w:rFonts w:hint="eastAsia"/>
                <w:color w:val="auto"/>
                <w:sz w:val="24"/>
              </w:rPr>
              <w:t>，</w:t>
            </w:r>
            <w:r>
              <w:rPr>
                <w:rFonts w:hint="eastAsia"/>
                <w:bCs/>
                <w:color w:val="auto"/>
                <w:sz w:val="24"/>
              </w:rPr>
              <w:t>不新增生活污水量。</w:t>
            </w:r>
          </w:p>
          <w:p w14:paraId="1D06EEAC">
            <w:pPr>
              <w:pStyle w:val="5"/>
              <w:keepNext w:val="0"/>
              <w:keepLines w:val="0"/>
              <w:pageBreakBefore w:val="0"/>
              <w:kinsoku/>
              <w:wordWrap/>
              <w:overflowPunct/>
              <w:topLinePunct w:val="0"/>
              <w:autoSpaceDE/>
              <w:autoSpaceDN/>
              <w:bidi w:val="0"/>
              <w:spacing w:before="0" w:after="0" w:line="480" w:lineRule="exact"/>
              <w:ind w:right="0" w:firstLine="480" w:firstLineChars="200"/>
              <w:textAlignment w:val="auto"/>
              <w:rPr>
                <w:color w:val="auto"/>
                <w:kern w:val="21"/>
                <w:sz w:val="24"/>
                <w:szCs w:val="24"/>
              </w:rPr>
            </w:pPr>
            <w:r>
              <w:rPr>
                <w:rFonts w:hint="eastAsia"/>
                <w:bCs/>
                <w:color w:val="auto"/>
                <w:kern w:val="21"/>
                <w:sz w:val="24"/>
                <w:szCs w:val="24"/>
              </w:rPr>
              <w:t>（2）</w:t>
            </w:r>
            <w:r>
              <w:rPr>
                <w:color w:val="auto"/>
                <w:kern w:val="21"/>
                <w:sz w:val="24"/>
                <w:szCs w:val="24"/>
              </w:rPr>
              <w:t>乏风取热设施</w:t>
            </w:r>
            <w:r>
              <w:rPr>
                <w:rFonts w:hint="eastAsia"/>
                <w:color w:val="auto"/>
                <w:kern w:val="21"/>
                <w:sz w:val="24"/>
                <w:szCs w:val="24"/>
                <w:lang w:val="en-US" w:eastAsia="zh-CN"/>
              </w:rPr>
              <w:t>定期冲洗</w:t>
            </w:r>
            <w:r>
              <w:rPr>
                <w:color w:val="auto"/>
                <w:kern w:val="21"/>
                <w:sz w:val="24"/>
                <w:szCs w:val="24"/>
              </w:rPr>
              <w:t>废水：乏风取热设施</w:t>
            </w:r>
            <w:r>
              <w:rPr>
                <w:rFonts w:hint="eastAsia"/>
                <w:color w:val="auto"/>
                <w:kern w:val="21"/>
                <w:sz w:val="24"/>
                <w:szCs w:val="24"/>
                <w:lang w:val="en-US" w:eastAsia="zh-CN"/>
              </w:rPr>
              <w:t>定期</w:t>
            </w:r>
            <w:r>
              <w:rPr>
                <w:color w:val="auto"/>
                <w:kern w:val="21"/>
                <w:sz w:val="24"/>
                <w:szCs w:val="24"/>
              </w:rPr>
              <w:t>冲洗</w:t>
            </w:r>
            <w:r>
              <w:rPr>
                <w:rFonts w:hint="eastAsia"/>
                <w:color w:val="auto"/>
                <w:kern w:val="21"/>
                <w:sz w:val="24"/>
                <w:szCs w:val="24"/>
                <w:lang w:val="en-US" w:eastAsia="zh-CN"/>
              </w:rPr>
              <w:t>废</w:t>
            </w:r>
            <w:r>
              <w:rPr>
                <w:rFonts w:hint="eastAsia"/>
                <w:color w:val="auto"/>
                <w:kern w:val="21"/>
                <w:sz w:val="24"/>
                <w:szCs w:val="24"/>
              </w:rPr>
              <w:t>水</w:t>
            </w:r>
            <w:r>
              <w:rPr>
                <w:rFonts w:hint="eastAsia"/>
                <w:color w:val="auto"/>
                <w:kern w:val="21"/>
                <w:sz w:val="24"/>
                <w:szCs w:val="24"/>
                <w:lang w:eastAsia="zh-CN"/>
              </w:rPr>
              <w:t>，</w:t>
            </w:r>
            <w:r>
              <w:rPr>
                <w:rFonts w:hint="eastAsia"/>
                <w:color w:val="auto"/>
                <w:kern w:val="21"/>
                <w:sz w:val="24"/>
                <w:szCs w:val="24"/>
              </w:rPr>
              <w:t>经收集后进入废水收集池，最终被送至李家壕煤矿矿井水处理站进行处理</w:t>
            </w:r>
            <w:r>
              <w:rPr>
                <w:bCs/>
                <w:color w:val="auto"/>
                <w:kern w:val="21"/>
                <w:sz w:val="24"/>
                <w:szCs w:val="24"/>
              </w:rPr>
              <w:t>。矿井水经过处理后，可以作为井下消防、</w:t>
            </w:r>
            <w:r>
              <w:rPr>
                <w:rFonts w:hint="eastAsia"/>
                <w:bCs/>
                <w:color w:val="auto"/>
                <w:kern w:val="21"/>
                <w:sz w:val="24"/>
                <w:szCs w:val="24"/>
              </w:rPr>
              <w:t>绿化</w:t>
            </w:r>
            <w:r>
              <w:rPr>
                <w:bCs/>
                <w:color w:val="auto"/>
                <w:kern w:val="21"/>
                <w:sz w:val="24"/>
                <w:szCs w:val="24"/>
              </w:rPr>
              <w:t>等用水</w:t>
            </w:r>
            <w:r>
              <w:rPr>
                <w:rFonts w:hint="eastAsia"/>
                <w:bCs/>
                <w:color w:val="auto"/>
                <w:kern w:val="21"/>
                <w:sz w:val="24"/>
                <w:szCs w:val="24"/>
              </w:rPr>
              <w:t>。</w:t>
            </w:r>
          </w:p>
          <w:p w14:paraId="3DF49059">
            <w:pPr>
              <w:pStyle w:val="5"/>
              <w:keepNext w:val="0"/>
              <w:keepLines w:val="0"/>
              <w:pageBreakBefore w:val="0"/>
              <w:kinsoku/>
              <w:wordWrap/>
              <w:overflowPunct/>
              <w:topLinePunct w:val="0"/>
              <w:autoSpaceDE/>
              <w:autoSpaceDN/>
              <w:bidi w:val="0"/>
              <w:spacing w:before="0" w:after="0" w:line="480" w:lineRule="exact"/>
              <w:ind w:right="0" w:firstLine="482" w:firstLineChars="200"/>
              <w:textAlignment w:val="auto"/>
              <w:rPr>
                <w:b/>
                <w:bCs/>
                <w:color w:val="auto"/>
                <w:kern w:val="2"/>
                <w:sz w:val="24"/>
                <w:szCs w:val="24"/>
              </w:rPr>
            </w:pPr>
            <w:r>
              <w:rPr>
                <w:rFonts w:hint="eastAsia"/>
                <w:b/>
                <w:bCs/>
                <w:color w:val="auto"/>
                <w:kern w:val="2"/>
                <w:sz w:val="24"/>
                <w:szCs w:val="24"/>
              </w:rPr>
              <w:t>3、声环境保护措施</w:t>
            </w:r>
          </w:p>
          <w:p w14:paraId="5453C81D">
            <w:pPr>
              <w:pStyle w:val="28"/>
              <w:keepNext w:val="0"/>
              <w:keepLines w:val="0"/>
              <w:pageBreakBefore w:val="0"/>
              <w:kinsoku/>
              <w:wordWrap/>
              <w:overflowPunct/>
              <w:topLinePunct w:val="0"/>
              <w:autoSpaceDE/>
              <w:autoSpaceDN/>
              <w:bidi w:val="0"/>
              <w:spacing w:after="0" w:line="480" w:lineRule="exact"/>
              <w:ind w:left="0" w:leftChars="0" w:firstLine="480" w:firstLineChars="200"/>
              <w:textAlignment w:val="auto"/>
              <w:rPr>
                <w:color w:val="auto"/>
                <w:sz w:val="24"/>
              </w:rPr>
            </w:pPr>
            <w:r>
              <w:rPr>
                <w:rFonts w:hint="eastAsia"/>
                <w:color w:val="auto"/>
                <w:sz w:val="24"/>
              </w:rPr>
              <w:t>本项目</w:t>
            </w:r>
            <w:r>
              <w:rPr>
                <w:color w:val="auto"/>
                <w:sz w:val="24"/>
              </w:rPr>
              <w:t>运营期噪声源主要来自</w:t>
            </w:r>
            <w:r>
              <w:rPr>
                <w:rFonts w:hint="eastAsia"/>
                <w:color w:val="auto"/>
                <w:sz w:val="24"/>
              </w:rPr>
              <w:t>风井场地设备</w:t>
            </w:r>
            <w:r>
              <w:rPr>
                <w:color w:val="auto"/>
                <w:sz w:val="24"/>
              </w:rPr>
              <w:t>通风机、乏风热泵</w:t>
            </w:r>
            <w:r>
              <w:rPr>
                <w:rFonts w:hint="eastAsia"/>
                <w:color w:val="auto"/>
                <w:sz w:val="24"/>
              </w:rPr>
              <w:t>等设备噪声，拟采取的措施如下：</w:t>
            </w:r>
          </w:p>
          <w:p w14:paraId="703FDDBB">
            <w:pPr>
              <w:keepNext w:val="0"/>
              <w:keepLines w:val="0"/>
              <w:pageBreakBefore w:val="0"/>
              <w:kinsoku/>
              <w:wordWrap/>
              <w:overflowPunct/>
              <w:topLinePunct w:val="0"/>
              <w:autoSpaceDE/>
              <w:autoSpaceDN/>
              <w:bidi w:val="0"/>
              <w:spacing w:line="480" w:lineRule="exact"/>
              <w:ind w:firstLine="480" w:firstLineChars="200"/>
              <w:textAlignment w:val="auto"/>
              <w:rPr>
                <w:color w:val="auto"/>
                <w:sz w:val="24"/>
              </w:rPr>
            </w:pPr>
            <w:r>
              <w:rPr>
                <w:color w:val="auto"/>
                <w:sz w:val="24"/>
              </w:rPr>
              <w:t>选用低噪声设备，通风机进、出气口安装消声器，</w:t>
            </w:r>
            <w:r>
              <w:rPr>
                <w:rFonts w:hint="eastAsia"/>
                <w:color w:val="auto"/>
                <w:sz w:val="24"/>
              </w:rPr>
              <w:t>设置隔声罩</w:t>
            </w:r>
            <w:r>
              <w:rPr>
                <w:color w:val="auto"/>
                <w:sz w:val="24"/>
              </w:rPr>
              <w:t>。通风机机座进行隔震处理。</w:t>
            </w:r>
            <w:r>
              <w:rPr>
                <w:rFonts w:hint="eastAsia"/>
                <w:color w:val="auto"/>
                <w:sz w:val="24"/>
              </w:rPr>
              <w:t>对于</w:t>
            </w:r>
            <w:r>
              <w:rPr>
                <w:color w:val="auto"/>
                <w:sz w:val="24"/>
              </w:rPr>
              <w:t>泵机选用低噪声设备，设置减振机座、隔声门窗，泵机均在出入口设置软接头，并设置减振基础。</w:t>
            </w:r>
          </w:p>
          <w:p w14:paraId="6DC92956">
            <w:pPr>
              <w:pStyle w:val="5"/>
              <w:keepNext w:val="0"/>
              <w:keepLines w:val="0"/>
              <w:pageBreakBefore w:val="0"/>
              <w:kinsoku/>
              <w:wordWrap/>
              <w:overflowPunct/>
              <w:topLinePunct w:val="0"/>
              <w:autoSpaceDE/>
              <w:autoSpaceDN/>
              <w:bidi w:val="0"/>
              <w:spacing w:before="0" w:after="0" w:line="480" w:lineRule="exact"/>
              <w:ind w:right="0" w:firstLine="482" w:firstLineChars="200"/>
              <w:textAlignment w:val="auto"/>
              <w:rPr>
                <w:rFonts w:hint="default" w:eastAsia="宋体"/>
                <w:b/>
                <w:bCs/>
                <w:color w:val="auto"/>
                <w:kern w:val="2"/>
                <w:sz w:val="24"/>
                <w:szCs w:val="24"/>
                <w:lang w:val="en-US" w:eastAsia="zh-CN"/>
              </w:rPr>
            </w:pPr>
            <w:r>
              <w:rPr>
                <w:rFonts w:hint="eastAsia"/>
                <w:b/>
                <w:bCs/>
                <w:color w:val="auto"/>
                <w:kern w:val="2"/>
                <w:sz w:val="24"/>
                <w:szCs w:val="24"/>
                <w:lang w:val="en-US" w:eastAsia="zh-CN"/>
              </w:rPr>
              <w:t>4、固体废物处置措施</w:t>
            </w:r>
          </w:p>
          <w:p w14:paraId="2EBFCBC1">
            <w:pPr>
              <w:pStyle w:val="5"/>
              <w:keepNext w:val="0"/>
              <w:keepLines w:val="0"/>
              <w:pageBreakBefore w:val="0"/>
              <w:kinsoku/>
              <w:wordWrap/>
              <w:overflowPunct/>
              <w:topLinePunct w:val="0"/>
              <w:autoSpaceDE/>
              <w:autoSpaceDN/>
              <w:bidi w:val="0"/>
              <w:spacing w:before="0" w:after="0" w:line="480" w:lineRule="exact"/>
              <w:ind w:right="0" w:firstLine="480" w:firstLineChars="200"/>
              <w:textAlignment w:val="auto"/>
              <w:rPr>
                <w:rFonts w:hint="eastAsia"/>
                <w:b w:val="0"/>
                <w:bCs w:val="0"/>
                <w:color w:val="auto"/>
                <w:kern w:val="2"/>
                <w:sz w:val="24"/>
                <w:szCs w:val="24"/>
                <w:lang w:val="en-US" w:eastAsia="zh-CN"/>
              </w:rPr>
            </w:pPr>
            <w:r>
              <w:rPr>
                <w:rFonts w:hint="eastAsia"/>
                <w:b w:val="0"/>
                <w:bCs w:val="0"/>
                <w:color w:val="auto"/>
                <w:kern w:val="2"/>
                <w:sz w:val="24"/>
                <w:szCs w:val="24"/>
                <w:lang w:val="en-US" w:eastAsia="zh-CN"/>
              </w:rPr>
              <w:t>运营期</w:t>
            </w:r>
            <w:r>
              <w:rPr>
                <w:rStyle w:val="34"/>
                <w:rFonts w:hint="eastAsia" w:ascii="Times New Roman" w:hAnsi="Times New Roman" w:cs="Times New Roman"/>
                <w:color w:val="auto"/>
                <w:kern w:val="0"/>
                <w:sz w:val="24"/>
                <w:szCs w:val="24"/>
                <w:lang w:val="en-US" w:eastAsia="zh-CN" w:bidi="ar-SA"/>
              </w:rPr>
              <w:t>废机油产生量约</w:t>
            </w:r>
            <w:r>
              <w:rPr>
                <w:rStyle w:val="34"/>
                <w:rFonts w:hint="default" w:ascii="Times New Roman" w:hAnsi="Times New Roman" w:cs="Times New Roman"/>
                <w:color w:val="auto"/>
                <w:kern w:val="0"/>
                <w:sz w:val="24"/>
                <w:szCs w:val="24"/>
                <w:lang w:val="en-US" w:eastAsia="zh-CN" w:bidi="ar-SA"/>
              </w:rPr>
              <w:t>0.1t/a</w:t>
            </w:r>
            <w:r>
              <w:rPr>
                <w:rStyle w:val="34"/>
                <w:rFonts w:hint="eastAsia" w:ascii="Times New Roman" w:hAnsi="Times New Roman" w:cs="Times New Roman"/>
                <w:color w:val="auto"/>
                <w:kern w:val="0"/>
                <w:sz w:val="24"/>
                <w:szCs w:val="24"/>
                <w:lang w:val="en-US" w:eastAsia="zh-CN" w:bidi="ar-SA"/>
              </w:rPr>
              <w:t>，废油桶产生量约3个/a、约0.01t/a，暂存于李家壕煤矿现有危废暂存库（360m</w:t>
            </w:r>
            <w:r>
              <w:rPr>
                <w:rStyle w:val="34"/>
                <w:rFonts w:hint="eastAsia" w:ascii="Times New Roman" w:hAnsi="Times New Roman" w:cs="Times New Roman"/>
                <w:color w:val="auto"/>
                <w:kern w:val="0"/>
                <w:sz w:val="24"/>
                <w:szCs w:val="24"/>
                <w:vertAlign w:val="superscript"/>
                <w:lang w:val="en-US" w:eastAsia="zh-CN" w:bidi="ar-SA"/>
              </w:rPr>
              <w:t>2</w:t>
            </w:r>
            <w:r>
              <w:rPr>
                <w:rStyle w:val="34"/>
                <w:rFonts w:hint="eastAsia" w:ascii="Times New Roman" w:hAnsi="Times New Roman" w:cs="Times New Roman"/>
                <w:color w:val="auto"/>
                <w:kern w:val="0"/>
                <w:sz w:val="24"/>
                <w:szCs w:val="24"/>
                <w:lang w:val="en-US" w:eastAsia="zh-CN" w:bidi="ar-SA"/>
              </w:rPr>
              <w:t>），</w:t>
            </w:r>
            <w:r>
              <w:rPr>
                <w:rFonts w:hint="eastAsia"/>
                <w:b w:val="0"/>
                <w:bCs w:val="0"/>
                <w:color w:val="auto"/>
                <w:kern w:val="2"/>
                <w:sz w:val="24"/>
                <w:szCs w:val="24"/>
                <w:lang w:val="en-US" w:eastAsia="zh-CN"/>
              </w:rPr>
              <w:t>定期</w:t>
            </w:r>
            <w:r>
              <w:rPr>
                <w:rStyle w:val="34"/>
                <w:rFonts w:hint="eastAsia" w:ascii="Times New Roman" w:hAnsi="Times New Roman" w:cs="Times New Roman"/>
                <w:color w:val="auto"/>
                <w:kern w:val="0"/>
                <w:sz w:val="24"/>
                <w:szCs w:val="24"/>
                <w:lang w:val="en-US" w:eastAsia="zh-CN" w:bidi="ar-SA"/>
              </w:rPr>
              <w:t>委托有资质单位集中处置。</w:t>
            </w:r>
          </w:p>
          <w:p w14:paraId="68C731F0">
            <w:pPr>
              <w:pStyle w:val="5"/>
              <w:keepNext w:val="0"/>
              <w:keepLines w:val="0"/>
              <w:pageBreakBefore w:val="0"/>
              <w:kinsoku/>
              <w:wordWrap/>
              <w:overflowPunct/>
              <w:topLinePunct w:val="0"/>
              <w:autoSpaceDE/>
              <w:autoSpaceDN/>
              <w:bidi w:val="0"/>
              <w:spacing w:before="0" w:after="0" w:line="480" w:lineRule="exact"/>
              <w:ind w:right="0" w:firstLine="482" w:firstLineChars="200"/>
              <w:textAlignment w:val="auto"/>
              <w:rPr>
                <w:b/>
                <w:bCs/>
                <w:color w:val="auto"/>
                <w:kern w:val="2"/>
                <w:sz w:val="24"/>
                <w:szCs w:val="24"/>
              </w:rPr>
            </w:pPr>
            <w:r>
              <w:rPr>
                <w:rFonts w:hint="eastAsia"/>
                <w:b/>
                <w:bCs/>
                <w:color w:val="auto"/>
                <w:kern w:val="2"/>
                <w:sz w:val="24"/>
                <w:szCs w:val="24"/>
                <w:lang w:val="en-US" w:eastAsia="zh-CN"/>
              </w:rPr>
              <w:t>5</w:t>
            </w:r>
            <w:r>
              <w:rPr>
                <w:rFonts w:hint="eastAsia"/>
                <w:b/>
                <w:bCs/>
                <w:color w:val="auto"/>
                <w:kern w:val="2"/>
                <w:sz w:val="24"/>
                <w:szCs w:val="24"/>
              </w:rPr>
              <w:t>、土壤、地下水保护措施</w:t>
            </w:r>
          </w:p>
          <w:p w14:paraId="08E6380F">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auto"/>
                <w:sz w:val="24"/>
              </w:rPr>
            </w:pPr>
            <w:r>
              <w:rPr>
                <w:color w:val="auto"/>
                <w:sz w:val="24"/>
              </w:rPr>
              <w:t xml:space="preserve">①源头控制措施 </w:t>
            </w:r>
          </w:p>
          <w:p w14:paraId="66DDDD0A">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auto"/>
                <w:sz w:val="24"/>
              </w:rPr>
            </w:pPr>
            <w:r>
              <w:rPr>
                <w:color w:val="auto"/>
                <w:sz w:val="24"/>
              </w:rPr>
              <w:t xml:space="preserve">源头控制措施主要包括在工艺、管道、设备、废水储存及处理构筑物采取相应措施，防止和降低污染物跑、冒、滴、漏，将污染物泄漏的环境风险事故降到最低程度。 </w:t>
            </w:r>
          </w:p>
          <w:p w14:paraId="76A9D464">
            <w:pPr>
              <w:keepNext w:val="0"/>
              <w:keepLines w:val="0"/>
              <w:pageBreakBefore w:val="0"/>
              <w:widowControl w:val="0"/>
              <w:kinsoku/>
              <w:wordWrap/>
              <w:overflowPunct/>
              <w:topLinePunct w:val="0"/>
              <w:autoSpaceDE/>
              <w:autoSpaceDN/>
              <w:bidi w:val="0"/>
              <w:adjustRightInd/>
              <w:snapToGrid/>
              <w:spacing w:line="460" w:lineRule="exact"/>
              <w:ind w:firstLine="480" w:firstLineChars="200"/>
              <w:textAlignment w:val="auto"/>
              <w:rPr>
                <w:color w:val="auto"/>
                <w:sz w:val="24"/>
              </w:rPr>
            </w:pPr>
            <w:r>
              <w:rPr>
                <w:color w:val="auto"/>
                <w:sz w:val="24"/>
              </w:rPr>
              <w:t xml:space="preserve">②分区防控措施 </w:t>
            </w:r>
          </w:p>
          <w:p w14:paraId="679EA3AB">
            <w:pPr>
              <w:spacing w:line="500" w:lineRule="exact"/>
              <w:ind w:firstLine="480" w:firstLineChars="200"/>
              <w:rPr>
                <w:color w:val="auto"/>
                <w:sz w:val="24"/>
              </w:rPr>
            </w:pPr>
            <w:r>
              <w:rPr>
                <w:color w:val="auto"/>
                <w:sz w:val="24"/>
              </w:rPr>
              <w:t>本工程应根据污水产生排放特点划分污染防治区，主要针对</w:t>
            </w:r>
            <w:r>
              <w:rPr>
                <w:rFonts w:hint="eastAsia"/>
                <w:color w:val="auto"/>
                <w:sz w:val="24"/>
              </w:rPr>
              <w:t>新</w:t>
            </w:r>
            <w:r>
              <w:rPr>
                <w:rFonts w:hint="eastAsia"/>
                <w:color w:val="auto"/>
                <w:sz w:val="24"/>
                <w:lang w:val="en-US" w:eastAsia="zh-CN"/>
              </w:rPr>
              <w:t>建</w:t>
            </w:r>
            <w:r>
              <w:rPr>
                <w:rFonts w:hint="eastAsia"/>
                <w:color w:val="auto"/>
                <w:sz w:val="24"/>
              </w:rPr>
              <w:t>风井</w:t>
            </w:r>
            <w:r>
              <w:rPr>
                <w:color w:val="auto"/>
                <w:sz w:val="24"/>
              </w:rPr>
              <w:t>场地提出不同区域的地面防渗方案。本工程需进行防渗处理的重点部位包括有</w:t>
            </w:r>
            <w:r>
              <w:rPr>
                <w:rFonts w:hint="eastAsia"/>
                <w:color w:val="auto"/>
                <w:sz w:val="24"/>
              </w:rPr>
              <w:t>废水收集池</w:t>
            </w:r>
            <w:r>
              <w:rPr>
                <w:color w:val="auto"/>
                <w:sz w:val="24"/>
              </w:rPr>
              <w:t>，使工程生产不会对地下水造成影响。防渗分区见下表。</w:t>
            </w:r>
          </w:p>
          <w:p w14:paraId="63E68395">
            <w:pPr>
              <w:spacing w:line="500" w:lineRule="exact"/>
              <w:ind w:firstLine="2409" w:firstLineChars="1000"/>
              <w:rPr>
                <w:color w:val="auto"/>
                <w:sz w:val="24"/>
              </w:rPr>
            </w:pPr>
            <w:r>
              <w:rPr>
                <w:rFonts w:hint="eastAsia"/>
                <w:b/>
                <w:bCs/>
                <w:color w:val="auto"/>
                <w:kern w:val="0"/>
                <w:sz w:val="24"/>
              </w:rPr>
              <w:t xml:space="preserve">表5-1       防渗分区表 </w:t>
            </w:r>
            <w:r>
              <w:rPr>
                <w:rFonts w:hint="eastAsia"/>
                <w:color w:val="auto"/>
                <w:sz w:val="24"/>
              </w:rPr>
              <w:t xml:space="preserve">  </w:t>
            </w:r>
          </w:p>
          <w:tbl>
            <w:tblPr>
              <w:tblStyle w:val="30"/>
              <w:tblW w:w="82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5"/>
              <w:gridCol w:w="1680"/>
              <w:gridCol w:w="3556"/>
            </w:tblGrid>
            <w:tr w14:paraId="24AFD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5" w:type="dxa"/>
                  <w:vAlign w:val="center"/>
                </w:tcPr>
                <w:p w14:paraId="6ED9AB14">
                  <w:pPr>
                    <w:spacing w:line="320" w:lineRule="exact"/>
                    <w:jc w:val="center"/>
                    <w:rPr>
                      <w:color w:val="auto"/>
                      <w:szCs w:val="21"/>
                    </w:rPr>
                  </w:pPr>
                  <w:r>
                    <w:rPr>
                      <w:rFonts w:hint="eastAsia"/>
                      <w:color w:val="auto"/>
                      <w:szCs w:val="21"/>
                    </w:rPr>
                    <w:t>区域（设施）</w:t>
                  </w:r>
                </w:p>
              </w:tc>
              <w:tc>
                <w:tcPr>
                  <w:tcW w:w="1680" w:type="dxa"/>
                  <w:vAlign w:val="center"/>
                </w:tcPr>
                <w:p w14:paraId="102B1C33">
                  <w:pPr>
                    <w:spacing w:line="320" w:lineRule="exact"/>
                    <w:jc w:val="center"/>
                    <w:rPr>
                      <w:color w:val="auto"/>
                      <w:szCs w:val="21"/>
                    </w:rPr>
                  </w:pPr>
                  <w:r>
                    <w:rPr>
                      <w:rFonts w:hint="eastAsia"/>
                      <w:color w:val="auto"/>
                      <w:szCs w:val="21"/>
                    </w:rPr>
                    <w:t>防渗分区</w:t>
                  </w:r>
                </w:p>
              </w:tc>
              <w:tc>
                <w:tcPr>
                  <w:tcW w:w="3556" w:type="dxa"/>
                  <w:vAlign w:val="center"/>
                </w:tcPr>
                <w:p w14:paraId="757B2BAA">
                  <w:pPr>
                    <w:spacing w:line="320" w:lineRule="exact"/>
                    <w:jc w:val="center"/>
                    <w:rPr>
                      <w:color w:val="auto"/>
                      <w:szCs w:val="21"/>
                    </w:rPr>
                  </w:pPr>
                  <w:r>
                    <w:rPr>
                      <w:rFonts w:hint="eastAsia"/>
                      <w:color w:val="auto"/>
                      <w:szCs w:val="21"/>
                    </w:rPr>
                    <w:t>防渗技术要求</w:t>
                  </w:r>
                </w:p>
              </w:tc>
            </w:tr>
            <w:tr w14:paraId="6A424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5" w:type="dxa"/>
                  <w:vAlign w:val="center"/>
                </w:tcPr>
                <w:p w14:paraId="73C88EDC">
                  <w:pPr>
                    <w:spacing w:line="320" w:lineRule="exact"/>
                    <w:jc w:val="center"/>
                    <w:rPr>
                      <w:color w:val="auto"/>
                      <w:szCs w:val="21"/>
                    </w:rPr>
                  </w:pPr>
                  <w:r>
                    <w:rPr>
                      <w:rFonts w:hint="eastAsia"/>
                      <w:color w:val="auto"/>
                      <w:szCs w:val="21"/>
                    </w:rPr>
                    <w:t>废水收集池</w:t>
                  </w:r>
                </w:p>
              </w:tc>
              <w:tc>
                <w:tcPr>
                  <w:tcW w:w="1680" w:type="dxa"/>
                  <w:vAlign w:val="center"/>
                </w:tcPr>
                <w:p w14:paraId="3F3966F7">
                  <w:pPr>
                    <w:spacing w:line="320" w:lineRule="exact"/>
                    <w:jc w:val="center"/>
                    <w:rPr>
                      <w:color w:val="auto"/>
                      <w:szCs w:val="21"/>
                    </w:rPr>
                  </w:pPr>
                  <w:r>
                    <w:rPr>
                      <w:rFonts w:hint="eastAsia"/>
                      <w:color w:val="auto"/>
                      <w:szCs w:val="21"/>
                    </w:rPr>
                    <w:t>一般防渗区</w:t>
                  </w:r>
                </w:p>
              </w:tc>
              <w:tc>
                <w:tcPr>
                  <w:tcW w:w="3556" w:type="dxa"/>
                  <w:vAlign w:val="center"/>
                </w:tcPr>
                <w:p w14:paraId="6B4E2169">
                  <w:pPr>
                    <w:spacing w:line="320" w:lineRule="exact"/>
                    <w:jc w:val="center"/>
                    <w:rPr>
                      <w:color w:val="auto"/>
                      <w:szCs w:val="21"/>
                    </w:rPr>
                  </w:pPr>
                  <w:r>
                    <w:rPr>
                      <w:rFonts w:hint="eastAsia"/>
                      <w:color w:val="auto"/>
                      <w:szCs w:val="21"/>
                    </w:rPr>
                    <w:t>等效黏土防渗层 Mb≥1.5m，渗透系数≤1.0×10</w:t>
                  </w:r>
                  <w:r>
                    <w:rPr>
                      <w:rFonts w:hint="eastAsia"/>
                      <w:color w:val="auto"/>
                      <w:szCs w:val="21"/>
                      <w:vertAlign w:val="superscript"/>
                    </w:rPr>
                    <w:t>-7</w:t>
                  </w:r>
                  <w:r>
                    <w:rPr>
                      <w:rFonts w:hint="eastAsia"/>
                      <w:color w:val="auto"/>
                      <w:szCs w:val="21"/>
                    </w:rPr>
                    <w:t>cm/s</w:t>
                  </w:r>
                </w:p>
              </w:tc>
            </w:tr>
            <w:tr w14:paraId="23A35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05" w:type="dxa"/>
                  <w:vAlign w:val="center"/>
                </w:tcPr>
                <w:p w14:paraId="1F98D96D">
                  <w:pPr>
                    <w:spacing w:line="320" w:lineRule="exact"/>
                    <w:jc w:val="center"/>
                    <w:rPr>
                      <w:color w:val="auto"/>
                      <w:szCs w:val="21"/>
                    </w:rPr>
                  </w:pPr>
                  <w:r>
                    <w:rPr>
                      <w:rFonts w:hint="eastAsia"/>
                      <w:color w:val="auto"/>
                      <w:spacing w:val="-6"/>
                      <w:szCs w:val="21"/>
                    </w:rPr>
                    <w:t>其余场地</w:t>
                  </w:r>
                </w:p>
              </w:tc>
              <w:tc>
                <w:tcPr>
                  <w:tcW w:w="1680" w:type="dxa"/>
                  <w:vAlign w:val="center"/>
                </w:tcPr>
                <w:p w14:paraId="5B384498">
                  <w:pPr>
                    <w:spacing w:line="320" w:lineRule="exact"/>
                    <w:jc w:val="center"/>
                    <w:rPr>
                      <w:color w:val="auto"/>
                      <w:szCs w:val="21"/>
                    </w:rPr>
                  </w:pPr>
                  <w:r>
                    <w:rPr>
                      <w:rFonts w:hint="eastAsia"/>
                      <w:color w:val="auto"/>
                      <w:szCs w:val="21"/>
                    </w:rPr>
                    <w:t>简单防渗区</w:t>
                  </w:r>
                </w:p>
              </w:tc>
              <w:tc>
                <w:tcPr>
                  <w:tcW w:w="3556" w:type="dxa"/>
                  <w:vAlign w:val="center"/>
                </w:tcPr>
                <w:p w14:paraId="60BCCC9D">
                  <w:pPr>
                    <w:spacing w:line="320" w:lineRule="exact"/>
                    <w:jc w:val="center"/>
                    <w:rPr>
                      <w:color w:val="auto"/>
                      <w:szCs w:val="21"/>
                    </w:rPr>
                  </w:pPr>
                  <w:r>
                    <w:rPr>
                      <w:rFonts w:hint="eastAsia"/>
                      <w:color w:val="auto"/>
                      <w:szCs w:val="21"/>
                    </w:rPr>
                    <w:t>一般地面硬化</w:t>
                  </w:r>
                </w:p>
              </w:tc>
            </w:tr>
          </w:tbl>
          <w:p w14:paraId="61DC4D55">
            <w:pPr>
              <w:spacing w:line="500" w:lineRule="exact"/>
              <w:ind w:firstLine="480" w:firstLineChars="200"/>
              <w:rPr>
                <w:color w:val="auto"/>
                <w:sz w:val="24"/>
                <w:highlight w:val="yellow"/>
              </w:rPr>
            </w:pPr>
          </w:p>
        </w:tc>
      </w:tr>
      <w:tr w14:paraId="39A0E7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10" w:hRule="atLeast"/>
          <w:jc w:val="center"/>
        </w:trPr>
        <w:tc>
          <w:tcPr>
            <w:tcW w:w="753" w:type="dxa"/>
            <w:vAlign w:val="center"/>
          </w:tcPr>
          <w:p w14:paraId="3DCFA7C0">
            <w:pPr>
              <w:adjustRightInd w:val="0"/>
              <w:snapToGrid w:val="0"/>
              <w:jc w:val="center"/>
              <w:rPr>
                <w:rFonts w:ascii="宋体" w:hAnsi="宋体" w:cs="宋体"/>
                <w:bCs/>
                <w:color w:val="auto"/>
                <w:spacing w:val="10"/>
                <w:szCs w:val="21"/>
              </w:rPr>
            </w:pPr>
            <w:r>
              <w:rPr>
                <w:rFonts w:hint="eastAsia" w:ascii="宋体" w:hAnsi="宋体"/>
                <w:bCs/>
                <w:color w:val="auto"/>
                <w:sz w:val="24"/>
              </w:rPr>
              <w:t>其他</w:t>
            </w:r>
          </w:p>
        </w:tc>
        <w:tc>
          <w:tcPr>
            <w:tcW w:w="8457" w:type="dxa"/>
          </w:tcPr>
          <w:p w14:paraId="5F74E3ED">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b/>
                <w:bCs/>
                <w:color w:val="auto"/>
                <w:sz w:val="24"/>
              </w:rPr>
            </w:pPr>
            <w:r>
              <w:rPr>
                <w:rFonts w:hint="eastAsia"/>
                <w:b/>
                <w:bCs/>
                <w:color w:val="auto"/>
                <w:sz w:val="24"/>
              </w:rPr>
              <w:t xml:space="preserve">1、环境管理 </w:t>
            </w:r>
          </w:p>
          <w:p w14:paraId="37263543">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（1）环境管理机构的设置</w:t>
            </w:r>
          </w:p>
          <w:p w14:paraId="26443A7E">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本项目的环境管理纳入李家壕煤矿日常环境管理中。李家壕煤矿有健全的环境管理组织机构，建立</w:t>
            </w:r>
            <w:r>
              <w:rPr>
                <w:rFonts w:hint="eastAsia"/>
                <w:color w:val="auto"/>
                <w:sz w:val="24"/>
                <w:lang w:val="en-US" w:eastAsia="zh-CN"/>
              </w:rPr>
              <w:t>了</w:t>
            </w:r>
            <w:r>
              <w:rPr>
                <w:rFonts w:hint="eastAsia"/>
                <w:color w:val="auto"/>
                <w:sz w:val="24"/>
              </w:rPr>
              <w:t>完善的环境管理制度</w:t>
            </w:r>
            <w:r>
              <w:rPr>
                <w:rFonts w:hint="eastAsia"/>
                <w:color w:val="auto"/>
                <w:sz w:val="24"/>
                <w:lang w:eastAsia="zh-CN"/>
              </w:rPr>
              <w:t>，</w:t>
            </w:r>
            <w:r>
              <w:rPr>
                <w:rFonts w:hint="eastAsia"/>
                <w:color w:val="auto"/>
                <w:sz w:val="24"/>
              </w:rPr>
              <w:t>设有环保部门，负责全矿的环境保护管理和组织工作。</w:t>
            </w:r>
          </w:p>
          <w:p w14:paraId="0E83642E">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（2）环境管理机构的工作和职责</w:t>
            </w:r>
          </w:p>
          <w:p w14:paraId="778B27C6">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 xml:space="preserve">①认真落实“三同时”制度。建设项目需要配套建设的环境保护设施，必须与主体工程同时设计、同时施工、同时投产使用；主体工程完工后，自行组织环境保护设施竣工验收工作。 </w:t>
            </w:r>
          </w:p>
          <w:p w14:paraId="0883CBA9">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②加强企业内部环境管理和监测，对环保设施定期进行检查、维护，做到勤检查、勤记录、勤维护，发现问题及时解决，使环保设施正常稳定运行，保证污染物达标排放</w:t>
            </w:r>
            <w:r>
              <w:rPr>
                <w:rFonts w:hint="eastAsia"/>
                <w:color w:val="auto"/>
                <w:sz w:val="24"/>
                <w:lang w:eastAsia="zh-CN"/>
              </w:rPr>
              <w:t>，</w:t>
            </w:r>
            <w:r>
              <w:rPr>
                <w:rFonts w:hint="eastAsia"/>
                <w:color w:val="auto"/>
                <w:sz w:val="24"/>
              </w:rPr>
              <w:t>制定环保设施维护规程和台账管理。</w:t>
            </w:r>
          </w:p>
          <w:p w14:paraId="5EE36B36">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③贯彻执行各项环境保护政策、法规及标准，负责厂区绿化和日常环境保护管理工作。</w:t>
            </w:r>
          </w:p>
          <w:p w14:paraId="41DF9A1E">
            <w:pPr>
              <w:keepNext w:val="0"/>
              <w:keepLines w:val="0"/>
              <w:pageBreakBefore w:val="0"/>
              <w:widowControl w:val="0"/>
              <w:kinsoku/>
              <w:wordWrap/>
              <w:overflowPunct/>
              <w:topLinePunct w:val="0"/>
              <w:autoSpaceDE/>
              <w:autoSpaceDN/>
              <w:bidi w:val="0"/>
              <w:adjustRightInd w:val="0"/>
              <w:snapToGrid w:val="0"/>
              <w:spacing w:line="480" w:lineRule="exact"/>
              <w:ind w:firstLine="482" w:firstLineChars="200"/>
              <w:textAlignment w:val="auto"/>
              <w:rPr>
                <w:b/>
                <w:bCs/>
                <w:color w:val="auto"/>
                <w:sz w:val="24"/>
              </w:rPr>
            </w:pPr>
            <w:r>
              <w:rPr>
                <w:rFonts w:hint="eastAsia"/>
                <w:b/>
                <w:bCs/>
                <w:color w:val="auto"/>
                <w:sz w:val="24"/>
              </w:rPr>
              <w:t>2、环境监测</w:t>
            </w:r>
          </w:p>
          <w:p w14:paraId="3D48C336">
            <w:pPr>
              <w:keepNext w:val="0"/>
              <w:keepLines w:val="0"/>
              <w:pageBreakBefore w:val="0"/>
              <w:widowControl w:val="0"/>
              <w:kinsoku/>
              <w:wordWrap/>
              <w:overflowPunct/>
              <w:topLinePunct w:val="0"/>
              <w:autoSpaceDE/>
              <w:autoSpaceDN/>
              <w:bidi w:val="0"/>
              <w:adjustRightInd w:val="0"/>
              <w:snapToGrid w:val="0"/>
              <w:spacing w:line="480" w:lineRule="exact"/>
              <w:ind w:firstLine="480" w:firstLineChars="200"/>
              <w:textAlignment w:val="auto"/>
              <w:rPr>
                <w:color w:val="auto"/>
                <w:sz w:val="24"/>
              </w:rPr>
            </w:pPr>
            <w:r>
              <w:rPr>
                <w:rFonts w:hint="eastAsia"/>
                <w:color w:val="auto"/>
                <w:sz w:val="24"/>
              </w:rPr>
              <w:t>项目运行期环境监测工作可并入李家壕煤矿监测计划中，建设单位必要时也可委托第三方环境监测机构进行监测。本项目监测计划具体见下表。</w:t>
            </w:r>
          </w:p>
          <w:p w14:paraId="06C65572">
            <w:pPr>
              <w:spacing w:line="500" w:lineRule="exact"/>
              <w:ind w:firstLine="2409" w:firstLineChars="1000"/>
              <w:rPr>
                <w:b/>
                <w:bCs/>
                <w:color w:val="auto"/>
                <w:kern w:val="0"/>
                <w:sz w:val="24"/>
              </w:rPr>
            </w:pPr>
            <w:r>
              <w:rPr>
                <w:rFonts w:hint="eastAsia"/>
                <w:b/>
                <w:bCs/>
                <w:color w:val="auto"/>
                <w:kern w:val="0"/>
                <w:sz w:val="24"/>
              </w:rPr>
              <w:t>表5-2    环境监测计划</w:t>
            </w:r>
          </w:p>
          <w:tbl>
            <w:tblPr>
              <w:tblStyle w:val="29"/>
              <w:tblW w:w="81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1143"/>
              <w:gridCol w:w="1890"/>
              <w:gridCol w:w="1110"/>
              <w:gridCol w:w="3343"/>
            </w:tblGrid>
            <w:tr w14:paraId="65B4C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670" w:type="dxa"/>
                  <w:tcBorders>
                    <w:top w:val="single" w:color="auto" w:sz="4" w:space="0"/>
                    <w:left w:val="single" w:color="auto" w:sz="4" w:space="0"/>
                    <w:bottom w:val="single" w:color="auto" w:sz="4" w:space="0"/>
                    <w:right w:val="single" w:color="auto" w:sz="4" w:space="0"/>
                  </w:tcBorders>
                  <w:vAlign w:val="center"/>
                </w:tcPr>
                <w:p w14:paraId="3F27DBB5">
                  <w:pPr>
                    <w:keepNext w:val="0"/>
                    <w:keepLines w:val="0"/>
                    <w:pageBreakBefore w:val="0"/>
                    <w:tabs>
                      <w:tab w:val="left" w:pos="3420"/>
                    </w:tabs>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监测内容</w:t>
                  </w:r>
                </w:p>
              </w:tc>
              <w:tc>
                <w:tcPr>
                  <w:tcW w:w="1143" w:type="dxa"/>
                  <w:tcBorders>
                    <w:top w:val="single" w:color="auto" w:sz="4" w:space="0"/>
                    <w:left w:val="single" w:color="auto" w:sz="4" w:space="0"/>
                    <w:bottom w:val="single" w:color="auto" w:sz="4" w:space="0"/>
                    <w:right w:val="single" w:color="auto" w:sz="4" w:space="0"/>
                  </w:tcBorders>
                  <w:vAlign w:val="center"/>
                </w:tcPr>
                <w:p w14:paraId="37EF874B">
                  <w:pPr>
                    <w:keepNext w:val="0"/>
                    <w:keepLines w:val="0"/>
                    <w:pageBreakBefore w:val="0"/>
                    <w:tabs>
                      <w:tab w:val="left" w:pos="3420"/>
                    </w:tabs>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监测因子</w:t>
                  </w:r>
                </w:p>
              </w:tc>
              <w:tc>
                <w:tcPr>
                  <w:tcW w:w="1890" w:type="dxa"/>
                  <w:tcBorders>
                    <w:top w:val="single" w:color="auto" w:sz="4" w:space="0"/>
                    <w:left w:val="single" w:color="auto" w:sz="4" w:space="0"/>
                    <w:bottom w:val="single" w:color="auto" w:sz="4" w:space="0"/>
                    <w:right w:val="single" w:color="auto" w:sz="4" w:space="0"/>
                  </w:tcBorders>
                  <w:vAlign w:val="center"/>
                </w:tcPr>
                <w:p w14:paraId="4D7282BF">
                  <w:pPr>
                    <w:keepNext w:val="0"/>
                    <w:keepLines w:val="0"/>
                    <w:pageBreakBefore w:val="0"/>
                    <w:tabs>
                      <w:tab w:val="left" w:pos="3420"/>
                    </w:tabs>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监测点位</w:t>
                  </w:r>
                </w:p>
              </w:tc>
              <w:tc>
                <w:tcPr>
                  <w:tcW w:w="1110" w:type="dxa"/>
                  <w:tcBorders>
                    <w:top w:val="single" w:color="auto" w:sz="4" w:space="0"/>
                    <w:left w:val="single" w:color="auto" w:sz="4" w:space="0"/>
                    <w:bottom w:val="single" w:color="auto" w:sz="4" w:space="0"/>
                    <w:right w:val="single" w:color="auto" w:sz="4" w:space="0"/>
                  </w:tcBorders>
                  <w:vAlign w:val="center"/>
                </w:tcPr>
                <w:p w14:paraId="7AD2396D">
                  <w:pPr>
                    <w:keepNext w:val="0"/>
                    <w:keepLines w:val="0"/>
                    <w:pageBreakBefore w:val="0"/>
                    <w:tabs>
                      <w:tab w:val="left" w:pos="3420"/>
                    </w:tabs>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监测频率</w:t>
                  </w:r>
                </w:p>
              </w:tc>
              <w:tc>
                <w:tcPr>
                  <w:tcW w:w="3343" w:type="dxa"/>
                  <w:tcBorders>
                    <w:top w:val="single" w:color="auto" w:sz="4" w:space="0"/>
                    <w:left w:val="single" w:color="auto" w:sz="4" w:space="0"/>
                    <w:bottom w:val="single" w:color="auto" w:sz="4" w:space="0"/>
                    <w:right w:val="single" w:color="auto" w:sz="4" w:space="0"/>
                  </w:tcBorders>
                  <w:vAlign w:val="center"/>
                </w:tcPr>
                <w:p w14:paraId="0214605B">
                  <w:pPr>
                    <w:keepNext w:val="0"/>
                    <w:keepLines w:val="0"/>
                    <w:pageBreakBefore w:val="0"/>
                    <w:tabs>
                      <w:tab w:val="left" w:pos="3420"/>
                    </w:tabs>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执行标准</w:t>
                  </w:r>
                </w:p>
              </w:tc>
            </w:tr>
            <w:tr w14:paraId="4A183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3" w:hRule="atLeast"/>
                <w:jc w:val="center"/>
              </w:trPr>
              <w:tc>
                <w:tcPr>
                  <w:tcW w:w="670" w:type="dxa"/>
                  <w:tcBorders>
                    <w:top w:val="single" w:color="auto" w:sz="4" w:space="0"/>
                    <w:left w:val="single" w:color="auto" w:sz="4" w:space="0"/>
                    <w:right w:val="single" w:color="auto" w:sz="4" w:space="0"/>
                  </w:tcBorders>
                  <w:vAlign w:val="center"/>
                </w:tcPr>
                <w:p w14:paraId="269A05B6">
                  <w:pPr>
                    <w:keepNext w:val="0"/>
                    <w:keepLines w:val="0"/>
                    <w:pageBreakBefore w:val="0"/>
                    <w:tabs>
                      <w:tab w:val="left" w:pos="3420"/>
                    </w:tabs>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噪声</w:t>
                  </w:r>
                </w:p>
              </w:tc>
              <w:tc>
                <w:tcPr>
                  <w:tcW w:w="1143" w:type="dxa"/>
                  <w:tcBorders>
                    <w:top w:val="single" w:color="auto" w:sz="4" w:space="0"/>
                    <w:left w:val="single" w:color="auto" w:sz="4" w:space="0"/>
                    <w:right w:val="single" w:color="auto" w:sz="4" w:space="0"/>
                  </w:tcBorders>
                  <w:vAlign w:val="center"/>
                </w:tcPr>
                <w:p w14:paraId="522982A3">
                  <w:pPr>
                    <w:keepNext w:val="0"/>
                    <w:keepLines w:val="0"/>
                    <w:pageBreakBefore w:val="0"/>
                    <w:tabs>
                      <w:tab w:val="left" w:pos="3420"/>
                    </w:tabs>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等效连续A声级</w:t>
                  </w:r>
                </w:p>
              </w:tc>
              <w:tc>
                <w:tcPr>
                  <w:tcW w:w="1890" w:type="dxa"/>
                  <w:tcBorders>
                    <w:top w:val="single" w:color="auto" w:sz="4" w:space="0"/>
                    <w:left w:val="single" w:color="auto" w:sz="4" w:space="0"/>
                    <w:bottom w:val="single" w:color="auto" w:sz="4" w:space="0"/>
                    <w:right w:val="single" w:color="auto" w:sz="4" w:space="0"/>
                  </w:tcBorders>
                  <w:vAlign w:val="center"/>
                </w:tcPr>
                <w:p w14:paraId="121F6FA1">
                  <w:pPr>
                    <w:keepNext w:val="0"/>
                    <w:keepLines w:val="0"/>
                    <w:pageBreakBefore w:val="0"/>
                    <w:widowControl/>
                    <w:kinsoku/>
                    <w:wordWrap/>
                    <w:overflowPunct/>
                    <w:topLinePunct w:val="0"/>
                    <w:autoSpaceDE/>
                    <w:autoSpaceDN/>
                    <w:bidi w:val="0"/>
                    <w:adjustRightInd/>
                    <w:snapToGrid/>
                    <w:spacing w:line="320" w:lineRule="exact"/>
                    <w:jc w:val="center"/>
                    <w:textAlignment w:val="auto"/>
                    <w:rPr>
                      <w:color w:val="auto"/>
                      <w:szCs w:val="21"/>
                    </w:rPr>
                  </w:pPr>
                  <w:r>
                    <w:rPr>
                      <w:color w:val="auto"/>
                      <w:kern w:val="0"/>
                      <w:szCs w:val="21"/>
                    </w:rPr>
                    <w:t>厂界四周</w:t>
                  </w:r>
                </w:p>
              </w:tc>
              <w:tc>
                <w:tcPr>
                  <w:tcW w:w="1110" w:type="dxa"/>
                  <w:tcBorders>
                    <w:top w:val="single" w:color="auto" w:sz="4" w:space="0"/>
                    <w:left w:val="single" w:color="auto" w:sz="4" w:space="0"/>
                    <w:bottom w:val="single" w:color="auto" w:sz="4" w:space="0"/>
                    <w:right w:val="single" w:color="auto" w:sz="4" w:space="0"/>
                  </w:tcBorders>
                  <w:vAlign w:val="center"/>
                </w:tcPr>
                <w:p w14:paraId="626A5772">
                  <w:pPr>
                    <w:keepNext w:val="0"/>
                    <w:keepLines w:val="0"/>
                    <w:pageBreakBefore w:val="0"/>
                    <w:kinsoku/>
                    <w:wordWrap/>
                    <w:overflowPunct/>
                    <w:topLinePunct w:val="0"/>
                    <w:autoSpaceDE/>
                    <w:autoSpaceDN/>
                    <w:bidi w:val="0"/>
                    <w:adjustRightInd/>
                    <w:snapToGrid/>
                    <w:spacing w:line="320" w:lineRule="exact"/>
                    <w:jc w:val="center"/>
                    <w:textAlignment w:val="auto"/>
                    <w:rPr>
                      <w:color w:val="auto"/>
                      <w:szCs w:val="21"/>
                    </w:rPr>
                  </w:pPr>
                  <w:r>
                    <w:rPr>
                      <w:rFonts w:hint="eastAsia"/>
                      <w:color w:val="auto"/>
                      <w:szCs w:val="21"/>
                    </w:rPr>
                    <w:t>1次/季度</w:t>
                  </w:r>
                </w:p>
              </w:tc>
              <w:tc>
                <w:tcPr>
                  <w:tcW w:w="3343" w:type="dxa"/>
                  <w:tcBorders>
                    <w:top w:val="single" w:color="auto" w:sz="4" w:space="0"/>
                    <w:left w:val="single" w:color="auto" w:sz="4" w:space="0"/>
                    <w:bottom w:val="single" w:color="auto" w:sz="4" w:space="0"/>
                    <w:right w:val="single" w:color="auto" w:sz="4" w:space="0"/>
                  </w:tcBorders>
                  <w:vAlign w:val="center"/>
                </w:tcPr>
                <w:p w14:paraId="453836E0">
                  <w:pPr>
                    <w:keepNext w:val="0"/>
                    <w:keepLines w:val="0"/>
                    <w:pageBreakBefore w:val="0"/>
                    <w:kinsoku/>
                    <w:wordWrap/>
                    <w:overflowPunct/>
                    <w:topLinePunct w:val="0"/>
                    <w:autoSpaceDE/>
                    <w:autoSpaceDN/>
                    <w:bidi w:val="0"/>
                    <w:adjustRightInd/>
                    <w:snapToGrid/>
                    <w:spacing w:line="320" w:lineRule="exact"/>
                    <w:jc w:val="center"/>
                    <w:textAlignment w:val="auto"/>
                    <w:rPr>
                      <w:color w:val="auto"/>
                      <w:szCs w:val="21"/>
                    </w:rPr>
                  </w:pPr>
                  <w:r>
                    <w:rPr>
                      <w:color w:val="auto"/>
                      <w:szCs w:val="21"/>
                    </w:rPr>
                    <w:t>《工业企业厂界环境噪声排放标准》</w:t>
                  </w:r>
                  <w:r>
                    <w:rPr>
                      <w:rFonts w:hint="eastAsia"/>
                      <w:color w:val="auto"/>
                      <w:szCs w:val="21"/>
                    </w:rPr>
                    <w:t>（</w:t>
                  </w:r>
                  <w:r>
                    <w:rPr>
                      <w:color w:val="auto"/>
                      <w:szCs w:val="21"/>
                    </w:rPr>
                    <w:t>GB12348</w:t>
                  </w:r>
                  <w:r>
                    <w:rPr>
                      <w:rFonts w:hint="eastAsia"/>
                      <w:color w:val="auto"/>
                      <w:szCs w:val="21"/>
                    </w:rPr>
                    <w:t>-</w:t>
                  </w:r>
                  <w:r>
                    <w:rPr>
                      <w:color w:val="auto"/>
                      <w:szCs w:val="21"/>
                    </w:rPr>
                    <w:t>2008）中</w:t>
                  </w:r>
                  <w:r>
                    <w:rPr>
                      <w:rFonts w:hint="eastAsia"/>
                      <w:color w:val="auto"/>
                      <w:szCs w:val="21"/>
                      <w:lang w:val="en-US" w:eastAsia="zh-CN"/>
                    </w:rPr>
                    <w:t>3</w:t>
                  </w:r>
                  <w:r>
                    <w:rPr>
                      <w:color w:val="auto"/>
                      <w:szCs w:val="21"/>
                    </w:rPr>
                    <w:t>类标准</w:t>
                  </w:r>
                </w:p>
              </w:tc>
            </w:tr>
            <w:tr w14:paraId="11CBF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3" w:hRule="atLeast"/>
                <w:jc w:val="center"/>
              </w:trPr>
              <w:tc>
                <w:tcPr>
                  <w:tcW w:w="670" w:type="dxa"/>
                  <w:tcBorders>
                    <w:left w:val="single" w:color="auto" w:sz="4" w:space="0"/>
                    <w:bottom w:val="single" w:color="auto" w:sz="4" w:space="0"/>
                    <w:right w:val="single" w:color="auto" w:sz="4" w:space="0"/>
                  </w:tcBorders>
                  <w:vAlign w:val="center"/>
                </w:tcPr>
                <w:p w14:paraId="737D228C">
                  <w:pPr>
                    <w:keepNext w:val="0"/>
                    <w:keepLines w:val="0"/>
                    <w:pageBreakBefore w:val="0"/>
                    <w:kinsoku/>
                    <w:wordWrap/>
                    <w:overflowPunct/>
                    <w:topLinePunct w:val="0"/>
                    <w:autoSpaceDE/>
                    <w:autoSpaceDN/>
                    <w:bidi w:val="0"/>
                    <w:adjustRightInd/>
                    <w:snapToGrid/>
                    <w:spacing w:line="320" w:lineRule="exact"/>
                    <w:jc w:val="center"/>
                    <w:textAlignment w:val="auto"/>
                    <w:rPr>
                      <w:color w:val="auto"/>
                    </w:rPr>
                  </w:pPr>
                  <w:r>
                    <w:rPr>
                      <w:rFonts w:hint="eastAsia"/>
                      <w:color w:val="auto"/>
                    </w:rPr>
                    <w:t>废气</w:t>
                  </w:r>
                </w:p>
              </w:tc>
              <w:tc>
                <w:tcPr>
                  <w:tcW w:w="1143" w:type="dxa"/>
                  <w:tcBorders>
                    <w:left w:val="single" w:color="auto" w:sz="4" w:space="0"/>
                    <w:bottom w:val="single" w:color="auto" w:sz="4" w:space="0"/>
                    <w:right w:val="single" w:color="auto" w:sz="4" w:space="0"/>
                  </w:tcBorders>
                  <w:vAlign w:val="center"/>
                </w:tcPr>
                <w:p w14:paraId="0F57E702">
                  <w:pPr>
                    <w:keepNext w:val="0"/>
                    <w:keepLines w:val="0"/>
                    <w:pageBreakBefore w:val="0"/>
                    <w:kinsoku/>
                    <w:wordWrap/>
                    <w:overflowPunct/>
                    <w:topLinePunct w:val="0"/>
                    <w:autoSpaceDE/>
                    <w:autoSpaceDN/>
                    <w:bidi w:val="0"/>
                    <w:adjustRightInd/>
                    <w:snapToGrid/>
                    <w:spacing w:line="320" w:lineRule="exact"/>
                    <w:jc w:val="center"/>
                    <w:textAlignment w:val="auto"/>
                    <w:rPr>
                      <w:color w:val="auto"/>
                    </w:rPr>
                  </w:pPr>
                  <w:r>
                    <w:rPr>
                      <w:rFonts w:hint="eastAsia"/>
                      <w:color w:val="auto"/>
                    </w:rPr>
                    <w:t>TSP</w:t>
                  </w:r>
                </w:p>
              </w:tc>
              <w:tc>
                <w:tcPr>
                  <w:tcW w:w="1890" w:type="dxa"/>
                  <w:tcBorders>
                    <w:top w:val="single" w:color="auto" w:sz="4" w:space="0"/>
                    <w:left w:val="single" w:color="auto" w:sz="4" w:space="0"/>
                    <w:bottom w:val="single" w:color="auto" w:sz="4" w:space="0"/>
                    <w:right w:val="single" w:color="auto" w:sz="4" w:space="0"/>
                  </w:tcBorders>
                  <w:vAlign w:val="center"/>
                </w:tcPr>
                <w:p w14:paraId="62A42C7F">
                  <w:pPr>
                    <w:keepNext w:val="0"/>
                    <w:keepLines w:val="0"/>
                    <w:pageBreakBefore w:val="0"/>
                    <w:kinsoku/>
                    <w:wordWrap/>
                    <w:overflowPunct/>
                    <w:topLinePunct w:val="0"/>
                    <w:autoSpaceDE/>
                    <w:autoSpaceDN/>
                    <w:bidi w:val="0"/>
                    <w:adjustRightInd/>
                    <w:snapToGrid/>
                    <w:spacing w:line="320" w:lineRule="exact"/>
                    <w:jc w:val="center"/>
                    <w:textAlignment w:val="auto"/>
                    <w:rPr>
                      <w:color w:val="auto"/>
                      <w:kern w:val="0"/>
                      <w:szCs w:val="21"/>
                    </w:rPr>
                  </w:pPr>
                  <w:r>
                    <w:rPr>
                      <w:rFonts w:hint="eastAsia"/>
                      <w:color w:val="auto"/>
                      <w:kern w:val="0"/>
                      <w:szCs w:val="21"/>
                    </w:rPr>
                    <w:t>厂界</w:t>
                  </w:r>
                  <w:r>
                    <w:rPr>
                      <w:color w:val="auto"/>
                      <w:kern w:val="0"/>
                      <w:szCs w:val="21"/>
                    </w:rPr>
                    <w:t>上风向</w:t>
                  </w:r>
                  <w:r>
                    <w:rPr>
                      <w:rFonts w:hint="eastAsia"/>
                      <w:color w:val="auto"/>
                      <w:kern w:val="0"/>
                      <w:szCs w:val="21"/>
                    </w:rPr>
                    <w:t>1个点、</w:t>
                  </w:r>
                  <w:r>
                    <w:rPr>
                      <w:color w:val="auto"/>
                      <w:kern w:val="0"/>
                      <w:szCs w:val="21"/>
                    </w:rPr>
                    <w:t>下风向</w:t>
                  </w:r>
                  <w:r>
                    <w:rPr>
                      <w:rFonts w:hint="eastAsia"/>
                      <w:color w:val="auto"/>
                      <w:kern w:val="0"/>
                      <w:szCs w:val="21"/>
                    </w:rPr>
                    <w:t>3个点</w:t>
                  </w:r>
                </w:p>
              </w:tc>
              <w:tc>
                <w:tcPr>
                  <w:tcW w:w="1110" w:type="dxa"/>
                  <w:tcBorders>
                    <w:top w:val="single" w:color="auto" w:sz="4" w:space="0"/>
                    <w:left w:val="single" w:color="auto" w:sz="4" w:space="0"/>
                    <w:bottom w:val="single" w:color="auto" w:sz="4" w:space="0"/>
                    <w:right w:val="single" w:color="auto" w:sz="4" w:space="0"/>
                  </w:tcBorders>
                  <w:vAlign w:val="center"/>
                </w:tcPr>
                <w:p w14:paraId="7B333F56">
                  <w:pPr>
                    <w:keepNext w:val="0"/>
                    <w:keepLines w:val="0"/>
                    <w:pageBreakBefore w:val="0"/>
                    <w:kinsoku/>
                    <w:wordWrap/>
                    <w:overflowPunct/>
                    <w:topLinePunct w:val="0"/>
                    <w:autoSpaceDE/>
                    <w:autoSpaceDN/>
                    <w:bidi w:val="0"/>
                    <w:adjustRightInd/>
                    <w:snapToGrid/>
                    <w:spacing w:line="320" w:lineRule="exact"/>
                    <w:jc w:val="center"/>
                    <w:textAlignment w:val="auto"/>
                    <w:rPr>
                      <w:color w:val="auto"/>
                      <w:szCs w:val="21"/>
                    </w:rPr>
                  </w:pPr>
                  <w:r>
                    <w:rPr>
                      <w:color w:val="auto"/>
                      <w:kern w:val="0"/>
                      <w:szCs w:val="21"/>
                    </w:rPr>
                    <w:t>1次</w:t>
                  </w:r>
                  <w:r>
                    <w:rPr>
                      <w:rFonts w:hint="eastAsia"/>
                      <w:color w:val="auto"/>
                      <w:kern w:val="0"/>
                      <w:szCs w:val="21"/>
                    </w:rPr>
                    <w:t>/年</w:t>
                  </w:r>
                </w:p>
              </w:tc>
              <w:tc>
                <w:tcPr>
                  <w:tcW w:w="3343" w:type="dxa"/>
                  <w:tcBorders>
                    <w:top w:val="single" w:color="auto" w:sz="4" w:space="0"/>
                    <w:left w:val="single" w:color="auto" w:sz="4" w:space="0"/>
                    <w:bottom w:val="single" w:color="auto" w:sz="4" w:space="0"/>
                    <w:right w:val="single" w:color="auto" w:sz="4" w:space="0"/>
                  </w:tcBorders>
                  <w:vAlign w:val="center"/>
                </w:tcPr>
                <w:p w14:paraId="0E6961EB">
                  <w:pPr>
                    <w:keepNext w:val="0"/>
                    <w:keepLines w:val="0"/>
                    <w:pageBreakBefore w:val="0"/>
                    <w:kinsoku/>
                    <w:wordWrap/>
                    <w:overflowPunct/>
                    <w:topLinePunct w:val="0"/>
                    <w:autoSpaceDE/>
                    <w:autoSpaceDN/>
                    <w:bidi w:val="0"/>
                    <w:adjustRightInd/>
                    <w:snapToGrid/>
                    <w:spacing w:line="320" w:lineRule="exact"/>
                    <w:jc w:val="center"/>
                    <w:textAlignment w:val="auto"/>
                    <w:rPr>
                      <w:color w:val="auto"/>
                      <w:kern w:val="0"/>
                      <w:szCs w:val="21"/>
                    </w:rPr>
                  </w:pPr>
                  <w:r>
                    <w:rPr>
                      <w:color w:val="auto"/>
                      <w:spacing w:val="5"/>
                    </w:rPr>
                    <w:t>《煤炭工业污染物</w:t>
                  </w:r>
                  <w:r>
                    <w:rPr>
                      <w:color w:val="auto"/>
                      <w:spacing w:val="7"/>
                    </w:rPr>
                    <w:t>排放标准》</w:t>
                  </w:r>
                  <w:r>
                    <w:rPr>
                      <w:rFonts w:hint="eastAsia"/>
                      <w:color w:val="auto"/>
                      <w:spacing w:val="7"/>
                    </w:rPr>
                    <w:t>（</w:t>
                  </w:r>
                  <w:r>
                    <w:rPr>
                      <w:rFonts w:eastAsia="Times New Roman"/>
                      <w:color w:val="auto"/>
                    </w:rPr>
                    <w:t>GB</w:t>
                  </w:r>
                  <w:r>
                    <w:rPr>
                      <w:rFonts w:eastAsia="Times New Roman"/>
                      <w:color w:val="auto"/>
                      <w:spacing w:val="7"/>
                    </w:rPr>
                    <w:t>20426</w:t>
                  </w:r>
                  <w:r>
                    <w:rPr>
                      <w:rFonts w:hint="eastAsia"/>
                      <w:color w:val="auto"/>
                      <w:spacing w:val="7"/>
                    </w:rPr>
                    <w:t>-</w:t>
                  </w:r>
                  <w:r>
                    <w:rPr>
                      <w:rFonts w:eastAsia="Times New Roman"/>
                      <w:color w:val="auto"/>
                      <w:spacing w:val="7"/>
                    </w:rPr>
                    <w:t>2006</w:t>
                  </w:r>
                  <w:r>
                    <w:rPr>
                      <w:color w:val="auto"/>
                      <w:spacing w:val="7"/>
                    </w:rPr>
                    <w:t>）</w:t>
                  </w:r>
                  <w:r>
                    <w:rPr>
                      <w:rFonts w:hint="eastAsia"/>
                      <w:color w:val="auto"/>
                      <w:spacing w:val="7"/>
                      <w:lang w:val="en-US" w:eastAsia="zh-CN"/>
                    </w:rPr>
                    <w:t>表5中</w:t>
                  </w:r>
                  <w:r>
                    <w:rPr>
                      <w:color w:val="auto"/>
                      <w:spacing w:val="7"/>
                    </w:rPr>
                    <w:t>颗粒物无组织排放限值</w:t>
                  </w:r>
                </w:p>
              </w:tc>
            </w:tr>
          </w:tbl>
          <w:p w14:paraId="739CEE73">
            <w:pPr>
              <w:adjustRightInd w:val="0"/>
              <w:snapToGrid w:val="0"/>
              <w:spacing w:line="360" w:lineRule="auto"/>
              <w:ind w:firstLine="460" w:firstLineChars="200"/>
              <w:rPr>
                <w:rFonts w:ascii="宋体" w:hAnsi="宋体" w:cs="宋体"/>
                <w:bCs/>
                <w:color w:val="auto"/>
                <w:spacing w:val="10"/>
                <w:szCs w:val="21"/>
              </w:rPr>
            </w:pPr>
          </w:p>
        </w:tc>
      </w:tr>
      <w:tr w14:paraId="2D6C6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05" w:hRule="atLeast"/>
          <w:jc w:val="center"/>
        </w:trPr>
        <w:tc>
          <w:tcPr>
            <w:tcW w:w="753" w:type="dxa"/>
            <w:vAlign w:val="center"/>
          </w:tcPr>
          <w:p w14:paraId="145CA9F4">
            <w:pPr>
              <w:adjustRightInd w:val="0"/>
              <w:snapToGrid w:val="0"/>
              <w:jc w:val="center"/>
              <w:rPr>
                <w:rFonts w:ascii="宋体" w:hAnsi="宋体" w:cs="宋体"/>
                <w:bCs/>
                <w:color w:val="auto"/>
                <w:spacing w:val="10"/>
                <w:szCs w:val="21"/>
              </w:rPr>
            </w:pPr>
            <w:r>
              <w:rPr>
                <w:rFonts w:hint="eastAsia" w:ascii="宋体" w:hAnsi="宋体"/>
                <w:bCs/>
                <w:color w:val="auto"/>
                <w:sz w:val="24"/>
              </w:rPr>
              <w:t>环保投资</w:t>
            </w:r>
          </w:p>
        </w:tc>
        <w:tc>
          <w:tcPr>
            <w:tcW w:w="8457" w:type="dxa"/>
          </w:tcPr>
          <w:p w14:paraId="2DEBFD0B">
            <w:pPr>
              <w:spacing w:line="500" w:lineRule="exact"/>
              <w:ind w:firstLine="480" w:firstLineChars="200"/>
              <w:jc w:val="left"/>
              <w:rPr>
                <w:b/>
                <w:color w:val="auto"/>
                <w:sz w:val="24"/>
              </w:rPr>
            </w:pPr>
            <w:r>
              <w:rPr>
                <w:rFonts w:hint="eastAsia"/>
                <w:bCs/>
                <w:color w:val="auto"/>
                <w:sz w:val="24"/>
              </w:rPr>
              <w:t>本项目</w:t>
            </w:r>
            <w:r>
              <w:rPr>
                <w:bCs/>
                <w:color w:val="auto"/>
                <w:sz w:val="24"/>
              </w:rPr>
              <w:t>总投资为</w:t>
            </w:r>
            <w:r>
              <w:rPr>
                <w:rFonts w:hint="eastAsia"/>
                <w:color w:val="auto"/>
                <w:sz w:val="24"/>
              </w:rPr>
              <w:t>6</w:t>
            </w:r>
            <w:r>
              <w:rPr>
                <w:color w:val="auto"/>
                <w:sz w:val="24"/>
              </w:rPr>
              <w:t>000</w:t>
            </w:r>
            <w:r>
              <w:rPr>
                <w:bCs/>
                <w:color w:val="auto"/>
                <w:sz w:val="24"/>
              </w:rPr>
              <w:t>万元，</w:t>
            </w:r>
            <w:r>
              <w:rPr>
                <w:rFonts w:hint="eastAsia"/>
                <w:bCs/>
                <w:color w:val="auto"/>
                <w:sz w:val="24"/>
              </w:rPr>
              <w:t>其中环保投资79.1万元，环保投资占总投资的1.32%</w:t>
            </w:r>
            <w:r>
              <w:rPr>
                <w:rFonts w:hint="eastAsia"/>
                <w:bCs/>
                <w:color w:val="auto"/>
                <w:sz w:val="24"/>
                <w:lang w:eastAsia="zh-CN"/>
              </w:rPr>
              <w:t>，</w:t>
            </w:r>
            <w:r>
              <w:rPr>
                <w:rFonts w:hint="eastAsia"/>
                <w:bCs/>
                <w:color w:val="auto"/>
                <w:sz w:val="24"/>
              </w:rPr>
              <w:t>具体见下表。</w:t>
            </w:r>
          </w:p>
          <w:p w14:paraId="6C391B3D">
            <w:pPr>
              <w:spacing w:line="500" w:lineRule="exact"/>
              <w:ind w:firstLine="1928" w:firstLineChars="800"/>
              <w:rPr>
                <w:b/>
                <w:bCs/>
                <w:color w:val="auto"/>
                <w:kern w:val="0"/>
                <w:sz w:val="24"/>
              </w:rPr>
            </w:pPr>
            <w:r>
              <w:rPr>
                <w:b/>
                <w:bCs/>
                <w:color w:val="auto"/>
                <w:kern w:val="0"/>
                <w:sz w:val="24"/>
              </w:rPr>
              <w:t>表</w:t>
            </w:r>
            <w:r>
              <w:rPr>
                <w:rFonts w:hint="eastAsia"/>
                <w:b/>
                <w:bCs/>
                <w:color w:val="auto"/>
                <w:kern w:val="0"/>
                <w:sz w:val="24"/>
              </w:rPr>
              <w:t xml:space="preserve">5-3    </w:t>
            </w:r>
            <w:r>
              <w:rPr>
                <w:b/>
                <w:bCs/>
                <w:color w:val="auto"/>
                <w:kern w:val="0"/>
                <w:sz w:val="24"/>
              </w:rPr>
              <w:t>环保措施及投资估算一览表</w:t>
            </w:r>
          </w:p>
          <w:tbl>
            <w:tblPr>
              <w:tblStyle w:val="29"/>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579"/>
              <w:gridCol w:w="705"/>
              <w:gridCol w:w="1374"/>
              <w:gridCol w:w="4750"/>
              <w:gridCol w:w="807"/>
            </w:tblGrid>
            <w:tr w14:paraId="49C5A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Align w:val="center"/>
                </w:tcPr>
                <w:p w14:paraId="425D6AF8">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类型</w:t>
                  </w:r>
                </w:p>
              </w:tc>
              <w:tc>
                <w:tcPr>
                  <w:tcW w:w="429" w:type="pct"/>
                  <w:vAlign w:val="center"/>
                </w:tcPr>
                <w:p w14:paraId="5D4414B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时期</w:t>
                  </w:r>
                </w:p>
              </w:tc>
              <w:tc>
                <w:tcPr>
                  <w:tcW w:w="836" w:type="pct"/>
                  <w:vAlign w:val="center"/>
                </w:tcPr>
                <w:p w14:paraId="636F6393">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污染工序</w:t>
                  </w:r>
                </w:p>
              </w:tc>
              <w:tc>
                <w:tcPr>
                  <w:tcW w:w="2891" w:type="pct"/>
                  <w:vAlign w:val="center"/>
                </w:tcPr>
                <w:p w14:paraId="26826EE3">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环保设施</w:t>
                  </w:r>
                </w:p>
              </w:tc>
              <w:tc>
                <w:tcPr>
                  <w:tcW w:w="491" w:type="pct"/>
                  <w:vAlign w:val="center"/>
                </w:tcPr>
                <w:p w14:paraId="11699626">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投资</w:t>
                  </w:r>
                </w:p>
                <w:p w14:paraId="243B0B0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eastAsia="zh-CN"/>
                    </w:rPr>
                    <w:t>（</w:t>
                  </w:r>
                  <w:r>
                    <w:rPr>
                      <w:rFonts w:hint="eastAsia" w:asciiTheme="minorEastAsia" w:hAnsiTheme="minorEastAsia" w:eastAsiaTheme="minorEastAsia" w:cstheme="minorEastAsia"/>
                      <w:color w:val="auto"/>
                      <w:sz w:val="21"/>
                      <w:szCs w:val="21"/>
                    </w:rPr>
                    <w:t>万元）</w:t>
                  </w:r>
                </w:p>
              </w:tc>
            </w:tr>
            <w:tr w14:paraId="39544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restart"/>
                  <w:vAlign w:val="center"/>
                </w:tcPr>
                <w:p w14:paraId="0DDE52CE">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废气</w:t>
                  </w:r>
                </w:p>
              </w:tc>
              <w:tc>
                <w:tcPr>
                  <w:tcW w:w="429" w:type="pct"/>
                  <w:vMerge w:val="restart"/>
                  <w:vAlign w:val="center"/>
                </w:tcPr>
                <w:p w14:paraId="334E54CD">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施工期</w:t>
                  </w:r>
                </w:p>
              </w:tc>
              <w:tc>
                <w:tcPr>
                  <w:tcW w:w="836" w:type="pct"/>
                  <w:vAlign w:val="center"/>
                </w:tcPr>
                <w:p w14:paraId="7FF2D6A8">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t>扬尘</w:t>
                  </w:r>
                </w:p>
              </w:tc>
              <w:tc>
                <w:tcPr>
                  <w:tcW w:w="2891" w:type="pct"/>
                  <w:vAlign w:val="center"/>
                </w:tcPr>
                <w:p w14:paraId="2F53EB34">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eastAsia="宋体" w:asciiTheme="minorEastAsia" w:hAnsiTheme="minorEastAsia" w:cstheme="minorEastAsia"/>
                      <w:color w:val="auto"/>
                      <w:szCs w:val="21"/>
                      <w:lang w:val="en-US" w:eastAsia="zh-CN"/>
                    </w:rPr>
                  </w:pPr>
                  <w:r>
                    <w:rPr>
                      <w:rFonts w:hint="eastAsia"/>
                      <w:color w:val="auto"/>
                      <w:szCs w:val="21"/>
                    </w:rPr>
                    <w:t>施工区设置围挡</w:t>
                  </w:r>
                  <w:r>
                    <w:rPr>
                      <w:rFonts w:hint="eastAsia"/>
                      <w:color w:val="auto"/>
                      <w:szCs w:val="21"/>
                      <w:lang w:eastAsia="zh-CN"/>
                    </w:rPr>
                    <w:t>；</w:t>
                  </w:r>
                  <w:r>
                    <w:rPr>
                      <w:color w:val="auto"/>
                      <w:szCs w:val="21"/>
                    </w:rPr>
                    <w:t>施工现场裸露场地采用抑尘网覆盖，并随时洒水抑尘；运输车辆加盖篷布，</w:t>
                  </w:r>
                  <w:r>
                    <w:rPr>
                      <w:rFonts w:hint="eastAsia"/>
                      <w:color w:val="auto"/>
                      <w:szCs w:val="21"/>
                    </w:rPr>
                    <w:t>施工区定期洒水；</w:t>
                  </w:r>
                  <w:r>
                    <w:rPr>
                      <w:color w:val="auto"/>
                      <w:szCs w:val="21"/>
                    </w:rPr>
                    <w:t>施工工地内堆放的粉状物料堆场采取封闭措施，易产生扬尘的物料应当采取覆盖防尘网或者防尘布等措施</w:t>
                  </w:r>
                  <w:r>
                    <w:rPr>
                      <w:rFonts w:hint="eastAsia"/>
                      <w:color w:val="auto"/>
                      <w:szCs w:val="21"/>
                      <w:lang w:eastAsia="zh-CN"/>
                    </w:rPr>
                    <w:t>；</w:t>
                  </w:r>
                  <w:r>
                    <w:rPr>
                      <w:color w:val="auto"/>
                      <w:szCs w:val="21"/>
                    </w:rPr>
                    <w:t>临时堆土进行拦挡、苫盖防护</w:t>
                  </w:r>
                  <w:r>
                    <w:rPr>
                      <w:rFonts w:hint="eastAsia"/>
                      <w:color w:val="auto"/>
                      <w:szCs w:val="21"/>
                      <w:lang w:eastAsia="zh-CN"/>
                    </w:rPr>
                    <w:t>；</w:t>
                  </w:r>
                  <w:r>
                    <w:rPr>
                      <w:rFonts w:hint="eastAsia"/>
                      <w:color w:val="auto"/>
                      <w:szCs w:val="21"/>
                      <w:lang w:val="en-US" w:eastAsia="zh-CN"/>
                    </w:rPr>
                    <w:t>井巷施工采用湿法作业</w:t>
                  </w:r>
                </w:p>
              </w:tc>
              <w:tc>
                <w:tcPr>
                  <w:tcW w:w="491" w:type="pct"/>
                  <w:vAlign w:val="center"/>
                </w:tcPr>
                <w:p w14:paraId="79E61B17">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10</w:t>
                  </w:r>
                </w:p>
              </w:tc>
            </w:tr>
            <w:tr w14:paraId="171CB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2FFF771E">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p>
              </w:tc>
              <w:tc>
                <w:tcPr>
                  <w:tcW w:w="429" w:type="pct"/>
                  <w:vMerge w:val="continue"/>
                  <w:vAlign w:val="center"/>
                </w:tcPr>
                <w:p w14:paraId="7B9D5F27">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p>
              </w:tc>
              <w:tc>
                <w:tcPr>
                  <w:tcW w:w="836" w:type="pct"/>
                  <w:vAlign w:val="center"/>
                </w:tcPr>
                <w:p w14:paraId="3E87023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val="en-US" w:eastAsia="zh-CN"/>
                    </w:rPr>
                    <w:t>施工机械与运输车辆尾气</w:t>
                  </w:r>
                </w:p>
              </w:tc>
              <w:tc>
                <w:tcPr>
                  <w:tcW w:w="2891" w:type="pct"/>
                  <w:vAlign w:val="center"/>
                </w:tcPr>
                <w:p w14:paraId="666281EC">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val="en-US" w:eastAsia="zh-CN"/>
                    </w:rPr>
                    <w:t>使用满足标准的施工机械和油品，做好设备的维护</w:t>
                  </w:r>
                </w:p>
              </w:tc>
              <w:tc>
                <w:tcPr>
                  <w:tcW w:w="491" w:type="pct"/>
                  <w:vAlign w:val="center"/>
                </w:tcPr>
                <w:p w14:paraId="7722434A">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1</w:t>
                  </w:r>
                </w:p>
              </w:tc>
            </w:tr>
            <w:tr w14:paraId="3CA99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15A9504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p>
              </w:tc>
              <w:tc>
                <w:tcPr>
                  <w:tcW w:w="429" w:type="pct"/>
                  <w:vAlign w:val="center"/>
                </w:tcPr>
                <w:p w14:paraId="00261C4D">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运营期</w:t>
                  </w:r>
                </w:p>
              </w:tc>
              <w:tc>
                <w:tcPr>
                  <w:tcW w:w="836" w:type="pct"/>
                  <w:vAlign w:val="center"/>
                </w:tcPr>
                <w:p w14:paraId="0331D7EF">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asciiTheme="minorEastAsia" w:hAnsiTheme="minorEastAsia" w:eastAsiaTheme="minorEastAsia" w:cstheme="minorEastAsia"/>
                      <w:color w:val="auto"/>
                      <w:sz w:val="21"/>
                      <w:szCs w:val="21"/>
                      <w:lang w:val="en-US" w:eastAsia="zh-CN"/>
                    </w:rPr>
                    <w:t>通风机排气中的微量煤尘</w:t>
                  </w:r>
                </w:p>
              </w:tc>
              <w:tc>
                <w:tcPr>
                  <w:tcW w:w="2891" w:type="pct"/>
                  <w:vAlign w:val="center"/>
                </w:tcPr>
                <w:p w14:paraId="34C66550">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Cs w:val="21"/>
                    </w:rPr>
                  </w:pPr>
                  <w:r>
                    <w:rPr>
                      <w:rFonts w:hint="eastAsia" w:asciiTheme="minorEastAsia" w:hAnsiTheme="minorEastAsia" w:eastAsiaTheme="minorEastAsia" w:cstheme="minorEastAsia"/>
                      <w:color w:val="auto"/>
                      <w:szCs w:val="21"/>
                    </w:rPr>
                    <w:t>设置风流净化水幕</w:t>
                  </w:r>
                  <w:r>
                    <w:rPr>
                      <w:rFonts w:hint="eastAsia" w:asciiTheme="minorEastAsia" w:hAnsiTheme="minorEastAsia" w:eastAsiaTheme="minorEastAsia" w:cstheme="minorEastAsia"/>
                      <w:color w:val="auto"/>
                      <w:szCs w:val="21"/>
                      <w:lang w:eastAsia="zh-CN"/>
                    </w:rPr>
                    <w:t>，</w:t>
                  </w:r>
                  <w:r>
                    <w:rPr>
                      <w:rFonts w:hint="eastAsia" w:asciiTheme="minorEastAsia" w:hAnsiTheme="minorEastAsia" w:eastAsiaTheme="minorEastAsia" w:cstheme="minorEastAsia"/>
                      <w:color w:val="auto"/>
                      <w:szCs w:val="21"/>
                    </w:rPr>
                    <w:t>设置喷雾洒水装置</w:t>
                  </w:r>
                  <w:r>
                    <w:rPr>
                      <w:rFonts w:hint="eastAsia" w:asciiTheme="minorEastAsia" w:hAnsiTheme="minorEastAsia" w:eastAsiaTheme="minorEastAsia" w:cstheme="minorEastAsia"/>
                      <w:color w:val="auto"/>
                      <w:szCs w:val="21"/>
                      <w:lang w:eastAsia="zh-CN"/>
                    </w:rPr>
                    <w:t>，粉尘积聚处定期清理、并撒布岩粉</w:t>
                  </w:r>
                </w:p>
              </w:tc>
              <w:tc>
                <w:tcPr>
                  <w:tcW w:w="491" w:type="pct"/>
                  <w:vAlign w:val="center"/>
                </w:tcPr>
                <w:p w14:paraId="11DB7C0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5</w:t>
                  </w:r>
                </w:p>
              </w:tc>
            </w:tr>
            <w:tr w14:paraId="75993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restart"/>
                  <w:vAlign w:val="center"/>
                </w:tcPr>
                <w:p w14:paraId="1E017B69">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废水</w:t>
                  </w:r>
                </w:p>
              </w:tc>
              <w:tc>
                <w:tcPr>
                  <w:tcW w:w="429" w:type="pct"/>
                  <w:vMerge w:val="restart"/>
                  <w:vAlign w:val="center"/>
                </w:tcPr>
                <w:p w14:paraId="58901D47">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val="en-US" w:eastAsia="zh-CN"/>
                    </w:rPr>
                    <w:t>施工期</w:t>
                  </w:r>
                </w:p>
              </w:tc>
              <w:tc>
                <w:tcPr>
                  <w:tcW w:w="836" w:type="pct"/>
                  <w:vAlign w:val="center"/>
                </w:tcPr>
                <w:p w14:paraId="31CE36CD">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t>施工废水</w:t>
                  </w:r>
                </w:p>
              </w:tc>
              <w:tc>
                <w:tcPr>
                  <w:tcW w:w="2891" w:type="pct"/>
                  <w:vAlign w:val="center"/>
                </w:tcPr>
                <w:p w14:paraId="2C7736D5">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ascii="宋体" w:hAnsi="宋体" w:cs="宋体"/>
                      <w:color w:val="auto"/>
                      <w:sz w:val="21"/>
                      <w:szCs w:val="21"/>
                      <w:lang w:val="en-US" w:eastAsia="zh-CN"/>
                    </w:rPr>
                    <w:t>施工废水经</w:t>
                  </w:r>
                  <w:r>
                    <w:rPr>
                      <w:rFonts w:hint="eastAsia" w:ascii="宋体" w:hAnsi="宋体" w:cs="宋体"/>
                      <w:color w:val="auto"/>
                      <w:sz w:val="21"/>
                      <w:szCs w:val="21"/>
                      <w:lang w:val="en-US" w:eastAsia="zh-CN"/>
                    </w:rPr>
                    <w:t>临时</w:t>
                  </w:r>
                  <w:r>
                    <w:rPr>
                      <w:rFonts w:ascii="宋体" w:hAnsi="宋体" w:cs="宋体"/>
                      <w:color w:val="auto"/>
                      <w:sz w:val="21"/>
                      <w:szCs w:val="21"/>
                      <w:lang w:val="en-US" w:eastAsia="zh-CN"/>
                    </w:rPr>
                    <w:t>沉淀池沉淀后循环利用</w:t>
                  </w:r>
                </w:p>
              </w:tc>
              <w:tc>
                <w:tcPr>
                  <w:tcW w:w="491" w:type="pct"/>
                  <w:vAlign w:val="center"/>
                </w:tcPr>
                <w:p w14:paraId="1CE77A29">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1</w:t>
                  </w:r>
                </w:p>
              </w:tc>
            </w:tr>
            <w:tr w14:paraId="53BFA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7EDBA274">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rPr>
                  </w:pPr>
                </w:p>
              </w:tc>
              <w:tc>
                <w:tcPr>
                  <w:tcW w:w="429" w:type="pct"/>
                  <w:vMerge w:val="continue"/>
                  <w:vAlign w:val="center"/>
                </w:tcPr>
                <w:p w14:paraId="49ED7C37">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宋体" w:hAnsi="宋体" w:cs="宋体"/>
                      <w:color w:val="auto"/>
                      <w:sz w:val="21"/>
                      <w:szCs w:val="21"/>
                      <w:lang w:val="en-US" w:eastAsia="zh-CN"/>
                    </w:rPr>
                  </w:pPr>
                </w:p>
              </w:tc>
              <w:tc>
                <w:tcPr>
                  <w:tcW w:w="836" w:type="pct"/>
                  <w:vAlign w:val="center"/>
                </w:tcPr>
                <w:p w14:paraId="36C71115">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宋体" w:hAnsi="宋体" w:cs="宋体"/>
                      <w:color w:val="auto"/>
                      <w:sz w:val="21"/>
                      <w:szCs w:val="21"/>
                      <w:lang w:val="en-US" w:eastAsia="zh-CN"/>
                    </w:rPr>
                    <w:t>生活污水</w:t>
                  </w:r>
                </w:p>
              </w:tc>
              <w:tc>
                <w:tcPr>
                  <w:tcW w:w="2891" w:type="pct"/>
                  <w:vAlign w:val="center"/>
                </w:tcPr>
                <w:p w14:paraId="2B4733C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hint="eastAsia" w:ascii="宋体" w:hAnsi="宋体" w:cs="宋体"/>
                      <w:color w:val="auto"/>
                      <w:sz w:val="21"/>
                      <w:szCs w:val="21"/>
                      <w:lang w:val="en-US" w:eastAsia="zh-CN"/>
                    </w:rPr>
                    <w:t>设置临时化粪池收集</w:t>
                  </w:r>
                </w:p>
              </w:tc>
              <w:tc>
                <w:tcPr>
                  <w:tcW w:w="491" w:type="pct"/>
                  <w:vAlign w:val="center"/>
                </w:tcPr>
                <w:p w14:paraId="54BFD9D4">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1</w:t>
                  </w:r>
                </w:p>
              </w:tc>
            </w:tr>
            <w:tr w14:paraId="43BB0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621D383E">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p>
              </w:tc>
              <w:tc>
                <w:tcPr>
                  <w:tcW w:w="429" w:type="pct"/>
                  <w:vMerge w:val="continue"/>
                  <w:vAlign w:val="center"/>
                </w:tcPr>
                <w:p w14:paraId="693AB763">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宋体" w:hAnsi="宋体" w:cs="宋体"/>
                      <w:color w:val="auto"/>
                      <w:sz w:val="21"/>
                      <w:szCs w:val="21"/>
                      <w:lang w:val="en-US" w:eastAsia="zh-CN"/>
                    </w:rPr>
                  </w:pPr>
                </w:p>
              </w:tc>
              <w:tc>
                <w:tcPr>
                  <w:tcW w:w="836" w:type="pct"/>
                  <w:vAlign w:val="center"/>
                </w:tcPr>
                <w:p w14:paraId="538FD4B4">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heme="minorEastAsia" w:hAnsiTheme="minorEastAsia" w:eastAsiaTheme="minorEastAsia" w:cstheme="minorEastAsia"/>
                      <w:color w:val="auto"/>
                      <w:sz w:val="21"/>
                      <w:szCs w:val="21"/>
                      <w:lang w:val="en-US" w:eastAsia="zh-CN"/>
                    </w:rPr>
                  </w:pPr>
                  <w:r>
                    <w:rPr>
                      <w:rFonts w:hint="eastAsia" w:ascii="宋体" w:hAnsi="宋体" w:cs="宋体"/>
                      <w:color w:val="auto"/>
                      <w:sz w:val="21"/>
                      <w:szCs w:val="21"/>
                      <w:lang w:val="en-US" w:eastAsia="zh-CN"/>
                    </w:rPr>
                    <w:t>井筒掘进涌水</w:t>
                  </w:r>
                </w:p>
              </w:tc>
              <w:tc>
                <w:tcPr>
                  <w:tcW w:w="2891" w:type="pct"/>
                  <w:vAlign w:val="center"/>
                </w:tcPr>
                <w:p w14:paraId="6CE65C23">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宋体" w:hAnsi="宋体" w:cs="宋体"/>
                      <w:color w:val="auto"/>
                      <w:sz w:val="21"/>
                      <w:szCs w:val="21"/>
                      <w:lang w:val="en-US" w:eastAsia="zh-CN"/>
                    </w:rPr>
                    <w:t>由抽水车定期集中抽排，运送至工业场地既有矿井水处理站处理后回用</w:t>
                  </w:r>
                </w:p>
              </w:tc>
              <w:tc>
                <w:tcPr>
                  <w:tcW w:w="491" w:type="pct"/>
                  <w:vAlign w:val="center"/>
                </w:tcPr>
                <w:p w14:paraId="04072C08">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1</w:t>
                  </w:r>
                </w:p>
              </w:tc>
            </w:tr>
            <w:tr w14:paraId="1D9E5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5BE935D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p>
              </w:tc>
              <w:tc>
                <w:tcPr>
                  <w:tcW w:w="429" w:type="pct"/>
                  <w:vAlign w:val="center"/>
                </w:tcPr>
                <w:p w14:paraId="6A728FD6">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宋体" w:hAnsi="宋体" w:cs="宋体"/>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运营期</w:t>
                  </w:r>
                </w:p>
              </w:tc>
              <w:tc>
                <w:tcPr>
                  <w:tcW w:w="836" w:type="pct"/>
                  <w:vAlign w:val="center"/>
                </w:tcPr>
                <w:p w14:paraId="103985B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宋体" w:hAnsi="宋体" w:cs="宋体"/>
                      <w:color w:val="auto"/>
                      <w:sz w:val="21"/>
                      <w:szCs w:val="21"/>
                      <w:lang w:val="en-US" w:eastAsia="zh-CN"/>
                    </w:rPr>
                  </w:pPr>
                  <w:r>
                    <w:rPr>
                      <w:rFonts w:ascii="宋体" w:hAnsi="宋体" w:cs="宋体"/>
                      <w:color w:val="auto"/>
                      <w:sz w:val="21"/>
                      <w:szCs w:val="21"/>
                      <w:lang w:val="en-US" w:eastAsia="zh-CN"/>
                    </w:rPr>
                    <w:t>乏风取热设施</w:t>
                  </w:r>
                  <w:r>
                    <w:rPr>
                      <w:rFonts w:hint="eastAsia" w:ascii="宋体" w:hAnsi="宋体" w:cs="宋体"/>
                      <w:color w:val="auto"/>
                      <w:sz w:val="21"/>
                      <w:szCs w:val="21"/>
                      <w:lang w:val="en-US" w:eastAsia="zh-CN"/>
                    </w:rPr>
                    <w:t>定期冲洗</w:t>
                  </w:r>
                  <w:r>
                    <w:rPr>
                      <w:rFonts w:ascii="宋体" w:hAnsi="宋体" w:cs="宋体"/>
                      <w:color w:val="auto"/>
                      <w:sz w:val="21"/>
                      <w:szCs w:val="21"/>
                      <w:lang w:val="en-US" w:eastAsia="zh-CN"/>
                    </w:rPr>
                    <w:t>废水</w:t>
                  </w:r>
                </w:p>
              </w:tc>
              <w:tc>
                <w:tcPr>
                  <w:tcW w:w="2891" w:type="pct"/>
                  <w:vAlign w:val="center"/>
                </w:tcPr>
                <w:p w14:paraId="16A56908">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宋体" w:hAnsi="宋体" w:cs="宋体"/>
                      <w:color w:val="auto"/>
                      <w:szCs w:val="21"/>
                    </w:rPr>
                  </w:pPr>
                  <w:r>
                    <w:rPr>
                      <w:rFonts w:ascii="宋体" w:hAnsi="宋体" w:cs="宋体"/>
                      <w:color w:val="auto"/>
                      <w:szCs w:val="21"/>
                    </w:rPr>
                    <w:t>乏风取热设施</w:t>
                  </w:r>
                  <w:r>
                    <w:rPr>
                      <w:rFonts w:hint="eastAsia" w:ascii="宋体" w:hAnsi="宋体" w:cs="宋体"/>
                      <w:color w:val="auto"/>
                      <w:szCs w:val="21"/>
                      <w:lang w:val="en-US" w:eastAsia="zh-CN"/>
                    </w:rPr>
                    <w:t>定期冲洗</w:t>
                  </w:r>
                  <w:r>
                    <w:rPr>
                      <w:rFonts w:ascii="宋体" w:hAnsi="宋体" w:cs="宋体"/>
                      <w:color w:val="auto"/>
                      <w:szCs w:val="21"/>
                    </w:rPr>
                    <w:t>废水</w:t>
                  </w:r>
                  <w:r>
                    <w:rPr>
                      <w:rFonts w:hint="eastAsia" w:ascii="宋体" w:hAnsi="宋体" w:cs="宋体"/>
                      <w:color w:val="auto"/>
                      <w:szCs w:val="21"/>
                      <w:lang w:eastAsia="zh-CN"/>
                    </w:rPr>
                    <w:t>，</w:t>
                  </w:r>
                  <w:r>
                    <w:rPr>
                      <w:rFonts w:hint="eastAsia" w:ascii="宋体" w:hAnsi="宋体" w:cs="宋体"/>
                      <w:color w:val="auto"/>
                      <w:szCs w:val="21"/>
                    </w:rPr>
                    <w:t>经</w:t>
                  </w:r>
                  <w:r>
                    <w:rPr>
                      <w:rFonts w:ascii="宋体" w:hAnsi="宋体" w:cs="宋体"/>
                      <w:color w:val="auto"/>
                      <w:szCs w:val="21"/>
                    </w:rPr>
                    <w:t>收集后进入</w:t>
                  </w:r>
                  <w:r>
                    <w:rPr>
                      <w:rFonts w:hint="eastAsia" w:ascii="宋体" w:hAnsi="宋体" w:cs="宋体"/>
                      <w:color w:val="auto"/>
                      <w:szCs w:val="21"/>
                    </w:rPr>
                    <w:t>废水</w:t>
                  </w:r>
                  <w:r>
                    <w:rPr>
                      <w:rFonts w:ascii="宋体" w:hAnsi="宋体" w:cs="宋体"/>
                      <w:color w:val="auto"/>
                      <w:szCs w:val="21"/>
                    </w:rPr>
                    <w:t>收集池，</w:t>
                  </w:r>
                  <w:r>
                    <w:rPr>
                      <w:rFonts w:hint="eastAsia" w:ascii="宋体" w:hAnsi="宋体" w:cs="宋体"/>
                      <w:color w:val="auto"/>
                      <w:szCs w:val="21"/>
                    </w:rPr>
                    <w:t>最终</w:t>
                  </w:r>
                  <w:r>
                    <w:rPr>
                      <w:rFonts w:ascii="宋体" w:hAnsi="宋体" w:cs="宋体"/>
                      <w:color w:val="auto"/>
                      <w:szCs w:val="21"/>
                    </w:rPr>
                    <w:t>送至</w:t>
                  </w:r>
                  <w:r>
                    <w:rPr>
                      <w:rFonts w:hint="eastAsia" w:ascii="宋体" w:hAnsi="宋体" w:cs="宋体"/>
                      <w:color w:val="auto"/>
                      <w:szCs w:val="21"/>
                    </w:rPr>
                    <w:t>李家壕煤矿</w:t>
                  </w:r>
                  <w:r>
                    <w:rPr>
                      <w:rFonts w:ascii="宋体" w:hAnsi="宋体" w:cs="宋体"/>
                      <w:color w:val="auto"/>
                      <w:szCs w:val="21"/>
                    </w:rPr>
                    <w:t>矿井水处理站进行处理</w:t>
                  </w:r>
                </w:p>
              </w:tc>
              <w:tc>
                <w:tcPr>
                  <w:tcW w:w="491" w:type="pct"/>
                  <w:vAlign w:val="center"/>
                </w:tcPr>
                <w:p w14:paraId="725019B6">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3</w:t>
                  </w:r>
                </w:p>
              </w:tc>
            </w:tr>
            <w:tr w14:paraId="2DC2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restart"/>
                  <w:vAlign w:val="center"/>
                </w:tcPr>
                <w:p w14:paraId="28C03F34">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噪声</w:t>
                  </w:r>
                </w:p>
              </w:tc>
              <w:tc>
                <w:tcPr>
                  <w:tcW w:w="429" w:type="pct"/>
                  <w:vAlign w:val="center"/>
                </w:tcPr>
                <w:p w14:paraId="60096EBC">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t>施工</w:t>
                  </w:r>
                  <w:r>
                    <w:rPr>
                      <w:rFonts w:hint="eastAsia" w:asciiTheme="minorEastAsia" w:hAnsiTheme="minorEastAsia" w:eastAsiaTheme="minorEastAsia" w:cstheme="minorEastAsia"/>
                      <w:color w:val="auto"/>
                      <w:sz w:val="21"/>
                      <w:szCs w:val="21"/>
                      <w:lang w:val="en-US" w:eastAsia="zh-CN"/>
                    </w:rPr>
                    <w:t>期</w:t>
                  </w:r>
                </w:p>
              </w:tc>
              <w:tc>
                <w:tcPr>
                  <w:tcW w:w="836" w:type="pct"/>
                  <w:vAlign w:val="center"/>
                </w:tcPr>
                <w:p w14:paraId="7433950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t>噪声</w:t>
                  </w:r>
                </w:p>
              </w:tc>
              <w:tc>
                <w:tcPr>
                  <w:tcW w:w="2891" w:type="pct"/>
                  <w:vAlign w:val="center"/>
                </w:tcPr>
                <w:p w14:paraId="145498F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default" w:ascii="Times New Roman" w:hAnsi="Times New Roman" w:cs="Times New Roman" w:eastAsiaTheme="minorEastAsia"/>
                      <w:color w:val="auto"/>
                      <w:sz w:val="21"/>
                      <w:szCs w:val="21"/>
                      <w:lang w:eastAsia="zh-CN"/>
                    </w:rPr>
                    <w:t>合理安排施工时间，禁止夜间、中午施工；</w:t>
                  </w:r>
                  <w:r>
                    <w:rPr>
                      <w:rFonts w:hint="default" w:ascii="Times New Roman" w:hAnsi="Times New Roman" w:cs="Times New Roman" w:eastAsiaTheme="minorEastAsia"/>
                      <w:color w:val="auto"/>
                      <w:sz w:val="21"/>
                      <w:szCs w:val="21"/>
                      <w:lang w:val="en-US" w:eastAsia="zh-CN"/>
                    </w:rPr>
                    <w:t>选用低噪声机械设备，并及时维修保养；合理布局施工设备，高噪声设备远离敏感点；运输车辆限速、禁鸣</w:t>
                  </w:r>
                  <w:r>
                    <w:rPr>
                      <w:rFonts w:hint="default" w:ascii="Times New Roman" w:hAnsi="Times New Roman" w:cs="Times New Roman" w:eastAsiaTheme="minorEastAsia"/>
                      <w:color w:val="auto"/>
                      <w:sz w:val="21"/>
                      <w:szCs w:val="21"/>
                      <w:lang w:eastAsia="zh-CN"/>
                    </w:rPr>
                    <w:t>等措施降噪</w:t>
                  </w:r>
                </w:p>
              </w:tc>
              <w:tc>
                <w:tcPr>
                  <w:tcW w:w="491" w:type="pct"/>
                  <w:vAlign w:val="center"/>
                </w:tcPr>
                <w:p w14:paraId="265B6829">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5</w:t>
                  </w:r>
                </w:p>
              </w:tc>
            </w:tr>
            <w:tr w14:paraId="22307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4628E0F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color w:val="auto"/>
                    </w:rPr>
                  </w:pPr>
                </w:p>
              </w:tc>
              <w:tc>
                <w:tcPr>
                  <w:tcW w:w="429" w:type="pct"/>
                  <w:vAlign w:val="center"/>
                </w:tcPr>
                <w:p w14:paraId="5B7ACFD7">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运营期</w:t>
                  </w:r>
                </w:p>
              </w:tc>
              <w:tc>
                <w:tcPr>
                  <w:tcW w:w="836" w:type="pct"/>
                  <w:vAlign w:val="center"/>
                </w:tcPr>
                <w:p w14:paraId="2EFC5B58">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设备噪声</w:t>
                  </w:r>
                </w:p>
              </w:tc>
              <w:tc>
                <w:tcPr>
                  <w:tcW w:w="2891" w:type="pct"/>
                  <w:vAlign w:val="center"/>
                </w:tcPr>
                <w:p w14:paraId="3367BBE5">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t>隔声、吸声、</w:t>
                  </w:r>
                  <w:r>
                    <w:rPr>
                      <w:rFonts w:hint="eastAsia" w:asciiTheme="minorEastAsia" w:hAnsiTheme="minorEastAsia" w:eastAsiaTheme="minorEastAsia" w:cstheme="minorEastAsia"/>
                      <w:color w:val="auto"/>
                      <w:sz w:val="21"/>
                      <w:szCs w:val="21"/>
                      <w:lang w:val="en-US" w:eastAsia="zh-CN"/>
                    </w:rPr>
                    <w:t>基础减</w:t>
                  </w:r>
                  <w:r>
                    <w:rPr>
                      <w:rFonts w:hint="eastAsia" w:asciiTheme="minorEastAsia" w:hAnsiTheme="minorEastAsia" w:eastAsiaTheme="minorEastAsia" w:cstheme="minorEastAsia"/>
                      <w:color w:val="auto"/>
                      <w:sz w:val="21"/>
                      <w:szCs w:val="21"/>
                      <w:lang w:eastAsia="zh-CN"/>
                    </w:rPr>
                    <w:t>振、消声等设施</w:t>
                  </w:r>
                </w:p>
              </w:tc>
              <w:tc>
                <w:tcPr>
                  <w:tcW w:w="491" w:type="pct"/>
                  <w:vAlign w:val="center"/>
                </w:tcPr>
                <w:p w14:paraId="534D6DE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5</w:t>
                  </w:r>
                </w:p>
              </w:tc>
            </w:tr>
            <w:tr w14:paraId="3C105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restart"/>
                  <w:vAlign w:val="center"/>
                </w:tcPr>
                <w:p w14:paraId="6A981B8C">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固废</w:t>
                  </w:r>
                </w:p>
              </w:tc>
              <w:tc>
                <w:tcPr>
                  <w:tcW w:w="429" w:type="pct"/>
                  <w:vMerge w:val="restart"/>
                  <w:vAlign w:val="center"/>
                </w:tcPr>
                <w:p w14:paraId="3ECE9D76">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eastAsia="zh-CN"/>
                    </w:rPr>
                    <w:t>施工</w:t>
                  </w:r>
                  <w:r>
                    <w:rPr>
                      <w:rFonts w:hint="eastAsia" w:asciiTheme="minorEastAsia" w:hAnsiTheme="minorEastAsia" w:eastAsiaTheme="minorEastAsia" w:cstheme="minorEastAsia"/>
                      <w:color w:val="auto"/>
                      <w:sz w:val="21"/>
                      <w:szCs w:val="21"/>
                      <w:lang w:val="en-US" w:eastAsia="zh-CN"/>
                    </w:rPr>
                    <w:t>期</w:t>
                  </w:r>
                </w:p>
              </w:tc>
              <w:tc>
                <w:tcPr>
                  <w:tcW w:w="836" w:type="pct"/>
                  <w:shd w:val="clear" w:color="auto" w:fill="auto"/>
                  <w:vAlign w:val="center"/>
                </w:tcPr>
                <w:p w14:paraId="41FBA77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kern w:val="2"/>
                      <w:sz w:val="21"/>
                      <w:szCs w:val="21"/>
                      <w:lang w:val="zh-TW" w:eastAsia="zh-CN" w:bidi="zh-TW"/>
                    </w:rPr>
                  </w:pPr>
                  <w:r>
                    <w:rPr>
                      <w:rFonts w:hint="eastAsia"/>
                      <w:color w:val="auto"/>
                      <w:sz w:val="21"/>
                      <w:szCs w:val="21"/>
                      <w:lang w:val="en-US" w:eastAsia="zh-CN"/>
                    </w:rPr>
                    <w:t>弃土方</w:t>
                  </w:r>
                </w:p>
              </w:tc>
              <w:tc>
                <w:tcPr>
                  <w:tcW w:w="2891" w:type="pct"/>
                  <w:shd w:val="clear" w:color="auto" w:fill="auto"/>
                  <w:vAlign w:val="center"/>
                </w:tcPr>
                <w:p w14:paraId="2C986A0F">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kern w:val="2"/>
                      <w:sz w:val="21"/>
                      <w:szCs w:val="21"/>
                      <w:lang w:val="en-US" w:eastAsia="zh-CN" w:bidi="zh-TW"/>
                    </w:rPr>
                  </w:pPr>
                  <w:r>
                    <w:rPr>
                      <w:rFonts w:hint="eastAsia" w:asciiTheme="minorEastAsia" w:hAnsiTheme="minorEastAsia" w:eastAsiaTheme="minorEastAsia" w:cstheme="minorEastAsia"/>
                      <w:color w:val="auto"/>
                      <w:sz w:val="21"/>
                      <w:szCs w:val="21"/>
                      <w:lang w:val="en-US" w:eastAsia="zh-CN"/>
                    </w:rPr>
                    <w:t>基础开挖和风井开挖产生的余方全部用于场地平整，无弃方产生</w:t>
                  </w:r>
                </w:p>
              </w:tc>
              <w:tc>
                <w:tcPr>
                  <w:tcW w:w="491" w:type="pct"/>
                  <w:shd w:val="clear" w:color="auto" w:fill="auto"/>
                  <w:vAlign w:val="center"/>
                </w:tcPr>
                <w:p w14:paraId="7702EAC4">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kern w:val="2"/>
                      <w:sz w:val="21"/>
                      <w:szCs w:val="21"/>
                      <w:lang w:val="en-US" w:eastAsia="zh-CN" w:bidi="zh-TW"/>
                    </w:rPr>
                  </w:pPr>
                  <w:r>
                    <w:rPr>
                      <w:rFonts w:hint="eastAsia" w:ascii="Times New Roman" w:hAnsi="Times New Roman" w:cs="Times New Roman" w:eastAsiaTheme="minorEastAsia"/>
                      <w:color w:val="auto"/>
                      <w:sz w:val="21"/>
                      <w:szCs w:val="21"/>
                      <w:lang w:val="en-US" w:eastAsia="zh-CN"/>
                    </w:rPr>
                    <w:t>5</w:t>
                  </w:r>
                </w:p>
              </w:tc>
            </w:tr>
            <w:tr w14:paraId="23D2E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51DF4855">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heme="minorEastAsia" w:hAnsiTheme="minorEastAsia" w:eastAsiaTheme="minorEastAsia" w:cstheme="minorEastAsia"/>
                      <w:color w:val="auto"/>
                      <w:sz w:val="21"/>
                      <w:szCs w:val="21"/>
                    </w:rPr>
                  </w:pPr>
                </w:p>
              </w:tc>
              <w:tc>
                <w:tcPr>
                  <w:tcW w:w="429" w:type="pct"/>
                  <w:vMerge w:val="continue"/>
                  <w:vAlign w:val="center"/>
                </w:tcPr>
                <w:p w14:paraId="311D713C">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heme="minorEastAsia" w:hAnsiTheme="minorEastAsia" w:eastAsiaTheme="minorEastAsia" w:cstheme="minorEastAsia"/>
                      <w:color w:val="auto"/>
                      <w:sz w:val="21"/>
                      <w:szCs w:val="21"/>
                      <w:lang w:eastAsia="zh-CN"/>
                    </w:rPr>
                  </w:pPr>
                </w:p>
              </w:tc>
              <w:tc>
                <w:tcPr>
                  <w:tcW w:w="836" w:type="pct"/>
                  <w:shd w:val="clear" w:color="auto" w:fill="auto"/>
                  <w:vAlign w:val="center"/>
                </w:tcPr>
                <w:p w14:paraId="42CEB67D">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color w:val="auto"/>
                      <w:sz w:val="21"/>
                      <w:szCs w:val="21"/>
                      <w:lang w:val="en-US" w:eastAsia="zh-CN"/>
                    </w:rPr>
                  </w:pPr>
                  <w:r>
                    <w:rPr>
                      <w:rFonts w:hint="eastAsia"/>
                      <w:color w:val="auto"/>
                      <w:sz w:val="21"/>
                      <w:szCs w:val="21"/>
                      <w:lang w:val="en-US" w:eastAsia="zh-CN"/>
                    </w:rPr>
                    <w:t>井巷施工产生的废弃物</w:t>
                  </w:r>
                </w:p>
              </w:tc>
              <w:tc>
                <w:tcPr>
                  <w:tcW w:w="2891" w:type="pct"/>
                  <w:shd w:val="clear" w:color="auto" w:fill="auto"/>
                  <w:vAlign w:val="center"/>
                </w:tcPr>
                <w:p w14:paraId="29063EBC">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煤和半煤岩送至李家壕煤矿配套的洗煤厂进行综合利用，煤矸石送至鄂尔多斯市金通矿业有限公司利用煤矸石复垦露天采坑</w:t>
                  </w:r>
                </w:p>
              </w:tc>
              <w:tc>
                <w:tcPr>
                  <w:tcW w:w="491" w:type="pct"/>
                  <w:shd w:val="clear" w:color="auto" w:fill="auto"/>
                  <w:vAlign w:val="center"/>
                </w:tcPr>
                <w:p w14:paraId="3BA65B5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5</w:t>
                  </w:r>
                </w:p>
              </w:tc>
            </w:tr>
            <w:tr w14:paraId="6E2F4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424E1EF5">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p>
              </w:tc>
              <w:tc>
                <w:tcPr>
                  <w:tcW w:w="429" w:type="pct"/>
                  <w:vMerge w:val="continue"/>
                  <w:vAlign w:val="center"/>
                </w:tcPr>
                <w:p w14:paraId="30BC93E8">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p>
              </w:tc>
              <w:tc>
                <w:tcPr>
                  <w:tcW w:w="836" w:type="pct"/>
                  <w:shd w:val="clear" w:color="auto" w:fill="auto"/>
                  <w:vAlign w:val="center"/>
                </w:tcPr>
                <w:p w14:paraId="0A9ECAC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kern w:val="2"/>
                      <w:sz w:val="21"/>
                      <w:szCs w:val="21"/>
                      <w:lang w:val="zh-TW" w:eastAsia="zh-CN" w:bidi="zh-TW"/>
                    </w:rPr>
                  </w:pPr>
                  <w:r>
                    <w:rPr>
                      <w:rFonts w:hint="eastAsia" w:asciiTheme="minorEastAsia" w:hAnsiTheme="minorEastAsia" w:eastAsiaTheme="minorEastAsia" w:cstheme="minorEastAsia"/>
                      <w:color w:val="auto"/>
                      <w:sz w:val="21"/>
                      <w:szCs w:val="21"/>
                    </w:rPr>
                    <w:t>生活垃圾</w:t>
                  </w:r>
                </w:p>
              </w:tc>
              <w:tc>
                <w:tcPr>
                  <w:tcW w:w="2891" w:type="pct"/>
                  <w:shd w:val="clear" w:color="auto" w:fill="auto"/>
                  <w:vAlign w:val="center"/>
                </w:tcPr>
                <w:p w14:paraId="56707DC7">
                  <w:pPr>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color w:val="auto"/>
                      <w:szCs w:val="21"/>
                    </w:rPr>
                    <w:t>设置垃圾桶，生活垃圾集中收集后交当地环卫部门处置</w:t>
                  </w:r>
                </w:p>
              </w:tc>
              <w:tc>
                <w:tcPr>
                  <w:tcW w:w="491" w:type="pct"/>
                  <w:shd w:val="clear" w:color="auto" w:fill="auto"/>
                  <w:vAlign w:val="center"/>
                </w:tcPr>
                <w:p w14:paraId="7FFEE589">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kern w:val="2"/>
                      <w:sz w:val="21"/>
                      <w:szCs w:val="21"/>
                      <w:lang w:val="en-US" w:eastAsia="zh-CN" w:bidi="zh-TW"/>
                    </w:rPr>
                  </w:pPr>
                  <w:r>
                    <w:rPr>
                      <w:rFonts w:ascii="Times New Roman" w:hAnsi="Times New Roman" w:cs="Times New Roman" w:eastAsiaTheme="minorEastAsia"/>
                      <w:color w:val="auto"/>
                      <w:sz w:val="21"/>
                      <w:szCs w:val="21"/>
                      <w:lang w:val="en-US" w:eastAsia="zh-CN"/>
                    </w:rPr>
                    <w:t>0.1</w:t>
                  </w:r>
                </w:p>
              </w:tc>
            </w:tr>
            <w:tr w14:paraId="17949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4AF662A6">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p>
              </w:tc>
              <w:tc>
                <w:tcPr>
                  <w:tcW w:w="429" w:type="pct"/>
                  <w:vMerge w:val="continue"/>
                  <w:vAlign w:val="center"/>
                </w:tcPr>
                <w:p w14:paraId="0C9E233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p>
              </w:tc>
              <w:tc>
                <w:tcPr>
                  <w:tcW w:w="836" w:type="pct"/>
                  <w:vAlign w:val="center"/>
                </w:tcPr>
                <w:p w14:paraId="691C4176">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color w:val="auto"/>
                      <w:sz w:val="21"/>
                      <w:szCs w:val="21"/>
                      <w:lang w:val="en-US" w:eastAsia="zh-CN"/>
                    </w:rPr>
                    <w:t>建筑垃圾</w:t>
                  </w:r>
                </w:p>
              </w:tc>
              <w:tc>
                <w:tcPr>
                  <w:tcW w:w="2891" w:type="pct"/>
                  <w:vAlign w:val="center"/>
                </w:tcPr>
                <w:p w14:paraId="289D74C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lang w:eastAsia="zh-CN"/>
                    </w:rPr>
                    <w:t>按要求分类处置，废金属、钢材与纸质废包装等可回收利用的垃圾可卖废品，其他难以回收利用的垃圾分类收集后送至政府指定地点堆放</w:t>
                  </w:r>
                </w:p>
              </w:tc>
              <w:tc>
                <w:tcPr>
                  <w:tcW w:w="491" w:type="pct"/>
                  <w:vAlign w:val="center"/>
                </w:tcPr>
                <w:p w14:paraId="32127917">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2</w:t>
                  </w:r>
                </w:p>
              </w:tc>
            </w:tr>
            <w:tr w14:paraId="1CBE2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352" w:type="pct"/>
                  <w:vMerge w:val="continue"/>
                  <w:vAlign w:val="center"/>
                </w:tcPr>
                <w:p w14:paraId="687E0C1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p>
              </w:tc>
              <w:tc>
                <w:tcPr>
                  <w:tcW w:w="429" w:type="pct"/>
                  <w:vAlign w:val="center"/>
                </w:tcPr>
                <w:p w14:paraId="43C9213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color w:val="auto"/>
                      <w:sz w:val="21"/>
                      <w:szCs w:val="21"/>
                      <w:lang w:val="en-US" w:eastAsia="zh-CN"/>
                    </w:rPr>
                    <w:t>运营期</w:t>
                  </w:r>
                </w:p>
              </w:tc>
              <w:tc>
                <w:tcPr>
                  <w:tcW w:w="836" w:type="pct"/>
                  <w:vAlign w:val="center"/>
                </w:tcPr>
                <w:p w14:paraId="13F5293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color w:val="auto"/>
                      <w:sz w:val="21"/>
                      <w:szCs w:val="21"/>
                      <w:lang w:val="en-US" w:eastAsia="zh-CN"/>
                    </w:rPr>
                  </w:pPr>
                  <w:r>
                    <w:rPr>
                      <w:rFonts w:hint="eastAsia"/>
                      <w:color w:val="auto"/>
                      <w:sz w:val="21"/>
                      <w:szCs w:val="21"/>
                      <w:lang w:val="en-US" w:eastAsia="zh-CN"/>
                    </w:rPr>
                    <w:t>废机油和废油桶</w:t>
                  </w:r>
                </w:p>
              </w:tc>
              <w:tc>
                <w:tcPr>
                  <w:tcW w:w="2891" w:type="pct"/>
                  <w:vAlign w:val="center"/>
                </w:tcPr>
                <w:p w14:paraId="5AA8B9ED">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eastAsia" w:asciiTheme="minorEastAsia" w:hAnsiTheme="minorEastAsia" w:eastAsiaTheme="minorEastAsia" w:cstheme="minorEastAsia"/>
                      <w:color w:val="auto"/>
                      <w:sz w:val="21"/>
                      <w:szCs w:val="21"/>
                      <w:lang w:eastAsia="zh-CN"/>
                    </w:rPr>
                  </w:pPr>
                  <w:r>
                    <w:rPr>
                      <w:rFonts w:hint="default" w:ascii="Times New Roman" w:hAnsi="Times New Roman" w:cs="Times New Roman" w:eastAsiaTheme="minorEastAsia"/>
                      <w:color w:val="auto"/>
                      <w:sz w:val="21"/>
                      <w:szCs w:val="21"/>
                      <w:lang w:val="en-US" w:eastAsia="zh-CN"/>
                    </w:rPr>
                    <w:t>暂存于李家壕煤矿现有危废暂存库（360m</w:t>
                  </w:r>
                  <w:r>
                    <w:rPr>
                      <w:rFonts w:hint="default" w:ascii="Times New Roman" w:hAnsi="Times New Roman" w:cs="Times New Roman" w:eastAsiaTheme="minorEastAsia"/>
                      <w:color w:val="auto"/>
                      <w:sz w:val="21"/>
                      <w:szCs w:val="21"/>
                      <w:vertAlign w:val="superscript"/>
                      <w:lang w:val="en-US" w:eastAsia="zh-CN"/>
                    </w:rPr>
                    <w:t>2</w:t>
                  </w:r>
                  <w:r>
                    <w:rPr>
                      <w:rFonts w:hint="default" w:ascii="Times New Roman" w:hAnsi="Times New Roman" w:cs="Times New Roman" w:eastAsiaTheme="minorEastAsia"/>
                      <w:color w:val="auto"/>
                      <w:sz w:val="21"/>
                      <w:szCs w:val="21"/>
                      <w:lang w:val="en-US" w:eastAsia="zh-CN"/>
                    </w:rPr>
                    <w:t>），委托有资质单位集中处置</w:t>
                  </w:r>
                </w:p>
              </w:tc>
              <w:tc>
                <w:tcPr>
                  <w:tcW w:w="491" w:type="pct"/>
                  <w:vAlign w:val="center"/>
                </w:tcPr>
                <w:p w14:paraId="6F3A7BAA">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w:t>
                  </w:r>
                </w:p>
              </w:tc>
            </w:tr>
            <w:tr w14:paraId="3DC80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1617" w:type="pct"/>
                  <w:gridSpan w:val="3"/>
                  <w:vAlign w:val="center"/>
                </w:tcPr>
                <w:p w14:paraId="098D2D60">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rPr>
                    <w:t>生态</w:t>
                  </w:r>
                </w:p>
              </w:tc>
              <w:tc>
                <w:tcPr>
                  <w:tcW w:w="2891" w:type="pct"/>
                  <w:vAlign w:val="center"/>
                </w:tcPr>
                <w:p w14:paraId="4615912F">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ascii="Times New Roman" w:hAnsi="Times New Roman" w:eastAsia="宋体" w:cs="Times New Roman"/>
                      <w:color w:val="auto"/>
                      <w:sz w:val="21"/>
                      <w:szCs w:val="21"/>
                      <w:lang w:val="en-US" w:eastAsia="zh-CN"/>
                    </w:rPr>
                    <w:t>风井场地四周边坡防护区及围墙外扰动区在施工完成后进行撒播紫花苜蓿和草木樨绿化，绿化面积</w:t>
                  </w:r>
                  <w:r>
                    <w:rPr>
                      <w:rFonts w:hint="eastAsia" w:ascii="Times New Roman" w:hAnsi="Times New Roman" w:eastAsia="宋体" w:cs="Times New Roman"/>
                      <w:color w:val="auto"/>
                      <w:sz w:val="21"/>
                      <w:szCs w:val="21"/>
                      <w:lang w:val="en-US" w:eastAsia="zh-CN" w:bidi="ar-SA"/>
                    </w:rPr>
                    <w:t>0.23h</w:t>
                  </w:r>
                  <w:r>
                    <w:rPr>
                      <w:rFonts w:ascii="Times New Roman" w:hAnsi="Times New Roman" w:eastAsia="宋体" w:cs="Times New Roman"/>
                      <w:color w:val="auto"/>
                      <w:sz w:val="21"/>
                      <w:szCs w:val="21"/>
                      <w:lang w:val="en-US" w:eastAsia="zh-CN" w:bidi="ar-SA"/>
                    </w:rPr>
                    <w:t>m</w:t>
                  </w:r>
                  <w:r>
                    <w:rPr>
                      <w:rFonts w:ascii="Times New Roman" w:hAnsi="Times New Roman" w:eastAsia="宋体" w:cs="Times New Roman"/>
                      <w:color w:val="auto"/>
                      <w:sz w:val="21"/>
                      <w:szCs w:val="21"/>
                      <w:vertAlign w:val="superscript"/>
                      <w:lang w:val="en-US" w:eastAsia="zh-CN" w:bidi="ar-SA"/>
                    </w:rPr>
                    <w:t>2</w:t>
                  </w:r>
                  <w:r>
                    <w:rPr>
                      <w:rFonts w:ascii="Times New Roman" w:hAnsi="Times New Roman" w:eastAsia="宋体" w:cs="Times New Roman"/>
                      <w:color w:val="auto"/>
                      <w:sz w:val="21"/>
                      <w:szCs w:val="21"/>
                      <w:lang w:val="en-US" w:eastAsia="zh-CN"/>
                    </w:rPr>
                    <w:t>，共撒播紫花苜蓿</w:t>
                  </w:r>
                  <w:r>
                    <w:rPr>
                      <w:rFonts w:hint="eastAsia" w:ascii="Times New Roman" w:hAnsi="Times New Roman" w:eastAsia="宋体" w:cs="Times New Roman"/>
                      <w:color w:val="auto"/>
                      <w:sz w:val="21"/>
                      <w:szCs w:val="21"/>
                      <w:lang w:val="en-US" w:eastAsia="zh-CN"/>
                    </w:rPr>
                    <w:t>和</w:t>
                  </w:r>
                  <w:r>
                    <w:rPr>
                      <w:rFonts w:ascii="Times New Roman" w:hAnsi="Times New Roman" w:eastAsia="宋体" w:cs="Times New Roman"/>
                      <w:color w:val="auto"/>
                      <w:sz w:val="21"/>
                      <w:szCs w:val="21"/>
                      <w:lang w:val="en-US" w:eastAsia="zh-CN"/>
                    </w:rPr>
                    <w:t>草木樨</w:t>
                  </w:r>
                  <w:r>
                    <w:rPr>
                      <w:rFonts w:hint="eastAsia" w:ascii="Times New Roman" w:hAnsi="Times New Roman" w:eastAsia="宋体" w:cs="Times New Roman"/>
                      <w:color w:val="auto"/>
                      <w:sz w:val="21"/>
                      <w:szCs w:val="21"/>
                      <w:lang w:val="en-US" w:eastAsia="zh-CN"/>
                    </w:rPr>
                    <w:t>各</w:t>
                  </w:r>
                  <w:r>
                    <w:rPr>
                      <w:rFonts w:ascii="Times New Roman" w:hAnsi="Times New Roman" w:eastAsia="宋体" w:cs="Times New Roman"/>
                      <w:color w:val="auto"/>
                      <w:sz w:val="21"/>
                      <w:szCs w:val="21"/>
                      <w:lang w:val="en-US" w:eastAsia="zh-CN"/>
                    </w:rPr>
                    <w:t>3.45kg；风井场地西侧空地进行撒播紫花苜蓿和草木樨绿化，绿化面积</w:t>
                  </w:r>
                  <w:r>
                    <w:rPr>
                      <w:rFonts w:hint="eastAsia" w:ascii="Times New Roman" w:hAnsi="Times New Roman" w:eastAsia="宋体" w:cs="Times New Roman"/>
                      <w:color w:val="auto"/>
                      <w:sz w:val="21"/>
                      <w:szCs w:val="21"/>
                      <w:lang w:val="en-US" w:eastAsia="zh-CN" w:bidi="ar-SA"/>
                    </w:rPr>
                    <w:t>0.14h</w:t>
                  </w:r>
                  <w:r>
                    <w:rPr>
                      <w:rFonts w:ascii="Times New Roman" w:hAnsi="Times New Roman" w:eastAsia="宋体" w:cs="Times New Roman"/>
                      <w:color w:val="auto"/>
                      <w:sz w:val="21"/>
                      <w:szCs w:val="21"/>
                      <w:lang w:val="en-US" w:eastAsia="zh-CN" w:bidi="ar-SA"/>
                    </w:rPr>
                    <w:t>m</w:t>
                  </w:r>
                  <w:r>
                    <w:rPr>
                      <w:rFonts w:ascii="Times New Roman" w:hAnsi="Times New Roman" w:eastAsia="宋体" w:cs="Times New Roman"/>
                      <w:color w:val="auto"/>
                      <w:sz w:val="21"/>
                      <w:szCs w:val="21"/>
                      <w:vertAlign w:val="superscript"/>
                      <w:lang w:val="en-US" w:eastAsia="zh-CN" w:bidi="ar-SA"/>
                    </w:rPr>
                    <w:t>2</w:t>
                  </w:r>
                  <w:r>
                    <w:rPr>
                      <w:rFonts w:ascii="Times New Roman" w:hAnsi="Times New Roman" w:eastAsia="宋体" w:cs="Times New Roman"/>
                      <w:color w:val="auto"/>
                      <w:sz w:val="21"/>
                      <w:szCs w:val="21"/>
                      <w:lang w:val="en-US" w:eastAsia="zh-CN"/>
                    </w:rPr>
                    <w:t>，共撒播紫花苜蓿</w:t>
                  </w:r>
                  <w:r>
                    <w:rPr>
                      <w:rFonts w:hint="eastAsia" w:ascii="Times New Roman" w:hAnsi="Times New Roman" w:eastAsia="宋体" w:cs="Times New Roman"/>
                      <w:color w:val="auto"/>
                      <w:sz w:val="21"/>
                      <w:szCs w:val="21"/>
                      <w:lang w:val="en-US" w:eastAsia="zh-CN"/>
                    </w:rPr>
                    <w:t>和</w:t>
                  </w:r>
                  <w:r>
                    <w:rPr>
                      <w:rFonts w:ascii="Times New Roman" w:hAnsi="Times New Roman" w:eastAsia="宋体" w:cs="Times New Roman"/>
                      <w:color w:val="auto"/>
                      <w:sz w:val="21"/>
                      <w:szCs w:val="21"/>
                      <w:lang w:val="en-US" w:eastAsia="zh-CN"/>
                    </w:rPr>
                    <w:t>草木樨</w:t>
                  </w:r>
                  <w:r>
                    <w:rPr>
                      <w:rFonts w:hint="eastAsia" w:ascii="Times New Roman" w:hAnsi="Times New Roman" w:eastAsia="宋体" w:cs="Times New Roman"/>
                      <w:color w:val="auto"/>
                      <w:sz w:val="21"/>
                      <w:szCs w:val="21"/>
                      <w:lang w:val="en-US" w:eastAsia="zh-CN"/>
                    </w:rPr>
                    <w:t>各</w:t>
                  </w:r>
                  <w:r>
                    <w:rPr>
                      <w:rFonts w:ascii="Times New Roman" w:hAnsi="Times New Roman" w:eastAsia="宋体" w:cs="Times New Roman"/>
                      <w:color w:val="auto"/>
                      <w:sz w:val="21"/>
                      <w:szCs w:val="21"/>
                      <w:lang w:val="en-US" w:eastAsia="zh-CN"/>
                    </w:rPr>
                    <w:t>2.10kg。</w:t>
                  </w:r>
                </w:p>
              </w:tc>
              <w:tc>
                <w:tcPr>
                  <w:tcW w:w="491" w:type="pct"/>
                  <w:vAlign w:val="center"/>
                </w:tcPr>
                <w:p w14:paraId="3F6731E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30</w:t>
                  </w:r>
                </w:p>
              </w:tc>
            </w:tr>
            <w:tr w14:paraId="111C8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1617" w:type="pct"/>
                  <w:gridSpan w:val="3"/>
                  <w:vAlign w:val="center"/>
                </w:tcPr>
                <w:p w14:paraId="12145F2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eastAsia="zh-CN"/>
                    </w:rPr>
                    <w:t>防渗</w:t>
                  </w:r>
                </w:p>
              </w:tc>
              <w:tc>
                <w:tcPr>
                  <w:tcW w:w="2891" w:type="pct"/>
                  <w:vAlign w:val="center"/>
                </w:tcPr>
                <w:p w14:paraId="65F44DA1">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lang w:val="en-US" w:eastAsia="zh-CN"/>
                    </w:rPr>
                  </w:pPr>
                  <w:r>
                    <w:rPr>
                      <w:rFonts w:hint="eastAsia"/>
                      <w:color w:val="auto"/>
                      <w:sz w:val="21"/>
                      <w:szCs w:val="21"/>
                      <w:lang w:val="en-US" w:eastAsia="zh-CN"/>
                    </w:rPr>
                    <w:t>废水收集池进行一般防渗，其余场地简单防渗</w:t>
                  </w:r>
                </w:p>
              </w:tc>
              <w:tc>
                <w:tcPr>
                  <w:tcW w:w="491" w:type="pct"/>
                  <w:vAlign w:val="center"/>
                </w:tcPr>
                <w:p w14:paraId="5D702832">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rPr>
                  </w:pPr>
                  <w:r>
                    <w:rPr>
                      <w:rFonts w:ascii="Times New Roman" w:hAnsi="Times New Roman" w:cs="Times New Roman" w:eastAsiaTheme="minorEastAsia"/>
                      <w:color w:val="auto"/>
                      <w:sz w:val="21"/>
                      <w:szCs w:val="21"/>
                      <w:lang w:val="en-US" w:eastAsia="zh-CN"/>
                    </w:rPr>
                    <w:t>5</w:t>
                  </w:r>
                </w:p>
              </w:tc>
            </w:tr>
            <w:tr w14:paraId="28132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jc w:val="center"/>
              </w:trPr>
              <w:tc>
                <w:tcPr>
                  <w:tcW w:w="4508" w:type="pct"/>
                  <w:gridSpan w:val="4"/>
                  <w:vAlign w:val="center"/>
                </w:tcPr>
                <w:p w14:paraId="08944D3C">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heme="minorEastAsia" w:hAnsiTheme="minorEastAsia" w:eastAsiaTheme="minorEastAsia" w:cstheme="minorEastAsia"/>
                      <w:color w:val="auto"/>
                      <w:sz w:val="21"/>
                      <w:szCs w:val="21"/>
                    </w:rPr>
                  </w:pPr>
                  <w:r>
                    <w:rPr>
                      <w:rFonts w:hint="eastAsia" w:asciiTheme="minorEastAsia" w:hAnsiTheme="minorEastAsia" w:eastAsiaTheme="minorEastAsia" w:cstheme="minorEastAsia"/>
                      <w:color w:val="auto"/>
                      <w:sz w:val="21"/>
                      <w:szCs w:val="21"/>
                    </w:rPr>
                    <w:t>合计</w:t>
                  </w:r>
                  <w:r>
                    <w:rPr>
                      <w:rFonts w:hint="eastAsia" w:asciiTheme="minorEastAsia" w:hAnsiTheme="minorEastAsia" w:eastAsiaTheme="minorEastAsia" w:cstheme="minorEastAsia"/>
                      <w:color w:val="auto"/>
                      <w:sz w:val="21"/>
                      <w:szCs w:val="21"/>
                      <w:lang w:eastAsia="zh-CN"/>
                    </w:rPr>
                    <w:t>（</w:t>
                  </w:r>
                  <w:r>
                    <w:rPr>
                      <w:rFonts w:hint="eastAsia" w:asciiTheme="minorEastAsia" w:hAnsiTheme="minorEastAsia" w:eastAsiaTheme="minorEastAsia" w:cstheme="minorEastAsia"/>
                      <w:color w:val="auto"/>
                      <w:sz w:val="21"/>
                      <w:szCs w:val="21"/>
                    </w:rPr>
                    <w:t>万元）</w:t>
                  </w:r>
                </w:p>
              </w:tc>
              <w:tc>
                <w:tcPr>
                  <w:tcW w:w="491" w:type="pct"/>
                  <w:vAlign w:val="center"/>
                </w:tcPr>
                <w:p w14:paraId="0E62587E">
                  <w:pPr>
                    <w:pStyle w:val="49"/>
                    <w:keepNext w:val="0"/>
                    <w:keepLines w:val="0"/>
                    <w:pageBreakBefore w:val="0"/>
                    <w:widowControl w:val="0"/>
                    <w:kinsoku/>
                    <w:wordWrap/>
                    <w:overflowPunct/>
                    <w:topLinePunct w:val="0"/>
                    <w:autoSpaceDE/>
                    <w:autoSpaceDN/>
                    <w:bidi w:val="0"/>
                    <w:adjustRightInd w:val="0"/>
                    <w:snapToGrid w:val="0"/>
                    <w:spacing w:line="360" w:lineRule="exact"/>
                    <w:jc w:val="center"/>
                    <w:textAlignment w:val="auto"/>
                    <w:rPr>
                      <w:rFonts w:ascii="Times New Roman" w:hAnsi="Times New Roman" w:cs="Times New Roman" w:eastAsiaTheme="minorEastAsia"/>
                      <w:color w:val="auto"/>
                      <w:sz w:val="21"/>
                      <w:szCs w:val="21"/>
                      <w:lang w:val="en-US" w:eastAsia="zh-CN" w:bidi="en-US"/>
                    </w:rPr>
                  </w:pPr>
                  <w:r>
                    <w:rPr>
                      <w:rFonts w:hint="eastAsia" w:ascii="Times New Roman" w:hAnsi="Times New Roman" w:cs="Times New Roman" w:eastAsiaTheme="minorEastAsia"/>
                      <w:color w:val="auto"/>
                      <w:sz w:val="21"/>
                      <w:szCs w:val="21"/>
                      <w:lang w:val="en-US" w:eastAsia="zh-CN" w:bidi="en-US"/>
                    </w:rPr>
                    <w:t>79.1</w:t>
                  </w:r>
                </w:p>
              </w:tc>
            </w:tr>
          </w:tbl>
          <w:p w14:paraId="5C71AA0F">
            <w:pPr>
              <w:pStyle w:val="27"/>
              <w:ind w:firstLine="0" w:firstLineChars="0"/>
              <w:rPr>
                <w:color w:val="auto"/>
              </w:rPr>
            </w:pPr>
          </w:p>
        </w:tc>
      </w:tr>
    </w:tbl>
    <w:p w14:paraId="4B550F84">
      <w:pPr>
        <w:rPr>
          <w:color w:val="auto"/>
        </w:rPr>
        <w:sectPr>
          <w:pgSz w:w="11907" w:h="16840"/>
          <w:pgMar w:top="1440" w:right="1797" w:bottom="1440" w:left="1797" w:header="851" w:footer="1077" w:gutter="0"/>
          <w:pgNumType w:fmt="numberInDash"/>
          <w:cols w:space="720" w:num="1"/>
          <w:docGrid w:linePitch="312" w:charSpace="0"/>
        </w:sectPr>
      </w:pPr>
    </w:p>
    <w:p w14:paraId="1CBDF1E9">
      <w:pPr>
        <w:pStyle w:val="25"/>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六、</w:t>
      </w:r>
      <w:bookmarkStart w:id="15" w:name="OLE_LINK12"/>
      <w:bookmarkStart w:id="16" w:name="OLE_LINK13"/>
      <w:r>
        <w:rPr>
          <w:rFonts w:hint="eastAsia" w:ascii="黑体" w:hAnsi="黑体" w:eastAsia="黑体"/>
          <w:snapToGrid w:val="0"/>
          <w:color w:val="auto"/>
          <w:sz w:val="30"/>
          <w:szCs w:val="30"/>
        </w:rPr>
        <w:t>生态环境保护措施监督检查清单</w:t>
      </w:r>
      <w:bookmarkEnd w:id="15"/>
      <w:bookmarkEnd w:id="16"/>
    </w:p>
    <w:tbl>
      <w:tblPr>
        <w:tblStyle w:val="2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00"/>
        <w:gridCol w:w="4870"/>
        <w:gridCol w:w="2040"/>
        <w:gridCol w:w="2923"/>
        <w:gridCol w:w="2441"/>
      </w:tblGrid>
      <w:tr w14:paraId="6B1274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pct"/>
            <w:vMerge w:val="restart"/>
            <w:tcBorders>
              <w:tl2br w:val="single" w:color="auto" w:sz="4" w:space="0"/>
            </w:tcBorders>
          </w:tcPr>
          <w:p w14:paraId="05699E88">
            <w:pPr>
              <w:pStyle w:val="25"/>
              <w:adjustRightInd w:val="0"/>
              <w:snapToGrid w:val="0"/>
              <w:spacing w:beforeLines="3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 xml:space="preserve">         内容</w:t>
            </w:r>
          </w:p>
          <w:p w14:paraId="76871A3B">
            <w:pPr>
              <w:pStyle w:val="25"/>
              <w:adjustRightInd w:val="0"/>
              <w:snapToGrid w:val="0"/>
              <w:spacing w:before="0" w:beforeAutospacing="0" w:after="0" w:afterAutospacing="0" w:line="14" w:lineRule="auto"/>
              <w:outlineLvl w:val="0"/>
              <w:rPr>
                <w:rFonts w:ascii="Times New Roman" w:hAnsi="Times New Roman" w:eastAsia="黑体"/>
                <w:color w:val="auto"/>
                <w:kern w:val="2"/>
                <w:sz w:val="135"/>
                <w:szCs w:val="21"/>
              </w:rPr>
            </w:pPr>
            <w:r>
              <w:rPr>
                <w:rFonts w:ascii="Times New Roman" w:hAnsi="Times New Roman" w:eastAsia="黑体"/>
                <w:color w:val="auto"/>
                <w:kern w:val="2"/>
                <w:sz w:val="21"/>
                <w:szCs w:val="21"/>
              </w:rPr>
              <w:t xml:space="preserve"> </w:t>
            </w:r>
            <w:r>
              <w:rPr>
                <w:rFonts w:ascii="Times New Roman" w:hAnsi="Times New Roman" w:eastAsia="黑体"/>
                <w:color w:val="auto"/>
                <w:kern w:val="2"/>
                <w:sz w:val="135"/>
                <w:szCs w:val="21"/>
              </w:rPr>
              <w:t xml:space="preserve"> </w:t>
            </w:r>
          </w:p>
          <w:p w14:paraId="3B27A481">
            <w:pPr>
              <w:pStyle w:val="25"/>
              <w:adjustRightInd w:val="0"/>
              <w:snapToGrid w:val="0"/>
              <w:spacing w:before="0" w:beforeAutospacing="0" w:after="0" w:afterAutospacing="0"/>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要素</w:t>
            </w:r>
          </w:p>
        </w:tc>
        <w:tc>
          <w:tcPr>
            <w:tcW w:w="2437" w:type="pct"/>
            <w:gridSpan w:val="2"/>
            <w:vAlign w:val="center"/>
          </w:tcPr>
          <w:p w14:paraId="5EAA65A2">
            <w:pPr>
              <w:pStyle w:val="25"/>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施工期</w:t>
            </w:r>
          </w:p>
        </w:tc>
        <w:tc>
          <w:tcPr>
            <w:tcW w:w="1892" w:type="pct"/>
            <w:gridSpan w:val="2"/>
            <w:vAlign w:val="center"/>
          </w:tcPr>
          <w:p w14:paraId="59A0A003">
            <w:pPr>
              <w:pStyle w:val="25"/>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运营期</w:t>
            </w:r>
          </w:p>
        </w:tc>
      </w:tr>
      <w:tr w14:paraId="1543A4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pct"/>
            <w:vMerge w:val="continue"/>
          </w:tcPr>
          <w:p w14:paraId="381182A9">
            <w:pPr>
              <w:pStyle w:val="25"/>
              <w:adjustRightInd w:val="0"/>
              <w:snapToGrid w:val="0"/>
              <w:spacing w:before="0" w:beforeAutospacing="0" w:after="0" w:afterAutospacing="0"/>
              <w:ind w:firstLine="840"/>
              <w:jc w:val="center"/>
              <w:outlineLvl w:val="0"/>
              <w:rPr>
                <w:rFonts w:ascii="Times New Roman" w:hAnsi="Times New Roman" w:eastAsia="黑体"/>
                <w:color w:val="auto"/>
                <w:kern w:val="2"/>
                <w:sz w:val="21"/>
                <w:szCs w:val="21"/>
              </w:rPr>
            </w:pPr>
          </w:p>
        </w:tc>
        <w:tc>
          <w:tcPr>
            <w:tcW w:w="1717" w:type="pct"/>
            <w:vAlign w:val="center"/>
          </w:tcPr>
          <w:p w14:paraId="01FEAE0C">
            <w:pPr>
              <w:pStyle w:val="25"/>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环境保护措施</w:t>
            </w:r>
          </w:p>
        </w:tc>
        <w:tc>
          <w:tcPr>
            <w:tcW w:w="719" w:type="pct"/>
            <w:vAlign w:val="center"/>
          </w:tcPr>
          <w:p w14:paraId="5475F56A">
            <w:pPr>
              <w:pStyle w:val="25"/>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验收要求</w:t>
            </w:r>
          </w:p>
        </w:tc>
        <w:tc>
          <w:tcPr>
            <w:tcW w:w="1031" w:type="pct"/>
            <w:vAlign w:val="center"/>
          </w:tcPr>
          <w:p w14:paraId="7E6D0DCF">
            <w:pPr>
              <w:pStyle w:val="25"/>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环境保护措施</w:t>
            </w:r>
          </w:p>
        </w:tc>
        <w:tc>
          <w:tcPr>
            <w:tcW w:w="861" w:type="pct"/>
            <w:vAlign w:val="center"/>
          </w:tcPr>
          <w:p w14:paraId="1E1137A5">
            <w:pPr>
              <w:pStyle w:val="25"/>
              <w:adjustRightInd w:val="0"/>
              <w:snapToGrid w:val="0"/>
              <w:spacing w:before="0" w:beforeAutospacing="0" w:after="0" w:afterAutospacing="0"/>
              <w:jc w:val="center"/>
              <w:outlineLvl w:val="0"/>
              <w:rPr>
                <w:rFonts w:ascii="Times New Roman" w:hAnsi="Times New Roman" w:eastAsia="黑体"/>
                <w:color w:val="auto"/>
                <w:kern w:val="2"/>
                <w:sz w:val="21"/>
                <w:szCs w:val="21"/>
              </w:rPr>
            </w:pPr>
            <w:r>
              <w:rPr>
                <w:rFonts w:ascii="Times New Roman" w:hAnsi="Times New Roman" w:eastAsia="黑体"/>
                <w:color w:val="auto"/>
                <w:kern w:val="2"/>
                <w:sz w:val="21"/>
                <w:szCs w:val="21"/>
              </w:rPr>
              <w:t>验收要求</w:t>
            </w:r>
          </w:p>
        </w:tc>
      </w:tr>
      <w:tr w14:paraId="167FB8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0" w:type="pct"/>
            <w:vAlign w:val="center"/>
          </w:tcPr>
          <w:p w14:paraId="3C93C15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陆生生态</w:t>
            </w:r>
          </w:p>
        </w:tc>
        <w:tc>
          <w:tcPr>
            <w:tcW w:w="1717" w:type="pct"/>
            <w:vAlign w:val="center"/>
          </w:tcPr>
          <w:p w14:paraId="7C4430A3">
            <w:pPr>
              <w:pStyle w:val="36"/>
              <w:keepNext w:val="0"/>
              <w:keepLines w:val="0"/>
              <w:pageBreakBefore w:val="0"/>
              <w:widowControl w:val="0"/>
              <w:kinsoku/>
              <w:wordWrap/>
              <w:overflowPunct/>
              <w:topLinePunct w:val="0"/>
              <w:autoSpaceDE/>
              <w:autoSpaceDN/>
              <w:bidi w:val="0"/>
              <w:snapToGrid w:val="0"/>
              <w:spacing w:line="320" w:lineRule="exact"/>
              <w:ind w:firstLine="0" w:firstLineChars="0"/>
              <w:jc w:val="center"/>
              <w:textAlignment w:val="auto"/>
              <w:rPr>
                <w:color w:val="auto"/>
              </w:rPr>
            </w:pPr>
            <w:r>
              <w:rPr>
                <w:color w:val="auto"/>
                <w:szCs w:val="21"/>
              </w:rPr>
              <w:t>工程施工加强管理，必须划定施工范围，各种施工活动应严格控制在施工区域内</w:t>
            </w:r>
            <w:r>
              <w:rPr>
                <w:rFonts w:hint="eastAsia"/>
                <w:color w:val="auto"/>
                <w:szCs w:val="21"/>
                <w:lang w:eastAsia="zh-CN"/>
              </w:rPr>
              <w:t>；</w:t>
            </w:r>
            <w:r>
              <w:rPr>
                <w:color w:val="auto"/>
                <w:szCs w:val="21"/>
              </w:rPr>
              <w:t>场地平整过程中，表层熟土应剥离保存供后续绿化、复垦使用</w:t>
            </w:r>
            <w:r>
              <w:rPr>
                <w:rFonts w:hint="eastAsia"/>
                <w:color w:val="auto"/>
                <w:szCs w:val="21"/>
                <w:lang w:eastAsia="zh-CN"/>
              </w:rPr>
              <w:t>；</w:t>
            </w:r>
            <w:r>
              <w:rPr>
                <w:color w:val="auto"/>
                <w:szCs w:val="21"/>
              </w:rPr>
              <w:t>临时堆土采用彩钢板进行拦挡，覆盖防尘网，洒水降尘</w:t>
            </w:r>
            <w:r>
              <w:rPr>
                <w:rFonts w:hint="eastAsia"/>
                <w:color w:val="auto"/>
                <w:szCs w:val="21"/>
                <w:lang w:eastAsia="zh-CN"/>
              </w:rPr>
              <w:t>；</w:t>
            </w:r>
            <w:r>
              <w:rPr>
                <w:color w:val="auto"/>
                <w:szCs w:val="21"/>
              </w:rPr>
              <w:t>施工结束后，对施工扰动区域进行土地整治，厂区植树种草绿化</w:t>
            </w:r>
            <w:r>
              <w:rPr>
                <w:rFonts w:hint="eastAsia"/>
                <w:color w:val="auto"/>
                <w:szCs w:val="21"/>
                <w:lang w:eastAsia="zh-CN"/>
              </w:rPr>
              <w:t>；</w:t>
            </w:r>
            <w:r>
              <w:rPr>
                <w:color w:val="auto"/>
                <w:szCs w:val="21"/>
              </w:rPr>
              <w:t>做好水土保持措施</w:t>
            </w:r>
          </w:p>
        </w:tc>
        <w:tc>
          <w:tcPr>
            <w:tcW w:w="719" w:type="pct"/>
            <w:vAlign w:val="center"/>
          </w:tcPr>
          <w:p w14:paraId="13F0F6A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严格控制施工区域，不另外新增临时占地</w:t>
            </w:r>
          </w:p>
        </w:tc>
        <w:tc>
          <w:tcPr>
            <w:tcW w:w="1031" w:type="pct"/>
            <w:vAlign w:val="center"/>
          </w:tcPr>
          <w:p w14:paraId="1046BCF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rPr>
            </w:pPr>
            <w:r>
              <w:rPr>
                <w:rFonts w:ascii="Times New Roman" w:hAnsi="Times New Roman" w:eastAsia="宋体" w:cs="Times New Roman"/>
                <w:color w:val="auto"/>
                <w:sz w:val="21"/>
                <w:szCs w:val="21"/>
                <w:lang w:val="en-US" w:eastAsia="zh-CN"/>
              </w:rPr>
              <w:t>风井场地四周边坡防护区及围墙外扰动区在施工完成后进行撒播紫花苜蓿和草木樨绿化，绿化面积</w:t>
            </w:r>
            <w:r>
              <w:rPr>
                <w:rFonts w:hint="eastAsia" w:ascii="Times New Roman" w:hAnsi="Times New Roman" w:eastAsia="宋体" w:cs="Times New Roman"/>
                <w:color w:val="auto"/>
                <w:sz w:val="21"/>
                <w:szCs w:val="21"/>
                <w:lang w:val="en-US" w:eastAsia="zh-CN" w:bidi="ar-SA"/>
              </w:rPr>
              <w:t>0.23h</w:t>
            </w:r>
            <w:r>
              <w:rPr>
                <w:rFonts w:ascii="Times New Roman" w:hAnsi="Times New Roman" w:eastAsia="宋体" w:cs="Times New Roman"/>
                <w:color w:val="auto"/>
                <w:sz w:val="21"/>
                <w:szCs w:val="21"/>
                <w:lang w:val="en-US" w:eastAsia="zh-CN" w:bidi="ar-SA"/>
              </w:rPr>
              <w:t>m</w:t>
            </w:r>
            <w:r>
              <w:rPr>
                <w:rFonts w:ascii="Times New Roman" w:hAnsi="Times New Roman" w:eastAsia="宋体" w:cs="Times New Roman"/>
                <w:color w:val="auto"/>
                <w:sz w:val="21"/>
                <w:szCs w:val="21"/>
                <w:vertAlign w:val="superscript"/>
                <w:lang w:val="en-US" w:eastAsia="zh-CN" w:bidi="ar-SA"/>
              </w:rPr>
              <w:t>2</w:t>
            </w:r>
            <w:r>
              <w:rPr>
                <w:rFonts w:ascii="Times New Roman" w:hAnsi="Times New Roman" w:eastAsia="宋体" w:cs="Times New Roman"/>
                <w:color w:val="auto"/>
                <w:sz w:val="21"/>
                <w:szCs w:val="21"/>
                <w:lang w:val="en-US" w:eastAsia="zh-CN"/>
              </w:rPr>
              <w:t>，共撒播紫花苜蓿</w:t>
            </w:r>
            <w:r>
              <w:rPr>
                <w:rFonts w:hint="eastAsia" w:ascii="Times New Roman" w:hAnsi="Times New Roman" w:eastAsia="宋体" w:cs="Times New Roman"/>
                <w:color w:val="auto"/>
                <w:sz w:val="21"/>
                <w:szCs w:val="21"/>
                <w:lang w:val="en-US" w:eastAsia="zh-CN"/>
              </w:rPr>
              <w:t>和</w:t>
            </w:r>
            <w:r>
              <w:rPr>
                <w:rFonts w:ascii="Times New Roman" w:hAnsi="Times New Roman" w:eastAsia="宋体" w:cs="Times New Roman"/>
                <w:color w:val="auto"/>
                <w:sz w:val="21"/>
                <w:szCs w:val="21"/>
                <w:lang w:val="en-US" w:eastAsia="zh-CN"/>
              </w:rPr>
              <w:t>草木樨</w:t>
            </w:r>
            <w:r>
              <w:rPr>
                <w:rFonts w:hint="eastAsia" w:ascii="Times New Roman" w:hAnsi="Times New Roman" w:eastAsia="宋体" w:cs="Times New Roman"/>
                <w:color w:val="auto"/>
                <w:sz w:val="21"/>
                <w:szCs w:val="21"/>
                <w:lang w:val="en-US" w:eastAsia="zh-CN"/>
              </w:rPr>
              <w:t>各</w:t>
            </w:r>
            <w:r>
              <w:rPr>
                <w:rFonts w:ascii="Times New Roman" w:hAnsi="Times New Roman" w:eastAsia="宋体" w:cs="Times New Roman"/>
                <w:color w:val="auto"/>
                <w:sz w:val="21"/>
                <w:szCs w:val="21"/>
                <w:lang w:val="en-US" w:eastAsia="zh-CN"/>
              </w:rPr>
              <w:t>3.45kg；风井场地西侧空地进行撒播紫花苜蓿和草木樨绿化，绿化面积</w:t>
            </w:r>
            <w:r>
              <w:rPr>
                <w:rFonts w:hint="eastAsia" w:ascii="Times New Roman" w:hAnsi="Times New Roman" w:eastAsia="宋体" w:cs="Times New Roman"/>
                <w:color w:val="auto"/>
                <w:sz w:val="21"/>
                <w:szCs w:val="21"/>
                <w:lang w:val="en-US" w:eastAsia="zh-CN" w:bidi="ar-SA"/>
              </w:rPr>
              <w:t>0.14h</w:t>
            </w:r>
            <w:r>
              <w:rPr>
                <w:rFonts w:ascii="Times New Roman" w:hAnsi="Times New Roman" w:eastAsia="宋体" w:cs="Times New Roman"/>
                <w:color w:val="auto"/>
                <w:sz w:val="21"/>
                <w:szCs w:val="21"/>
                <w:lang w:val="en-US" w:eastAsia="zh-CN" w:bidi="ar-SA"/>
              </w:rPr>
              <w:t>m</w:t>
            </w:r>
            <w:r>
              <w:rPr>
                <w:rFonts w:ascii="Times New Roman" w:hAnsi="Times New Roman" w:eastAsia="宋体" w:cs="Times New Roman"/>
                <w:color w:val="auto"/>
                <w:sz w:val="21"/>
                <w:szCs w:val="21"/>
                <w:vertAlign w:val="superscript"/>
                <w:lang w:val="en-US" w:eastAsia="zh-CN" w:bidi="ar-SA"/>
              </w:rPr>
              <w:t>2</w:t>
            </w:r>
            <w:r>
              <w:rPr>
                <w:rFonts w:ascii="Times New Roman" w:hAnsi="Times New Roman" w:eastAsia="宋体" w:cs="Times New Roman"/>
                <w:color w:val="auto"/>
                <w:sz w:val="21"/>
                <w:szCs w:val="21"/>
                <w:lang w:val="en-US" w:eastAsia="zh-CN"/>
              </w:rPr>
              <w:t>，共撒播紫花苜蓿</w:t>
            </w:r>
            <w:r>
              <w:rPr>
                <w:rFonts w:hint="eastAsia" w:ascii="Times New Roman" w:hAnsi="Times New Roman" w:eastAsia="宋体" w:cs="Times New Roman"/>
                <w:color w:val="auto"/>
                <w:sz w:val="21"/>
                <w:szCs w:val="21"/>
                <w:lang w:val="en-US" w:eastAsia="zh-CN"/>
              </w:rPr>
              <w:t>和</w:t>
            </w:r>
            <w:r>
              <w:rPr>
                <w:rFonts w:ascii="Times New Roman" w:hAnsi="Times New Roman" w:eastAsia="宋体" w:cs="Times New Roman"/>
                <w:color w:val="auto"/>
                <w:sz w:val="21"/>
                <w:szCs w:val="21"/>
                <w:lang w:val="en-US" w:eastAsia="zh-CN"/>
              </w:rPr>
              <w:t>草木樨</w:t>
            </w:r>
            <w:r>
              <w:rPr>
                <w:rFonts w:hint="eastAsia" w:ascii="Times New Roman" w:hAnsi="Times New Roman" w:eastAsia="宋体" w:cs="Times New Roman"/>
                <w:color w:val="auto"/>
                <w:sz w:val="21"/>
                <w:szCs w:val="21"/>
                <w:lang w:val="en-US" w:eastAsia="zh-CN"/>
              </w:rPr>
              <w:t>各</w:t>
            </w:r>
            <w:r>
              <w:rPr>
                <w:rFonts w:ascii="Times New Roman" w:hAnsi="Times New Roman" w:eastAsia="宋体" w:cs="Times New Roman"/>
                <w:color w:val="auto"/>
                <w:sz w:val="21"/>
                <w:szCs w:val="21"/>
                <w:lang w:val="en-US" w:eastAsia="zh-CN"/>
              </w:rPr>
              <w:t>2.10kg</w:t>
            </w:r>
          </w:p>
        </w:tc>
        <w:tc>
          <w:tcPr>
            <w:tcW w:w="861" w:type="pct"/>
            <w:vAlign w:val="center"/>
          </w:tcPr>
          <w:p w14:paraId="61B96FF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rPr>
              <w:t>场地外围护坡面积</w:t>
            </w:r>
            <w:r>
              <w:rPr>
                <w:rFonts w:hint="eastAsia" w:eastAsiaTheme="minorEastAsia"/>
                <w:color w:val="auto"/>
                <w:szCs w:val="21"/>
              </w:rPr>
              <w:t>0.23h</w:t>
            </w:r>
            <w:r>
              <w:rPr>
                <w:rFonts w:eastAsiaTheme="minorEastAsia"/>
                <w:color w:val="auto"/>
                <w:szCs w:val="21"/>
              </w:rPr>
              <w:t>m</w:t>
            </w:r>
            <w:r>
              <w:rPr>
                <w:rFonts w:eastAsiaTheme="minorEastAsia"/>
                <w:color w:val="auto"/>
                <w:szCs w:val="21"/>
                <w:vertAlign w:val="superscript"/>
              </w:rPr>
              <w:t>2</w:t>
            </w:r>
            <w:r>
              <w:rPr>
                <w:rFonts w:hint="eastAsia" w:eastAsiaTheme="minorEastAsia"/>
                <w:color w:val="auto"/>
                <w:szCs w:val="21"/>
              </w:rPr>
              <w:t>，</w:t>
            </w:r>
            <w:r>
              <w:rPr>
                <w:rFonts w:hint="eastAsia"/>
                <w:color w:val="auto"/>
                <w:szCs w:val="21"/>
              </w:rPr>
              <w:t>共撒播紫花苜蓿</w:t>
            </w:r>
            <w:r>
              <w:rPr>
                <w:rFonts w:hint="eastAsia"/>
                <w:color w:val="auto"/>
                <w:szCs w:val="21"/>
                <w:lang w:val="en-US" w:eastAsia="zh-CN"/>
              </w:rPr>
              <w:t>和</w:t>
            </w:r>
            <w:r>
              <w:rPr>
                <w:rFonts w:hint="eastAsia"/>
                <w:color w:val="auto"/>
                <w:szCs w:val="21"/>
              </w:rPr>
              <w:t>草木樨</w:t>
            </w:r>
            <w:r>
              <w:rPr>
                <w:rFonts w:hint="eastAsia"/>
                <w:color w:val="auto"/>
                <w:szCs w:val="21"/>
                <w:lang w:val="en-US" w:eastAsia="zh-CN"/>
              </w:rPr>
              <w:t>各</w:t>
            </w:r>
            <w:r>
              <w:rPr>
                <w:rFonts w:hint="eastAsia"/>
                <w:color w:val="auto"/>
                <w:szCs w:val="21"/>
              </w:rPr>
              <w:t>3.45kg</w:t>
            </w:r>
            <w:r>
              <w:rPr>
                <w:rFonts w:eastAsiaTheme="minorEastAsia"/>
                <w:color w:val="auto"/>
                <w:szCs w:val="21"/>
              </w:rPr>
              <w:t>；场地绿化面积</w:t>
            </w:r>
            <w:r>
              <w:rPr>
                <w:rFonts w:hint="eastAsia" w:eastAsiaTheme="minorEastAsia"/>
                <w:color w:val="auto"/>
                <w:szCs w:val="21"/>
              </w:rPr>
              <w:t>0.14h</w:t>
            </w:r>
            <w:r>
              <w:rPr>
                <w:rFonts w:eastAsiaTheme="minorEastAsia"/>
                <w:color w:val="auto"/>
                <w:szCs w:val="21"/>
              </w:rPr>
              <w:t>m</w:t>
            </w:r>
            <w:r>
              <w:rPr>
                <w:rFonts w:eastAsiaTheme="minorEastAsia"/>
                <w:color w:val="auto"/>
                <w:szCs w:val="21"/>
                <w:vertAlign w:val="superscript"/>
              </w:rPr>
              <w:t>2</w:t>
            </w:r>
            <w:r>
              <w:rPr>
                <w:rFonts w:hint="eastAsia" w:eastAsiaTheme="minorEastAsia"/>
                <w:color w:val="auto"/>
                <w:szCs w:val="21"/>
              </w:rPr>
              <w:t>，</w:t>
            </w:r>
            <w:r>
              <w:rPr>
                <w:color w:val="auto"/>
                <w:szCs w:val="21"/>
              </w:rPr>
              <w:t>共撒播紫花苜蓿</w:t>
            </w:r>
            <w:r>
              <w:rPr>
                <w:rFonts w:hint="eastAsia"/>
                <w:color w:val="auto"/>
                <w:szCs w:val="21"/>
                <w:lang w:val="en-US" w:eastAsia="zh-CN"/>
              </w:rPr>
              <w:t>和</w:t>
            </w:r>
            <w:r>
              <w:rPr>
                <w:color w:val="auto"/>
                <w:szCs w:val="21"/>
              </w:rPr>
              <w:t>草木樨</w:t>
            </w:r>
            <w:r>
              <w:rPr>
                <w:rFonts w:hint="eastAsia"/>
                <w:color w:val="auto"/>
                <w:szCs w:val="21"/>
                <w:lang w:val="en-US" w:eastAsia="zh-CN"/>
              </w:rPr>
              <w:t>各</w:t>
            </w:r>
            <w:r>
              <w:rPr>
                <w:color w:val="auto"/>
                <w:szCs w:val="21"/>
              </w:rPr>
              <w:t>2.10kg</w:t>
            </w:r>
          </w:p>
        </w:tc>
      </w:tr>
      <w:tr w14:paraId="6504AB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70" w:type="pct"/>
            <w:vAlign w:val="center"/>
          </w:tcPr>
          <w:p w14:paraId="7A6DC30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水生生态</w:t>
            </w:r>
          </w:p>
        </w:tc>
        <w:tc>
          <w:tcPr>
            <w:tcW w:w="1717" w:type="pct"/>
            <w:vAlign w:val="center"/>
          </w:tcPr>
          <w:p w14:paraId="23F291A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60597C0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03CBB87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861" w:type="pct"/>
            <w:vAlign w:val="center"/>
          </w:tcPr>
          <w:p w14:paraId="0960C8A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r>
      <w:tr w14:paraId="0E915F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670" w:type="pct"/>
            <w:vAlign w:val="center"/>
          </w:tcPr>
          <w:p w14:paraId="754A31C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地表水环境</w:t>
            </w:r>
          </w:p>
        </w:tc>
        <w:tc>
          <w:tcPr>
            <w:tcW w:w="1717" w:type="pct"/>
            <w:vAlign w:val="center"/>
          </w:tcPr>
          <w:p w14:paraId="1FA7256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施工废水经</w:t>
            </w:r>
            <w:r>
              <w:rPr>
                <w:rFonts w:hint="eastAsia"/>
                <w:color w:val="auto"/>
                <w:szCs w:val="21"/>
                <w:lang w:val="en-US" w:eastAsia="zh-CN"/>
              </w:rPr>
              <w:t>临时</w:t>
            </w:r>
            <w:r>
              <w:rPr>
                <w:color w:val="auto"/>
                <w:szCs w:val="21"/>
              </w:rPr>
              <w:t>沉淀池沉淀后循环利用；本项目施工期施工人员产生的生活污水在施工场地设置临时化粪池，定期由吸粪车输送至工业场地既有生活污水处理站统一处理后回用，不外排；井筒掘进过程中产生的</w:t>
            </w:r>
            <w:r>
              <w:rPr>
                <w:rFonts w:hint="eastAsia"/>
                <w:color w:val="auto"/>
                <w:szCs w:val="21"/>
                <w:lang w:val="en-US" w:eastAsia="zh-CN"/>
              </w:rPr>
              <w:t>涌水</w:t>
            </w:r>
            <w:r>
              <w:rPr>
                <w:color w:val="auto"/>
                <w:szCs w:val="21"/>
              </w:rPr>
              <w:t>由抽水车定期集中抽排，运送至工业场地既有矿井水处理站处理后回用</w:t>
            </w:r>
          </w:p>
        </w:tc>
        <w:tc>
          <w:tcPr>
            <w:tcW w:w="719" w:type="pct"/>
            <w:vAlign w:val="center"/>
          </w:tcPr>
          <w:p w14:paraId="66183BD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废水不外排</w:t>
            </w:r>
          </w:p>
        </w:tc>
        <w:tc>
          <w:tcPr>
            <w:tcW w:w="1031" w:type="pct"/>
            <w:vAlign w:val="center"/>
          </w:tcPr>
          <w:p w14:paraId="38DE36F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本项目不新增生活污水</w:t>
            </w:r>
            <w:r>
              <w:rPr>
                <w:rFonts w:hint="eastAsia"/>
                <w:color w:val="auto"/>
                <w:szCs w:val="21"/>
                <w:lang w:eastAsia="zh-CN"/>
              </w:rPr>
              <w:t>；</w:t>
            </w:r>
            <w:r>
              <w:rPr>
                <w:color w:val="auto"/>
                <w:szCs w:val="21"/>
              </w:rPr>
              <w:t>乏风取热设施</w:t>
            </w:r>
            <w:r>
              <w:rPr>
                <w:rFonts w:hint="eastAsia"/>
                <w:color w:val="auto"/>
                <w:szCs w:val="21"/>
                <w:lang w:val="en-US" w:eastAsia="zh-CN"/>
              </w:rPr>
              <w:t>定期冲洗</w:t>
            </w:r>
            <w:r>
              <w:rPr>
                <w:color w:val="auto"/>
                <w:szCs w:val="21"/>
              </w:rPr>
              <w:t>废水</w:t>
            </w:r>
            <w:r>
              <w:rPr>
                <w:rFonts w:hint="eastAsia"/>
                <w:color w:val="auto"/>
                <w:szCs w:val="21"/>
                <w:lang w:eastAsia="zh-CN"/>
              </w:rPr>
              <w:t>，</w:t>
            </w:r>
            <w:r>
              <w:rPr>
                <w:color w:val="auto"/>
                <w:szCs w:val="21"/>
              </w:rPr>
              <w:t>经收集后进入废水收集池，最终送至李家壕煤矿矿井水处理站进行处理。</w:t>
            </w:r>
          </w:p>
        </w:tc>
        <w:tc>
          <w:tcPr>
            <w:tcW w:w="861" w:type="pct"/>
            <w:vAlign w:val="center"/>
          </w:tcPr>
          <w:p w14:paraId="76E2E2D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处理后回用，不外排</w:t>
            </w:r>
          </w:p>
          <w:p w14:paraId="43DBF8B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p>
        </w:tc>
      </w:tr>
      <w:tr w14:paraId="3ECF9B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670" w:type="pct"/>
            <w:vAlign w:val="center"/>
          </w:tcPr>
          <w:p w14:paraId="5B849C1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地下水及土壤环境</w:t>
            </w:r>
          </w:p>
        </w:tc>
        <w:tc>
          <w:tcPr>
            <w:tcW w:w="1717" w:type="pct"/>
            <w:vAlign w:val="center"/>
          </w:tcPr>
          <w:p w14:paraId="3467F87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19AF581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6529B3A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废水收集池进行一般防渗，其余场地简单防渗</w:t>
            </w:r>
          </w:p>
        </w:tc>
        <w:tc>
          <w:tcPr>
            <w:tcW w:w="861" w:type="pct"/>
            <w:vAlign w:val="center"/>
          </w:tcPr>
          <w:p w14:paraId="091824F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按要求执行</w:t>
            </w:r>
          </w:p>
        </w:tc>
      </w:tr>
      <w:tr w14:paraId="7BD659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670" w:type="pct"/>
            <w:vAlign w:val="center"/>
          </w:tcPr>
          <w:p w14:paraId="5280823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声环境</w:t>
            </w:r>
          </w:p>
        </w:tc>
        <w:tc>
          <w:tcPr>
            <w:tcW w:w="1717" w:type="pct"/>
            <w:vAlign w:val="center"/>
          </w:tcPr>
          <w:p w14:paraId="2007ECD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合理安排施工时间，</w:t>
            </w:r>
            <w:r>
              <w:rPr>
                <w:rFonts w:hint="eastAsia"/>
                <w:color w:val="auto"/>
                <w:szCs w:val="21"/>
              </w:rPr>
              <w:t>禁止夜间、中午施工</w:t>
            </w:r>
            <w:r>
              <w:rPr>
                <w:rFonts w:hint="eastAsia"/>
                <w:color w:val="auto"/>
                <w:szCs w:val="21"/>
                <w:lang w:eastAsia="zh-CN"/>
              </w:rPr>
              <w:t>；</w:t>
            </w:r>
            <w:r>
              <w:rPr>
                <w:rFonts w:hint="eastAsia"/>
                <w:color w:val="auto"/>
                <w:szCs w:val="21"/>
                <w:lang w:val="en-US" w:eastAsia="zh-CN"/>
              </w:rPr>
              <w:t>选用低噪声机械设备，并及时维修保养；合理布局施工设备，高噪声设备远离敏感点；运输车辆限速、禁鸣</w:t>
            </w:r>
            <w:r>
              <w:rPr>
                <w:color w:val="auto"/>
                <w:szCs w:val="21"/>
              </w:rPr>
              <w:t>等措施降噪</w:t>
            </w:r>
          </w:p>
        </w:tc>
        <w:tc>
          <w:tcPr>
            <w:tcW w:w="719" w:type="pct"/>
            <w:vAlign w:val="center"/>
          </w:tcPr>
          <w:p w14:paraId="3F0545D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满足《建筑施工场界环境噪声排放标准》（GB12523-2011）中的标准限值</w:t>
            </w:r>
          </w:p>
        </w:tc>
        <w:tc>
          <w:tcPr>
            <w:tcW w:w="1031" w:type="pct"/>
            <w:vAlign w:val="center"/>
          </w:tcPr>
          <w:p w14:paraId="58466DA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选用低噪声设备，通风机进、出气口安装消声器，设置隔声罩</w:t>
            </w:r>
            <w:r>
              <w:rPr>
                <w:rFonts w:hint="eastAsia"/>
                <w:color w:val="auto"/>
                <w:szCs w:val="21"/>
                <w:lang w:eastAsia="zh-CN"/>
              </w:rPr>
              <w:t>；</w:t>
            </w:r>
            <w:r>
              <w:rPr>
                <w:color w:val="auto"/>
                <w:szCs w:val="21"/>
              </w:rPr>
              <w:t>通风机机座进行隔震处理</w:t>
            </w:r>
            <w:r>
              <w:rPr>
                <w:rFonts w:hint="eastAsia"/>
                <w:color w:val="auto"/>
                <w:szCs w:val="21"/>
                <w:lang w:eastAsia="zh-CN"/>
              </w:rPr>
              <w:t>；</w:t>
            </w:r>
            <w:r>
              <w:rPr>
                <w:color w:val="auto"/>
                <w:szCs w:val="21"/>
              </w:rPr>
              <w:t>泵机均在出入口设置软接头，并设置减振基础。</w:t>
            </w:r>
          </w:p>
        </w:tc>
        <w:tc>
          <w:tcPr>
            <w:tcW w:w="861" w:type="pct"/>
            <w:vAlign w:val="center"/>
          </w:tcPr>
          <w:p w14:paraId="0AFED1C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《工业企业厂界环境噪声排放标准》（GB12348-2008）的</w:t>
            </w:r>
            <w:r>
              <w:rPr>
                <w:rFonts w:hint="eastAsia"/>
                <w:color w:val="auto"/>
                <w:szCs w:val="21"/>
                <w:lang w:val="en-US" w:eastAsia="zh-CN"/>
              </w:rPr>
              <w:t>3</w:t>
            </w:r>
            <w:r>
              <w:rPr>
                <w:color w:val="auto"/>
                <w:szCs w:val="21"/>
              </w:rPr>
              <w:t>类标准</w:t>
            </w:r>
          </w:p>
        </w:tc>
      </w:tr>
      <w:tr w14:paraId="1135B3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670" w:type="pct"/>
            <w:vAlign w:val="center"/>
          </w:tcPr>
          <w:p w14:paraId="326DA63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振动</w:t>
            </w:r>
          </w:p>
        </w:tc>
        <w:tc>
          <w:tcPr>
            <w:tcW w:w="1717" w:type="pct"/>
            <w:vAlign w:val="center"/>
          </w:tcPr>
          <w:p w14:paraId="5EB3B5A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500D8E4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4940F42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861" w:type="pct"/>
            <w:vAlign w:val="center"/>
          </w:tcPr>
          <w:p w14:paraId="72CD7A2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r>
      <w:tr w14:paraId="76F60C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4" w:hRule="atLeast"/>
          <w:jc w:val="center"/>
        </w:trPr>
        <w:tc>
          <w:tcPr>
            <w:tcW w:w="670" w:type="pct"/>
            <w:vMerge w:val="restart"/>
            <w:vAlign w:val="center"/>
          </w:tcPr>
          <w:p w14:paraId="75CBC42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大气环境</w:t>
            </w:r>
          </w:p>
        </w:tc>
        <w:tc>
          <w:tcPr>
            <w:tcW w:w="1717" w:type="pct"/>
            <w:vAlign w:val="center"/>
          </w:tcPr>
          <w:p w14:paraId="24711C2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rFonts w:hint="eastAsia"/>
                <w:color w:val="auto"/>
                <w:szCs w:val="21"/>
              </w:rPr>
              <w:t>施工区设置围挡</w:t>
            </w:r>
            <w:r>
              <w:rPr>
                <w:rFonts w:hint="eastAsia"/>
                <w:color w:val="auto"/>
                <w:szCs w:val="21"/>
                <w:lang w:eastAsia="zh-CN"/>
              </w:rPr>
              <w:t>；</w:t>
            </w:r>
            <w:r>
              <w:rPr>
                <w:color w:val="auto"/>
                <w:szCs w:val="21"/>
              </w:rPr>
              <w:t>施工现场裸露场地采用抑尘网覆盖，并随时洒水抑尘；运输车辆加盖篷布，</w:t>
            </w:r>
            <w:r>
              <w:rPr>
                <w:rFonts w:hint="eastAsia"/>
                <w:color w:val="auto"/>
                <w:szCs w:val="21"/>
              </w:rPr>
              <w:t>施工区定期洒水；</w:t>
            </w:r>
            <w:r>
              <w:rPr>
                <w:color w:val="auto"/>
                <w:szCs w:val="21"/>
              </w:rPr>
              <w:t>施工工地内堆放的粉状物料堆场采取封闭措施，易产生扬尘的物料应当采取覆盖防尘网或者防尘布等措施</w:t>
            </w:r>
            <w:r>
              <w:rPr>
                <w:rFonts w:hint="eastAsia"/>
                <w:color w:val="auto"/>
                <w:szCs w:val="21"/>
                <w:lang w:eastAsia="zh-CN"/>
              </w:rPr>
              <w:t>；</w:t>
            </w:r>
            <w:r>
              <w:rPr>
                <w:color w:val="auto"/>
                <w:szCs w:val="21"/>
              </w:rPr>
              <w:t>临时堆土进行拦挡、苫盖防护。</w:t>
            </w:r>
          </w:p>
        </w:tc>
        <w:tc>
          <w:tcPr>
            <w:tcW w:w="719" w:type="pct"/>
            <w:vAlign w:val="center"/>
          </w:tcPr>
          <w:p w14:paraId="433C392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施工</w:t>
            </w:r>
            <w:r>
              <w:rPr>
                <w:rFonts w:hint="eastAsia"/>
                <w:color w:val="auto"/>
                <w:szCs w:val="21"/>
                <w:lang w:val="en-US" w:eastAsia="zh-CN"/>
              </w:rPr>
              <w:t>粉尘</w:t>
            </w:r>
            <w:r>
              <w:rPr>
                <w:color w:val="auto"/>
                <w:szCs w:val="21"/>
              </w:rPr>
              <w:t>执行《大气污染物综合排放标准》（GB16297－1996）表2中颗粒物无组织排放限值</w:t>
            </w:r>
          </w:p>
        </w:tc>
        <w:tc>
          <w:tcPr>
            <w:tcW w:w="1031" w:type="pct"/>
            <w:vMerge w:val="restart"/>
            <w:vAlign w:val="center"/>
          </w:tcPr>
          <w:p w14:paraId="29A0BD1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default"/>
                <w:color w:val="auto"/>
                <w:szCs w:val="21"/>
                <w:lang w:val="en-US"/>
              </w:rPr>
            </w:pPr>
            <w:r>
              <w:rPr>
                <w:rFonts w:hint="eastAsia" w:asciiTheme="minorEastAsia" w:hAnsiTheme="minorEastAsia" w:eastAsiaTheme="minorEastAsia" w:cstheme="minorEastAsia"/>
                <w:color w:val="auto"/>
                <w:szCs w:val="21"/>
                <w:lang w:val="en-US" w:eastAsia="zh-CN"/>
              </w:rPr>
              <w:t>本项目运营期采取</w:t>
            </w:r>
            <w:r>
              <w:rPr>
                <w:rFonts w:hint="eastAsia" w:asciiTheme="minorEastAsia" w:hAnsiTheme="minorEastAsia" w:eastAsiaTheme="minorEastAsia" w:cstheme="minorEastAsia"/>
                <w:color w:val="auto"/>
                <w:szCs w:val="21"/>
              </w:rPr>
              <w:t>设置风流净化水幕</w:t>
            </w:r>
            <w:r>
              <w:rPr>
                <w:rFonts w:hint="eastAsia" w:asciiTheme="minorEastAsia" w:hAnsiTheme="minorEastAsia" w:eastAsiaTheme="minorEastAsia" w:cstheme="minorEastAsia"/>
                <w:color w:val="auto"/>
                <w:szCs w:val="21"/>
                <w:lang w:eastAsia="zh-CN"/>
              </w:rPr>
              <w:t>，</w:t>
            </w:r>
            <w:r>
              <w:rPr>
                <w:rFonts w:hint="eastAsia" w:asciiTheme="minorEastAsia" w:hAnsiTheme="minorEastAsia" w:eastAsiaTheme="minorEastAsia" w:cstheme="minorEastAsia"/>
                <w:color w:val="auto"/>
                <w:szCs w:val="21"/>
              </w:rPr>
              <w:t>设置喷雾洒水装置</w:t>
            </w:r>
            <w:r>
              <w:rPr>
                <w:rFonts w:hint="eastAsia" w:asciiTheme="minorEastAsia" w:hAnsiTheme="minorEastAsia" w:eastAsiaTheme="minorEastAsia" w:cstheme="minorEastAsia"/>
                <w:color w:val="auto"/>
                <w:szCs w:val="21"/>
                <w:lang w:eastAsia="zh-CN"/>
              </w:rPr>
              <w:t>，粉尘积聚处定期清理、并撒布岩粉</w:t>
            </w:r>
            <w:r>
              <w:rPr>
                <w:rFonts w:hint="eastAsia" w:asciiTheme="minorEastAsia" w:hAnsiTheme="minorEastAsia" w:eastAsiaTheme="minorEastAsia" w:cstheme="minorEastAsia"/>
                <w:color w:val="auto"/>
                <w:szCs w:val="21"/>
                <w:lang w:val="en-US" w:eastAsia="zh-CN"/>
              </w:rPr>
              <w:t>等措施后可有效抑制井下粉尘产生，废气产生量较小。</w:t>
            </w:r>
          </w:p>
        </w:tc>
        <w:tc>
          <w:tcPr>
            <w:tcW w:w="861" w:type="pct"/>
            <w:vMerge w:val="restart"/>
            <w:vAlign w:val="center"/>
          </w:tcPr>
          <w:p w14:paraId="7E58ED08">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《煤炭工业污染物排放标准》（GB20426-2006）</w:t>
            </w:r>
            <w:r>
              <w:rPr>
                <w:rFonts w:hint="eastAsia"/>
                <w:color w:val="auto"/>
                <w:szCs w:val="21"/>
                <w:lang w:val="en-US" w:eastAsia="zh-CN"/>
              </w:rPr>
              <w:t>表5中</w:t>
            </w:r>
            <w:r>
              <w:rPr>
                <w:color w:val="auto"/>
                <w:szCs w:val="21"/>
              </w:rPr>
              <w:t>颗粒物无组织排放限值</w:t>
            </w:r>
          </w:p>
        </w:tc>
      </w:tr>
      <w:tr w14:paraId="07DB03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04" w:hRule="atLeast"/>
          <w:jc w:val="center"/>
        </w:trPr>
        <w:tc>
          <w:tcPr>
            <w:tcW w:w="670" w:type="pct"/>
            <w:vMerge w:val="continue"/>
            <w:vAlign w:val="center"/>
          </w:tcPr>
          <w:p w14:paraId="3D6CF91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p>
        </w:tc>
        <w:tc>
          <w:tcPr>
            <w:tcW w:w="1717" w:type="pct"/>
            <w:vAlign w:val="center"/>
          </w:tcPr>
          <w:p w14:paraId="7E45262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rFonts w:hint="eastAsia"/>
                <w:color w:val="auto"/>
                <w:szCs w:val="21"/>
              </w:rPr>
            </w:pPr>
            <w:r>
              <w:rPr>
                <w:rFonts w:hint="eastAsia"/>
                <w:color w:val="auto"/>
                <w:szCs w:val="21"/>
                <w:lang w:val="en-US" w:eastAsia="zh-CN"/>
              </w:rPr>
              <w:t>井巷施工采用湿法作业</w:t>
            </w:r>
          </w:p>
        </w:tc>
        <w:tc>
          <w:tcPr>
            <w:tcW w:w="719" w:type="pct"/>
            <w:vAlign w:val="center"/>
          </w:tcPr>
          <w:p w14:paraId="1981D4D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施工</w:t>
            </w:r>
            <w:r>
              <w:rPr>
                <w:rFonts w:hint="eastAsia"/>
                <w:color w:val="auto"/>
                <w:szCs w:val="21"/>
                <w:lang w:val="en-US" w:eastAsia="zh-CN"/>
              </w:rPr>
              <w:t>煤尘</w:t>
            </w:r>
            <w:r>
              <w:rPr>
                <w:color w:val="auto"/>
                <w:szCs w:val="21"/>
              </w:rPr>
              <w:t>执行《煤炭工业污染物排放标准》</w:t>
            </w:r>
            <w:r>
              <w:rPr>
                <w:rFonts w:hint="eastAsia"/>
                <w:color w:val="auto"/>
                <w:szCs w:val="21"/>
              </w:rPr>
              <w:t>（</w:t>
            </w:r>
            <w:r>
              <w:rPr>
                <w:color w:val="auto"/>
                <w:szCs w:val="21"/>
              </w:rPr>
              <w:t>GB20426</w:t>
            </w:r>
            <w:r>
              <w:rPr>
                <w:rFonts w:hint="eastAsia"/>
                <w:color w:val="auto"/>
                <w:szCs w:val="21"/>
                <w:lang w:val="en-US" w:eastAsia="zh-CN"/>
              </w:rPr>
              <w:t xml:space="preserve"> </w:t>
            </w:r>
            <w:r>
              <w:rPr>
                <w:rFonts w:hint="eastAsia"/>
                <w:color w:val="auto"/>
                <w:szCs w:val="21"/>
              </w:rPr>
              <w:t>-</w:t>
            </w:r>
            <w:r>
              <w:rPr>
                <w:color w:val="auto"/>
                <w:szCs w:val="21"/>
              </w:rPr>
              <w:t>2006）</w:t>
            </w:r>
            <w:r>
              <w:rPr>
                <w:rFonts w:hint="eastAsia"/>
                <w:color w:val="auto"/>
                <w:szCs w:val="21"/>
                <w:lang w:val="en-US" w:eastAsia="zh-CN"/>
              </w:rPr>
              <w:t>表5中</w:t>
            </w:r>
            <w:r>
              <w:rPr>
                <w:color w:val="auto"/>
                <w:szCs w:val="21"/>
              </w:rPr>
              <w:t>颗粒物无组织排放限值</w:t>
            </w:r>
          </w:p>
        </w:tc>
        <w:tc>
          <w:tcPr>
            <w:tcW w:w="1031" w:type="pct"/>
            <w:vMerge w:val="continue"/>
            <w:vAlign w:val="center"/>
          </w:tcPr>
          <w:p w14:paraId="25BBCF0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p>
        </w:tc>
        <w:tc>
          <w:tcPr>
            <w:tcW w:w="861" w:type="pct"/>
            <w:vMerge w:val="continue"/>
            <w:vAlign w:val="center"/>
          </w:tcPr>
          <w:p w14:paraId="579CE9C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p>
        </w:tc>
      </w:tr>
      <w:tr w14:paraId="568A01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350" w:hRule="atLeast"/>
          <w:jc w:val="center"/>
        </w:trPr>
        <w:tc>
          <w:tcPr>
            <w:tcW w:w="670" w:type="pct"/>
            <w:vAlign w:val="center"/>
          </w:tcPr>
          <w:p w14:paraId="355429C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固体废物</w:t>
            </w:r>
          </w:p>
        </w:tc>
        <w:tc>
          <w:tcPr>
            <w:tcW w:w="1717" w:type="pct"/>
            <w:vAlign w:val="center"/>
          </w:tcPr>
          <w:p w14:paraId="4E252C5F">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rFonts w:hint="eastAsia" w:asciiTheme="minorEastAsia" w:hAnsiTheme="minorEastAsia" w:eastAsiaTheme="minorEastAsia" w:cstheme="minorEastAsia"/>
                <w:color w:val="auto"/>
                <w:szCs w:val="21"/>
              </w:rPr>
              <w:t>基础开挖和风井开挖产生的余方全部用于场地平整，无弃方产生</w:t>
            </w:r>
            <w:r>
              <w:rPr>
                <w:color w:val="auto"/>
                <w:szCs w:val="21"/>
              </w:rPr>
              <w:t>；施工人员生活垃圾集中收集后运往当地生活垃圾收集点，交当地环卫部门处置</w:t>
            </w:r>
            <w:r>
              <w:rPr>
                <w:rFonts w:hint="eastAsia"/>
                <w:color w:val="auto"/>
                <w:szCs w:val="21"/>
                <w:lang w:eastAsia="zh-CN"/>
              </w:rPr>
              <w:t>；</w:t>
            </w:r>
            <w:r>
              <w:rPr>
                <w:rFonts w:hint="eastAsia" w:asciiTheme="minorEastAsia" w:hAnsiTheme="minorEastAsia" w:eastAsiaTheme="minorEastAsia" w:cstheme="minorEastAsia"/>
                <w:color w:val="auto"/>
                <w:sz w:val="21"/>
                <w:szCs w:val="21"/>
                <w:lang w:val="en-US" w:eastAsia="zh-CN"/>
              </w:rPr>
              <w:t>煤和半煤岩送至李家壕煤矿配套的洗煤厂进行综合利用，煤矸石送至鄂尔多斯市金通矿业有限公司利用煤矸石复垦露天采坑；</w:t>
            </w:r>
            <w:r>
              <w:rPr>
                <w:color w:val="auto"/>
                <w:szCs w:val="21"/>
              </w:rPr>
              <w:t>建筑垃圾：按要求分类处置</w:t>
            </w:r>
            <w:r>
              <w:rPr>
                <w:rFonts w:hint="eastAsia"/>
                <w:color w:val="auto"/>
                <w:szCs w:val="21"/>
              </w:rPr>
              <w:t>，</w:t>
            </w:r>
            <w:r>
              <w:rPr>
                <w:color w:val="auto"/>
                <w:szCs w:val="21"/>
              </w:rPr>
              <w:t>废金属、钢材与纸质废包装等可回收利用的垃圾可卖废品，其他难以回收利用的垃圾分类收集后送至政府指定地点堆放。</w:t>
            </w:r>
          </w:p>
        </w:tc>
        <w:tc>
          <w:tcPr>
            <w:tcW w:w="719" w:type="pct"/>
            <w:vAlign w:val="center"/>
          </w:tcPr>
          <w:p w14:paraId="5648D523">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按相关要求合理处置</w:t>
            </w:r>
          </w:p>
        </w:tc>
        <w:tc>
          <w:tcPr>
            <w:tcW w:w="1031" w:type="pct"/>
            <w:vAlign w:val="center"/>
          </w:tcPr>
          <w:p w14:paraId="29BB388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rFonts w:hint="eastAsia"/>
                <w:color w:val="auto"/>
                <w:szCs w:val="21"/>
                <w:lang w:val="en-US" w:eastAsia="zh-CN"/>
              </w:rPr>
              <w:t>废机油和废油桶暂存于李家壕煤矿现有危废暂存库（360m</w:t>
            </w:r>
            <w:r>
              <w:rPr>
                <w:rFonts w:hint="eastAsia"/>
                <w:color w:val="auto"/>
                <w:szCs w:val="21"/>
                <w:vertAlign w:val="superscript"/>
                <w:lang w:val="en-US" w:eastAsia="zh-CN"/>
              </w:rPr>
              <w:t>2</w:t>
            </w:r>
            <w:r>
              <w:rPr>
                <w:rFonts w:hint="eastAsia"/>
                <w:color w:val="auto"/>
                <w:szCs w:val="21"/>
                <w:lang w:val="en-US" w:eastAsia="zh-CN"/>
              </w:rPr>
              <w:t>），委托有资质单位集中处置。</w:t>
            </w:r>
          </w:p>
        </w:tc>
        <w:tc>
          <w:tcPr>
            <w:tcW w:w="861" w:type="pct"/>
            <w:vAlign w:val="center"/>
          </w:tcPr>
          <w:p w14:paraId="2E53E18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rFonts w:hint="default" w:ascii="Times New Roman" w:hAnsi="Times New Roman" w:cs="Times New Roman"/>
                <w:color w:val="auto"/>
                <w:kern w:val="0"/>
                <w:sz w:val="21"/>
                <w:szCs w:val="21"/>
                <w:lang w:val="en-US" w:eastAsia="zh-CN"/>
              </w:rPr>
              <w:t>《危险废物贮存污染控制标准》（GB18597-2023）</w:t>
            </w:r>
          </w:p>
        </w:tc>
      </w:tr>
      <w:tr w14:paraId="104E69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70" w:type="pct"/>
            <w:vAlign w:val="center"/>
          </w:tcPr>
          <w:p w14:paraId="0F6FB312">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电磁环境</w:t>
            </w:r>
          </w:p>
        </w:tc>
        <w:tc>
          <w:tcPr>
            <w:tcW w:w="1717" w:type="pct"/>
            <w:vAlign w:val="center"/>
          </w:tcPr>
          <w:p w14:paraId="16E9E52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3F780951">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46EB9E6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861" w:type="pct"/>
            <w:vAlign w:val="center"/>
          </w:tcPr>
          <w:p w14:paraId="546F918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r>
      <w:tr w14:paraId="3552E0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70" w:type="pct"/>
            <w:vAlign w:val="center"/>
          </w:tcPr>
          <w:p w14:paraId="3CF8B60D">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环境风险</w:t>
            </w:r>
          </w:p>
        </w:tc>
        <w:tc>
          <w:tcPr>
            <w:tcW w:w="1717" w:type="pct"/>
            <w:vAlign w:val="center"/>
          </w:tcPr>
          <w:p w14:paraId="2E3F8BC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57C0395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4B7B0476">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861" w:type="pct"/>
            <w:vAlign w:val="center"/>
          </w:tcPr>
          <w:p w14:paraId="12EFAB3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r>
      <w:tr w14:paraId="2861BA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670" w:type="pct"/>
            <w:vMerge w:val="restart"/>
            <w:vAlign w:val="center"/>
          </w:tcPr>
          <w:p w14:paraId="17C54D3E">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环境监测</w:t>
            </w:r>
          </w:p>
        </w:tc>
        <w:tc>
          <w:tcPr>
            <w:tcW w:w="1717" w:type="pct"/>
            <w:vAlign w:val="center"/>
          </w:tcPr>
          <w:p w14:paraId="58D5FAD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022F831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5D6050F9">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风井场地厂界噪声：厂界四周各设1个监测点位</w:t>
            </w:r>
            <w:r>
              <w:rPr>
                <w:color w:val="auto"/>
              </w:rPr>
              <w:t>。</w:t>
            </w:r>
          </w:p>
        </w:tc>
        <w:tc>
          <w:tcPr>
            <w:tcW w:w="861" w:type="pct"/>
            <w:vAlign w:val="center"/>
          </w:tcPr>
          <w:p w14:paraId="378DCC5A">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pacing w:val="-6"/>
                <w:szCs w:val="21"/>
              </w:rPr>
            </w:pPr>
            <w:r>
              <w:rPr>
                <w:color w:val="auto"/>
                <w:spacing w:val="-6"/>
                <w:szCs w:val="21"/>
              </w:rPr>
              <w:t>《工业企业厂界环境噪声排放标准》（GB12348</w:t>
            </w:r>
            <w:r>
              <w:rPr>
                <w:rFonts w:hint="eastAsia"/>
                <w:color w:val="auto"/>
                <w:spacing w:val="-6"/>
                <w:szCs w:val="21"/>
              </w:rPr>
              <w:t xml:space="preserve"> </w:t>
            </w:r>
            <w:r>
              <w:rPr>
                <w:color w:val="auto"/>
                <w:spacing w:val="-6"/>
                <w:szCs w:val="21"/>
              </w:rPr>
              <w:t>-2008）中</w:t>
            </w:r>
            <w:r>
              <w:rPr>
                <w:rFonts w:hint="eastAsia"/>
                <w:color w:val="auto"/>
                <w:spacing w:val="-6"/>
                <w:szCs w:val="21"/>
                <w:lang w:val="en-US" w:eastAsia="zh-CN"/>
              </w:rPr>
              <w:t>3</w:t>
            </w:r>
            <w:r>
              <w:rPr>
                <w:color w:val="auto"/>
                <w:spacing w:val="-6"/>
                <w:szCs w:val="21"/>
              </w:rPr>
              <w:t>类标准</w:t>
            </w:r>
          </w:p>
        </w:tc>
      </w:tr>
      <w:tr w14:paraId="6C30C1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670" w:type="pct"/>
            <w:vMerge w:val="continue"/>
            <w:vAlign w:val="center"/>
          </w:tcPr>
          <w:p w14:paraId="35338DE7">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p>
        </w:tc>
        <w:tc>
          <w:tcPr>
            <w:tcW w:w="1717" w:type="pct"/>
            <w:vAlign w:val="center"/>
          </w:tcPr>
          <w:p w14:paraId="2B3C859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56822E3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5B013DB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风井场地厂界废气：</w:t>
            </w:r>
            <w:r>
              <w:rPr>
                <w:color w:val="auto"/>
                <w:kern w:val="0"/>
                <w:szCs w:val="21"/>
              </w:rPr>
              <w:t>厂界上风向1个点、下风向3个点</w:t>
            </w:r>
          </w:p>
        </w:tc>
        <w:tc>
          <w:tcPr>
            <w:tcW w:w="861" w:type="pct"/>
            <w:vAlign w:val="center"/>
          </w:tcPr>
          <w:p w14:paraId="6388CA60">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《煤炭工业污染物排放标准》（GB20426-2006）颗粒物无组织排放限值</w:t>
            </w:r>
          </w:p>
        </w:tc>
      </w:tr>
      <w:tr w14:paraId="06D763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670" w:type="pct"/>
            <w:vAlign w:val="center"/>
          </w:tcPr>
          <w:p w14:paraId="595A405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其他</w:t>
            </w:r>
          </w:p>
        </w:tc>
        <w:tc>
          <w:tcPr>
            <w:tcW w:w="1717" w:type="pct"/>
            <w:vAlign w:val="center"/>
          </w:tcPr>
          <w:p w14:paraId="122DC945">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719" w:type="pct"/>
            <w:vAlign w:val="center"/>
          </w:tcPr>
          <w:p w14:paraId="46DAF79B">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c>
          <w:tcPr>
            <w:tcW w:w="1031" w:type="pct"/>
            <w:vAlign w:val="center"/>
          </w:tcPr>
          <w:p w14:paraId="556502FC">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rPr>
              <w:t>按规定程序实施竣工环境保护验收，验收合格方可投入运行。企业应当严格执行本次评价提出的监测要求，应定期进行环境监测工作。</w:t>
            </w:r>
          </w:p>
        </w:tc>
        <w:tc>
          <w:tcPr>
            <w:tcW w:w="861" w:type="pct"/>
            <w:vAlign w:val="center"/>
          </w:tcPr>
          <w:p w14:paraId="4C025354">
            <w:pPr>
              <w:keepNext w:val="0"/>
              <w:keepLines w:val="0"/>
              <w:pageBreakBefore w:val="0"/>
              <w:widowControl w:val="0"/>
              <w:kinsoku/>
              <w:wordWrap/>
              <w:overflowPunct/>
              <w:topLinePunct w:val="0"/>
              <w:autoSpaceDE/>
              <w:autoSpaceDN/>
              <w:bidi w:val="0"/>
              <w:adjustRightInd w:val="0"/>
              <w:snapToGrid w:val="0"/>
              <w:spacing w:line="320" w:lineRule="exact"/>
              <w:jc w:val="center"/>
              <w:textAlignment w:val="auto"/>
              <w:rPr>
                <w:color w:val="auto"/>
                <w:szCs w:val="21"/>
              </w:rPr>
            </w:pPr>
            <w:r>
              <w:rPr>
                <w:color w:val="auto"/>
                <w:szCs w:val="21"/>
              </w:rPr>
              <w:t>/</w:t>
            </w:r>
          </w:p>
        </w:tc>
      </w:tr>
    </w:tbl>
    <w:p w14:paraId="7F6F3411">
      <w:pPr>
        <w:pStyle w:val="25"/>
        <w:spacing w:before="0" w:beforeAutospacing="0" w:after="0" w:afterAutospacing="0" w:line="20" w:lineRule="exact"/>
        <w:jc w:val="center"/>
        <w:rPr>
          <w:rFonts w:ascii="黑体" w:hAnsi="黑体" w:eastAsia="黑体"/>
          <w:snapToGrid w:val="0"/>
          <w:color w:val="auto"/>
          <w:sz w:val="30"/>
          <w:szCs w:val="30"/>
        </w:rPr>
        <w:sectPr>
          <w:pgSz w:w="16838" w:h="11906" w:orient="landscape"/>
          <w:pgMar w:top="1800" w:right="1440" w:bottom="1800" w:left="1440" w:header="851" w:footer="1077" w:gutter="0"/>
          <w:pgNumType w:fmt="numberInDash"/>
          <w:cols w:space="720" w:num="1"/>
          <w:docGrid w:linePitch="312" w:charSpace="0"/>
        </w:sectPr>
      </w:pPr>
    </w:p>
    <w:p w14:paraId="0AC77063">
      <w:pPr>
        <w:pStyle w:val="25"/>
        <w:spacing w:beforeLines="80" w:beforeAutospacing="0"/>
        <w:jc w:val="center"/>
        <w:outlineLvl w:val="0"/>
        <w:rPr>
          <w:rFonts w:ascii="黑体" w:hAnsi="黑体" w:eastAsia="黑体"/>
          <w:snapToGrid w:val="0"/>
          <w:color w:val="auto"/>
          <w:sz w:val="30"/>
          <w:szCs w:val="30"/>
        </w:rPr>
      </w:pPr>
      <w:r>
        <w:rPr>
          <w:rFonts w:hint="eastAsia" w:ascii="黑体" w:hAnsi="黑体" w:eastAsia="黑体"/>
          <w:snapToGrid w:val="0"/>
          <w:color w:val="auto"/>
          <w:sz w:val="30"/>
          <w:szCs w:val="30"/>
        </w:rPr>
        <w:t>七、结论</w:t>
      </w:r>
    </w:p>
    <w:tbl>
      <w:tblPr>
        <w:tblStyle w:val="29"/>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2B3672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531E6C7E">
            <w:pPr>
              <w:widowControl/>
              <w:spacing w:line="360" w:lineRule="auto"/>
              <w:ind w:firstLine="480" w:firstLineChars="200"/>
              <w:rPr>
                <w:rFonts w:ascii="宋体" w:hAnsi="宋体" w:cs="宋体"/>
                <w:color w:val="auto"/>
                <w:kern w:val="0"/>
                <w:sz w:val="24"/>
              </w:rPr>
            </w:pPr>
          </w:p>
          <w:p w14:paraId="7F399A2C">
            <w:pPr>
              <w:widowControl/>
              <w:spacing w:line="360" w:lineRule="auto"/>
              <w:ind w:firstLine="560" w:firstLineChars="200"/>
              <w:rPr>
                <w:color w:val="auto"/>
                <w:sz w:val="22"/>
                <w:szCs w:val="28"/>
              </w:rPr>
            </w:pPr>
            <w:r>
              <w:rPr>
                <w:rFonts w:hint="eastAsia" w:ascii="宋体" w:hAnsi="宋体" w:cs="宋体"/>
                <w:color w:val="auto"/>
                <w:kern w:val="0"/>
                <w:sz w:val="28"/>
                <w:szCs w:val="28"/>
              </w:rPr>
              <w:t>本项目建设符合国家及地方产业政策，项目施工期采取了完善的生态防护措施和污染治理措施，可将施工期环境污染程度降至最低；项目运营期</w:t>
            </w:r>
            <w:r>
              <w:rPr>
                <w:rFonts w:ascii="宋体" w:hAnsi="宋体" w:cs="宋体"/>
                <w:color w:val="auto"/>
                <w:sz w:val="28"/>
                <w:szCs w:val="28"/>
              </w:rPr>
              <w:t>通过认真落实评价所提各项环保治理措施，工程排放的各类污染物对周围环境影响可以接受</w:t>
            </w:r>
            <w:r>
              <w:rPr>
                <w:rFonts w:hint="eastAsia" w:ascii="宋体" w:hAnsi="宋体" w:cs="宋体"/>
                <w:color w:val="auto"/>
                <w:kern w:val="0"/>
                <w:sz w:val="28"/>
                <w:szCs w:val="28"/>
              </w:rPr>
              <w:t>；因此，从环境保护角度考虑，本项目</w:t>
            </w:r>
            <w:r>
              <w:rPr>
                <w:rFonts w:hint="eastAsia" w:ascii="宋体" w:hAnsi="宋体" w:cs="宋体"/>
                <w:color w:val="auto"/>
                <w:sz w:val="28"/>
                <w:szCs w:val="28"/>
              </w:rPr>
              <w:t>建设</w:t>
            </w:r>
            <w:r>
              <w:rPr>
                <w:rFonts w:hint="eastAsia" w:ascii="宋体" w:hAnsi="宋体" w:cs="宋体"/>
                <w:color w:val="auto"/>
                <w:kern w:val="0"/>
                <w:sz w:val="28"/>
                <w:szCs w:val="28"/>
              </w:rPr>
              <w:t>可行。</w:t>
            </w:r>
          </w:p>
          <w:p w14:paraId="7CA725F5">
            <w:pPr>
              <w:adjustRightInd w:val="0"/>
              <w:snapToGrid w:val="0"/>
              <w:spacing w:line="360" w:lineRule="auto"/>
              <w:ind w:firstLine="480" w:firstLineChars="200"/>
              <w:rPr>
                <w:rFonts w:ascii="宋体" w:hAnsi="宋体" w:cs="宋体"/>
                <w:color w:val="auto"/>
                <w:sz w:val="24"/>
              </w:rPr>
            </w:pPr>
          </w:p>
        </w:tc>
      </w:tr>
    </w:tbl>
    <w:p w14:paraId="241A2699">
      <w:pPr>
        <w:rPr>
          <w:rFonts w:ascii="宋体"/>
          <w:color w:val="auto"/>
        </w:rPr>
        <w:sectPr>
          <w:pgSz w:w="11906" w:h="16838"/>
          <w:pgMar w:top="1440" w:right="1800" w:bottom="1440" w:left="1800" w:header="851" w:footer="992" w:gutter="0"/>
          <w:pgNumType w:fmt="numberInDash"/>
          <w:cols w:space="425" w:num="1"/>
          <w:docGrid w:type="lines" w:linePitch="312" w:charSpace="0"/>
        </w:sectPr>
      </w:pPr>
    </w:p>
    <w:p w14:paraId="52F0E6DE">
      <w:pPr>
        <w:jc w:val="center"/>
        <w:rPr>
          <w:color w:val="auto"/>
          <w:sz w:val="24"/>
        </w:rPr>
      </w:pPr>
      <w:r>
        <w:rPr>
          <w:color w:val="auto"/>
          <w:sz w:val="28"/>
        </w:rPr>
        <w:pict>
          <v:shape id="_x0000_s1038" o:spid="_x0000_s1038" o:spt="61" type="#_x0000_t61" style="position:absolute;left:0pt;margin-left:359.9pt;margin-top:208.15pt;height:23.55pt;width:74.85pt;z-index:251661312;mso-width-relative:page;mso-height-relative:page;" coordsize="21600,21600" o:gfxdata="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DzIwdbdAAAACwEAAA8AAAAAAAAAAQAgAAAAIgAAAGRycy9k&#10;b3ducmV2LnhtbFBLAQIUABQAAAAIAIdO4kBEc3mUNgIAAI0EAAAOAAAAAAAAAAEAIAAAACwBAABk&#10;cnMvZTJvRG9jLnhtbFBLBQYAAAAABgAGAFkBAADUBQAAAAA=&#10;" adj="28237,-24443">
            <v:path/>
            <v:fill focussize="0,0"/>
            <v:stroke joinstyle="miter"/>
            <v:imagedata o:title=""/>
            <o:lock v:ext="edit"/>
            <v:textbox>
              <w:txbxContent>
                <w:p w14:paraId="24BC5EF3">
                  <w:pPr>
                    <w:jc w:val="center"/>
                    <w:rPr>
                      <w:szCs w:val="21"/>
                    </w:rPr>
                  </w:pPr>
                  <w:r>
                    <w:rPr>
                      <w:rFonts w:hint="eastAsia"/>
                      <w:szCs w:val="21"/>
                    </w:rPr>
                    <w:t>本项目位置</w:t>
                  </w:r>
                </w:p>
              </w:txbxContent>
            </v:textbox>
          </v:shape>
        </w:pict>
      </w:r>
      <w:r>
        <w:rPr>
          <w:color w:val="auto"/>
          <w:sz w:val="28"/>
        </w:rPr>
        <w:pict>
          <v:shape id="_x0000_s1037" o:spid="_x0000_s1037" o:spt="120" type="#_x0000_t120" style="position:absolute;left:0pt;flip:x;margin-left:456.7pt;margin-top:177.3pt;height:5.4pt;width:6.1pt;z-index:251660288;mso-width-relative:page;mso-height-relative:page;" fillcolor="#FF0000" filled="t" coordsize="21600,21600" o:gfxdata="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iGyCnbAAAA&#10;CwEAAA8AAAAAAAAAAQAgAAAAIgAAAGRycy9kb3ducmV2LnhtbFBLAQIUABQAAAAIAIdO4kDbaZJQ&#10;GgIAADQEAAAOAAAAAAAAAAEAIAAAACoBAABkcnMvZTJvRG9jLnhtbFBLBQYAAAAABgAGAFkBAAC2&#10;BQAAAAA=&#10;">
            <v:path/>
            <v:fill on="t" focussize="0,0"/>
            <v:stroke/>
            <v:imagedata o:title=""/>
            <o:lock v:ext="edit"/>
          </v:shape>
        </w:pict>
      </w:r>
      <w:r>
        <w:rPr>
          <w:b/>
          <w:color w:val="auto"/>
          <w:sz w:val="28"/>
          <w:szCs w:val="28"/>
        </w:rPr>
        <w:drawing>
          <wp:anchor distT="0" distB="0" distL="114300" distR="114300" simplePos="0" relativeHeight="251662336" behindDoc="0" locked="0" layoutInCell="1" allowOverlap="1">
            <wp:simplePos x="0" y="0"/>
            <wp:positionH relativeFrom="column">
              <wp:posOffset>8227695</wp:posOffset>
            </wp:positionH>
            <wp:positionV relativeFrom="paragraph">
              <wp:posOffset>-1270</wp:posOffset>
            </wp:positionV>
            <wp:extent cx="603250" cy="798830"/>
            <wp:effectExtent l="0" t="0" r="6350" b="1270"/>
            <wp:wrapNone/>
            <wp:docPr id="49" name="图片 403" descr="指北针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03" descr="指北针1"/>
                    <pic:cNvPicPr>
                      <a:picLocks noChangeAspect="1"/>
                    </pic:cNvPicPr>
                  </pic:nvPicPr>
                  <pic:blipFill>
                    <a:blip r:embed="rId18" cstate="print"/>
                    <a:stretch>
                      <a:fillRect/>
                    </a:stretch>
                  </pic:blipFill>
                  <pic:spPr>
                    <a:xfrm>
                      <a:off x="0" y="0"/>
                      <a:ext cx="603250" cy="798830"/>
                    </a:xfrm>
                    <a:prstGeom prst="rect">
                      <a:avLst/>
                    </a:prstGeom>
                    <a:noFill/>
                    <a:ln>
                      <a:noFill/>
                    </a:ln>
                  </pic:spPr>
                </pic:pic>
              </a:graphicData>
            </a:graphic>
          </wp:anchor>
        </w:drawing>
      </w:r>
      <w:r>
        <w:rPr>
          <w:color w:val="auto"/>
          <w:sz w:val="24"/>
        </w:rPr>
        <w:drawing>
          <wp:inline distT="0" distB="0" distL="114300" distR="114300">
            <wp:extent cx="8117840" cy="5539105"/>
            <wp:effectExtent l="0" t="0" r="16510" b="4445"/>
            <wp:docPr id="6" name="图片 2" descr="270-271东胜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270-271东胜区"/>
                    <pic:cNvPicPr>
                      <a:picLocks noChangeAspect="1"/>
                    </pic:cNvPicPr>
                  </pic:nvPicPr>
                  <pic:blipFill>
                    <a:blip r:embed="rId19" cstate="print"/>
                    <a:stretch>
                      <a:fillRect/>
                    </a:stretch>
                  </pic:blipFill>
                  <pic:spPr>
                    <a:xfrm>
                      <a:off x="0" y="0"/>
                      <a:ext cx="8117840" cy="5539105"/>
                    </a:xfrm>
                    <a:prstGeom prst="rect">
                      <a:avLst/>
                    </a:prstGeom>
                    <a:noFill/>
                    <a:ln>
                      <a:noFill/>
                    </a:ln>
                  </pic:spPr>
                </pic:pic>
              </a:graphicData>
            </a:graphic>
          </wp:inline>
        </w:drawing>
      </w:r>
    </w:p>
    <w:p w14:paraId="72961122">
      <w:pPr>
        <w:spacing w:line="400" w:lineRule="exact"/>
        <w:jc w:val="center"/>
        <w:rPr>
          <w:b/>
          <w:bCs/>
          <w:color w:val="auto"/>
          <w:sz w:val="24"/>
        </w:rPr>
        <w:sectPr>
          <w:footerReference r:id="rId7" w:type="default"/>
          <w:pgSz w:w="16838" w:h="11906" w:orient="landscape"/>
          <w:pgMar w:top="1349" w:right="1440" w:bottom="1349" w:left="1440" w:header="851" w:footer="992" w:gutter="0"/>
          <w:pgNumType w:fmt="numberInDash"/>
          <w:cols w:space="425" w:num="1"/>
          <w:docGrid w:type="lines" w:linePitch="312" w:charSpace="0"/>
        </w:sectPr>
      </w:pPr>
      <w:r>
        <w:rPr>
          <w:b/>
          <w:bCs/>
          <w:color w:val="auto"/>
          <w:sz w:val="24"/>
        </w:rPr>
        <w:t>附图1     项目地理位置图</w:t>
      </w:r>
    </w:p>
    <w:p w14:paraId="5F60110C">
      <w:pPr>
        <w:adjustRightInd w:val="0"/>
        <w:snapToGrid w:val="0"/>
        <w:jc w:val="center"/>
        <w:rPr>
          <w:b/>
          <w:bCs/>
          <w:color w:val="auto"/>
          <w:sz w:val="24"/>
        </w:rPr>
      </w:pPr>
      <w:r>
        <w:rPr>
          <w:b/>
          <w:bCs/>
          <w:color w:val="auto"/>
          <w:sz w:val="24"/>
        </w:rPr>
        <w:drawing>
          <wp:inline distT="0" distB="0" distL="114300" distR="114300">
            <wp:extent cx="7292340" cy="5707380"/>
            <wp:effectExtent l="0" t="0" r="0" b="0"/>
            <wp:docPr id="10" name="图片 10" descr="平面图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平面图 Model (1)_00"/>
                    <pic:cNvPicPr>
                      <a:picLocks noChangeAspect="1"/>
                    </pic:cNvPicPr>
                  </pic:nvPicPr>
                  <pic:blipFill>
                    <a:blip r:embed="rId20" cstate="print"/>
                    <a:srcRect t="1500" b="783"/>
                    <a:stretch>
                      <a:fillRect/>
                    </a:stretch>
                  </pic:blipFill>
                  <pic:spPr>
                    <a:xfrm>
                      <a:off x="0" y="0"/>
                      <a:ext cx="7292340" cy="5707380"/>
                    </a:xfrm>
                    <a:prstGeom prst="rect">
                      <a:avLst/>
                    </a:prstGeom>
                  </pic:spPr>
                </pic:pic>
              </a:graphicData>
            </a:graphic>
          </wp:inline>
        </w:drawing>
      </w:r>
    </w:p>
    <w:p w14:paraId="3290617C">
      <w:pPr>
        <w:spacing w:line="400" w:lineRule="exact"/>
        <w:jc w:val="center"/>
        <w:rPr>
          <w:b/>
          <w:bCs/>
          <w:color w:val="auto"/>
          <w:sz w:val="24"/>
        </w:rPr>
        <w:sectPr>
          <w:footerReference r:id="rId8" w:type="default"/>
          <w:pgSz w:w="16838" w:h="11906" w:orient="landscape"/>
          <w:pgMar w:top="1247" w:right="1440" w:bottom="1247" w:left="1440" w:header="851" w:footer="992" w:gutter="0"/>
          <w:pgNumType w:fmt="numberInDash"/>
          <w:cols w:space="425" w:num="1"/>
          <w:docGrid w:type="lines" w:linePitch="312" w:charSpace="0"/>
        </w:sectPr>
      </w:pPr>
      <w:r>
        <w:rPr>
          <w:b/>
          <w:bCs/>
          <w:color w:val="auto"/>
          <w:sz w:val="24"/>
        </w:rPr>
        <w:t>附图</w:t>
      </w:r>
      <w:r>
        <w:rPr>
          <w:rFonts w:hint="eastAsia"/>
          <w:b/>
          <w:bCs/>
          <w:color w:val="auto"/>
          <w:sz w:val="24"/>
        </w:rPr>
        <w:t>2</w:t>
      </w:r>
      <w:r>
        <w:rPr>
          <w:b/>
          <w:bCs/>
          <w:color w:val="auto"/>
          <w:sz w:val="24"/>
        </w:rPr>
        <w:t xml:space="preserve">     项目</w:t>
      </w:r>
      <w:r>
        <w:rPr>
          <w:rFonts w:hint="eastAsia"/>
          <w:b/>
          <w:bCs/>
          <w:color w:val="auto"/>
          <w:sz w:val="24"/>
        </w:rPr>
        <w:t>总平面布置</w:t>
      </w:r>
      <w:r>
        <w:rPr>
          <w:b/>
          <w:bCs/>
          <w:color w:val="auto"/>
          <w:sz w:val="24"/>
        </w:rPr>
        <w:t>图</w:t>
      </w:r>
    </w:p>
    <w:tbl>
      <w:tblPr>
        <w:tblStyle w:val="30"/>
        <w:tblW w:w="422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003"/>
        <w:gridCol w:w="5977"/>
      </w:tblGrid>
      <w:tr w14:paraId="6C866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04" w:type="dxa"/>
            <w:vAlign w:val="center"/>
          </w:tcPr>
          <w:p w14:paraId="134876C4">
            <w:pPr>
              <w:pStyle w:val="18"/>
              <w:adjustRightInd w:val="0"/>
              <w:snapToGrid w:val="0"/>
              <w:jc w:val="center"/>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3650615" cy="2736215"/>
                  <wp:effectExtent l="0" t="0" r="6985" b="6985"/>
                  <wp:docPr id="27" name="图片 27" descr="fa0916a30f773faec0250d661c7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a0916a30f773faec0250d661c74376"/>
                          <pic:cNvPicPr>
                            <a:picLocks noChangeAspect="1"/>
                          </pic:cNvPicPr>
                        </pic:nvPicPr>
                        <pic:blipFill>
                          <a:blip r:embed="rId21"/>
                          <a:stretch>
                            <a:fillRect/>
                          </a:stretch>
                        </pic:blipFill>
                        <pic:spPr>
                          <a:xfrm>
                            <a:off x="0" y="0"/>
                            <a:ext cx="3650615" cy="2736215"/>
                          </a:xfrm>
                          <a:prstGeom prst="rect">
                            <a:avLst/>
                          </a:prstGeom>
                        </pic:spPr>
                      </pic:pic>
                    </a:graphicData>
                  </a:graphic>
                </wp:inline>
              </w:drawing>
            </w:r>
          </w:p>
        </w:tc>
        <w:tc>
          <w:tcPr>
            <w:tcW w:w="5977" w:type="dxa"/>
            <w:vAlign w:val="center"/>
          </w:tcPr>
          <w:p w14:paraId="1D4E24DF">
            <w:pPr>
              <w:pStyle w:val="18"/>
              <w:adjustRightInd w:val="0"/>
              <w:snapToGrid w:val="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3642995" cy="2736215"/>
                  <wp:effectExtent l="0" t="0" r="14605" b="6985"/>
                  <wp:docPr id="47" name="图片 47" descr="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
                          <pic:cNvPicPr>
                            <a:picLocks noChangeAspect="1"/>
                          </pic:cNvPicPr>
                        </pic:nvPicPr>
                        <pic:blipFill>
                          <a:blip r:embed="rId22" cstate="print"/>
                          <a:stretch>
                            <a:fillRect/>
                          </a:stretch>
                        </pic:blipFill>
                        <pic:spPr>
                          <a:xfrm>
                            <a:off x="0" y="0"/>
                            <a:ext cx="3642995" cy="2736215"/>
                          </a:xfrm>
                          <a:prstGeom prst="rect">
                            <a:avLst/>
                          </a:prstGeom>
                        </pic:spPr>
                      </pic:pic>
                    </a:graphicData>
                  </a:graphic>
                </wp:inline>
              </w:drawing>
            </w:r>
          </w:p>
        </w:tc>
      </w:tr>
      <w:tr w14:paraId="4F24D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04" w:type="dxa"/>
            <w:vAlign w:val="center"/>
          </w:tcPr>
          <w:p w14:paraId="0DB99D38">
            <w:pPr>
              <w:pStyle w:val="18"/>
              <w:adjustRightInd w:val="0"/>
              <w:snapToGrid w:val="0"/>
              <w:jc w:val="center"/>
              <w:rPr>
                <w:rFonts w:hint="default" w:ascii="Times New Roman" w:hAnsi="Times New Roman" w:eastAsia="宋体" w:cs="Times New Roman"/>
                <w:b/>
                <w:bCs/>
                <w:color w:val="auto"/>
                <w:lang w:val="en-US" w:eastAsia="zh-CN"/>
              </w:rPr>
            </w:pPr>
            <w:r>
              <w:rPr>
                <w:rFonts w:hint="eastAsia" w:ascii="Times New Roman" w:hAnsi="Times New Roman" w:cs="Times New Roman"/>
                <w:b/>
                <w:bCs/>
                <w:color w:val="auto"/>
                <w:lang w:val="en-US" w:eastAsia="zh-CN"/>
              </w:rPr>
              <w:t>厂区东侧进场道路</w:t>
            </w:r>
          </w:p>
        </w:tc>
        <w:tc>
          <w:tcPr>
            <w:tcW w:w="5977" w:type="dxa"/>
            <w:vAlign w:val="center"/>
          </w:tcPr>
          <w:p w14:paraId="2836DBDC">
            <w:pPr>
              <w:pStyle w:val="18"/>
              <w:adjustRightInd w:val="0"/>
              <w:snapToGrid w:val="0"/>
              <w:jc w:val="center"/>
              <w:rPr>
                <w:rFonts w:hint="default" w:ascii="Times New Roman" w:hAnsi="Times New Roman" w:eastAsia="宋体" w:cs="Times New Roman"/>
                <w:b/>
                <w:bCs/>
                <w:color w:val="auto"/>
                <w:lang w:val="en-US" w:eastAsia="zh-CN"/>
              </w:rPr>
            </w:pPr>
            <w:r>
              <w:rPr>
                <w:rFonts w:hint="eastAsia" w:ascii="Times New Roman" w:hAnsi="Times New Roman" w:cs="Times New Roman"/>
                <w:b/>
                <w:bCs/>
                <w:color w:val="auto"/>
                <w:lang w:val="en-US" w:eastAsia="zh-CN"/>
              </w:rPr>
              <w:t>厂区</w:t>
            </w:r>
            <w:r>
              <w:rPr>
                <w:rFonts w:ascii="Times New Roman" w:hAnsi="Times New Roman" w:cs="Times New Roman"/>
                <w:b/>
                <w:bCs/>
                <w:color w:val="auto"/>
              </w:rPr>
              <w:t>南</w:t>
            </w:r>
            <w:r>
              <w:rPr>
                <w:rFonts w:hint="eastAsia" w:ascii="Times New Roman" w:hAnsi="Times New Roman" w:cs="Times New Roman"/>
                <w:b/>
                <w:bCs/>
                <w:color w:val="auto"/>
                <w:lang w:val="en-US" w:eastAsia="zh-CN"/>
              </w:rPr>
              <w:t>侧环境概况</w:t>
            </w:r>
          </w:p>
        </w:tc>
      </w:tr>
      <w:tr w14:paraId="5C91E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04" w:type="dxa"/>
            <w:vAlign w:val="center"/>
          </w:tcPr>
          <w:p w14:paraId="27B97C70">
            <w:pPr>
              <w:pStyle w:val="18"/>
              <w:adjustRightInd w:val="0"/>
              <w:snapToGrid w:val="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3646805" cy="2736215"/>
                  <wp:effectExtent l="0" t="0" r="10795" b="6985"/>
                  <wp:docPr id="43" name="图片 43" descr="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东"/>
                          <pic:cNvPicPr>
                            <a:picLocks noChangeAspect="1"/>
                          </pic:cNvPicPr>
                        </pic:nvPicPr>
                        <pic:blipFill>
                          <a:blip r:embed="rId23" cstate="print"/>
                          <a:stretch>
                            <a:fillRect/>
                          </a:stretch>
                        </pic:blipFill>
                        <pic:spPr>
                          <a:xfrm>
                            <a:off x="0" y="0"/>
                            <a:ext cx="3646805" cy="2736215"/>
                          </a:xfrm>
                          <a:prstGeom prst="rect">
                            <a:avLst/>
                          </a:prstGeom>
                        </pic:spPr>
                      </pic:pic>
                    </a:graphicData>
                  </a:graphic>
                </wp:inline>
              </w:drawing>
            </w:r>
          </w:p>
        </w:tc>
        <w:tc>
          <w:tcPr>
            <w:tcW w:w="5977" w:type="dxa"/>
            <w:vAlign w:val="center"/>
          </w:tcPr>
          <w:p w14:paraId="0620E830">
            <w:pPr>
              <w:pStyle w:val="18"/>
              <w:adjustRightInd w:val="0"/>
              <w:snapToGrid w:val="0"/>
              <w:jc w:val="center"/>
              <w:rPr>
                <w:rFonts w:ascii="Times New Roman" w:hAnsi="Times New Roman" w:cs="Times New Roman"/>
                <w:color w:val="auto"/>
              </w:rPr>
            </w:pPr>
            <w:r>
              <w:rPr>
                <w:rFonts w:ascii="Times New Roman" w:hAnsi="Times New Roman" w:cs="Times New Roman"/>
                <w:color w:val="auto"/>
              </w:rPr>
              <w:drawing>
                <wp:inline distT="0" distB="0" distL="114300" distR="114300">
                  <wp:extent cx="3642995" cy="2736215"/>
                  <wp:effectExtent l="0" t="0" r="14605" b="6985"/>
                  <wp:docPr id="50" name="图片 50"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北"/>
                          <pic:cNvPicPr>
                            <a:picLocks noChangeAspect="1"/>
                          </pic:cNvPicPr>
                        </pic:nvPicPr>
                        <pic:blipFill>
                          <a:blip r:embed="rId24" cstate="print"/>
                          <a:stretch>
                            <a:fillRect/>
                          </a:stretch>
                        </pic:blipFill>
                        <pic:spPr>
                          <a:xfrm>
                            <a:off x="0" y="0"/>
                            <a:ext cx="3642995" cy="2736215"/>
                          </a:xfrm>
                          <a:prstGeom prst="rect">
                            <a:avLst/>
                          </a:prstGeom>
                        </pic:spPr>
                      </pic:pic>
                    </a:graphicData>
                  </a:graphic>
                </wp:inline>
              </w:drawing>
            </w:r>
          </w:p>
        </w:tc>
      </w:tr>
      <w:tr w14:paraId="2AFC8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004" w:type="dxa"/>
            <w:vAlign w:val="center"/>
          </w:tcPr>
          <w:p w14:paraId="76A0BD12">
            <w:pPr>
              <w:pStyle w:val="18"/>
              <w:adjustRightInd w:val="0"/>
              <w:snapToGrid w:val="0"/>
              <w:jc w:val="center"/>
              <w:rPr>
                <w:rFonts w:ascii="Times New Roman" w:hAnsi="Times New Roman" w:cs="Times New Roman"/>
                <w:b/>
                <w:bCs/>
                <w:color w:val="auto"/>
              </w:rPr>
            </w:pPr>
            <w:r>
              <w:rPr>
                <w:rFonts w:hint="eastAsia" w:ascii="Times New Roman" w:hAnsi="Times New Roman" w:cs="Times New Roman"/>
                <w:b/>
                <w:bCs/>
                <w:color w:val="auto"/>
                <w:lang w:val="en-US" w:eastAsia="zh-CN"/>
              </w:rPr>
              <w:t>厂区</w:t>
            </w:r>
            <w:r>
              <w:rPr>
                <w:rFonts w:ascii="Times New Roman" w:hAnsi="Times New Roman" w:cs="Times New Roman"/>
                <w:b/>
                <w:bCs/>
                <w:color w:val="auto"/>
              </w:rPr>
              <w:t>西</w:t>
            </w:r>
            <w:r>
              <w:rPr>
                <w:rFonts w:hint="eastAsia" w:ascii="Times New Roman" w:hAnsi="Times New Roman" w:cs="Times New Roman"/>
                <w:b/>
                <w:bCs/>
                <w:color w:val="auto"/>
                <w:lang w:val="en-US" w:eastAsia="zh-CN"/>
              </w:rPr>
              <w:t>侧环境概况</w:t>
            </w:r>
          </w:p>
        </w:tc>
        <w:tc>
          <w:tcPr>
            <w:tcW w:w="5977" w:type="dxa"/>
            <w:vAlign w:val="center"/>
          </w:tcPr>
          <w:p w14:paraId="53E0B5FC">
            <w:pPr>
              <w:pStyle w:val="18"/>
              <w:adjustRightInd w:val="0"/>
              <w:snapToGrid w:val="0"/>
              <w:jc w:val="center"/>
              <w:rPr>
                <w:rFonts w:ascii="Times New Roman" w:hAnsi="Times New Roman" w:cs="Times New Roman"/>
                <w:b/>
                <w:bCs/>
                <w:color w:val="auto"/>
              </w:rPr>
            </w:pPr>
            <w:r>
              <w:rPr>
                <w:rFonts w:hint="eastAsia" w:ascii="Times New Roman" w:hAnsi="Times New Roman" w:cs="Times New Roman"/>
                <w:b/>
                <w:bCs/>
                <w:color w:val="auto"/>
                <w:lang w:val="en-US" w:eastAsia="zh-CN"/>
              </w:rPr>
              <w:t>厂区</w:t>
            </w:r>
            <w:r>
              <w:rPr>
                <w:rFonts w:ascii="Times New Roman" w:hAnsi="Times New Roman" w:cs="Times New Roman"/>
                <w:b/>
                <w:bCs/>
                <w:color w:val="auto"/>
              </w:rPr>
              <w:t>北</w:t>
            </w:r>
            <w:r>
              <w:rPr>
                <w:rFonts w:hint="eastAsia" w:ascii="Times New Roman" w:hAnsi="Times New Roman" w:cs="Times New Roman"/>
                <w:b/>
                <w:bCs/>
                <w:color w:val="auto"/>
                <w:lang w:val="en-US" w:eastAsia="zh-CN"/>
              </w:rPr>
              <w:t>侧环境概况</w:t>
            </w:r>
          </w:p>
        </w:tc>
      </w:tr>
    </w:tbl>
    <w:p w14:paraId="4E84FE0E">
      <w:pPr>
        <w:adjustRightInd w:val="0"/>
        <w:snapToGrid w:val="0"/>
        <w:jc w:val="center"/>
        <w:rPr>
          <w:b/>
          <w:bCs/>
          <w:color w:val="auto"/>
          <w:sz w:val="24"/>
        </w:rPr>
        <w:sectPr>
          <w:pgSz w:w="16838" w:h="11906" w:orient="landscape"/>
          <w:pgMar w:top="1134" w:right="1440" w:bottom="1134" w:left="1440" w:header="851" w:footer="992" w:gutter="0"/>
          <w:pgNumType w:fmt="numberInDash"/>
          <w:cols w:space="425" w:num="1"/>
          <w:docGrid w:type="lines" w:linePitch="312" w:charSpace="0"/>
        </w:sectPr>
      </w:pPr>
      <w:r>
        <w:rPr>
          <w:b/>
          <w:bCs/>
          <w:color w:val="auto"/>
          <w:sz w:val="24"/>
        </w:rPr>
        <w:t>附图</w:t>
      </w:r>
      <w:r>
        <w:rPr>
          <w:rFonts w:hint="eastAsia"/>
          <w:b/>
          <w:bCs/>
          <w:color w:val="auto"/>
          <w:sz w:val="24"/>
        </w:rPr>
        <w:t>3</w:t>
      </w:r>
      <w:r>
        <w:rPr>
          <w:b/>
          <w:bCs/>
          <w:color w:val="auto"/>
          <w:sz w:val="24"/>
        </w:rPr>
        <w:t xml:space="preserve">    厂区周边现状照片</w:t>
      </w:r>
    </w:p>
    <w:p w14:paraId="7259CB19">
      <w:pPr>
        <w:adjustRightInd w:val="0"/>
        <w:snapToGrid w:val="0"/>
        <w:jc w:val="center"/>
        <w:rPr>
          <w:color w:val="auto"/>
          <w:sz w:val="28"/>
        </w:rPr>
      </w:pPr>
      <w:r>
        <w:rPr>
          <w:color w:val="auto"/>
          <w:sz w:val="28"/>
        </w:rPr>
        <w:pict>
          <v:shape id="_x0000_s1036" o:spid="_x0000_s1036" o:spt="61" type="#_x0000_t61" style="position:absolute;left:0pt;margin-left:323.15pt;margin-top:249.25pt;height:23.55pt;width:74.85pt;z-index:251663360;mso-width-relative:page;mso-height-relative:page;" coordsize="21600,21600" o:gfxdata="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nSDY7aAAAACwEAAA8AAAAAAAAAAQAgAAAAIgAAAGRycy9k&#10;b3ducmV2LnhtbFBLAQIUABQAAAAIAIdO4kAzgdKOOQIAAI8EAAAOAAAAAAAAAAEAIAAAACkBAABk&#10;cnMvZTJvRG9jLnhtbFBLBQYAAAAABgAGAFkBAADUBQAAAAA=&#10;" adj="22394,-35449">
            <v:path/>
            <v:fill focussize="0,0"/>
            <v:stroke joinstyle="miter"/>
            <v:imagedata o:title=""/>
            <o:lock v:ext="edit"/>
            <v:textbox>
              <w:txbxContent>
                <w:p w14:paraId="46F0B7B4">
                  <w:pPr>
                    <w:jc w:val="center"/>
                    <w:rPr>
                      <w:szCs w:val="21"/>
                    </w:rPr>
                  </w:pPr>
                  <w:r>
                    <w:rPr>
                      <w:rFonts w:hint="eastAsia"/>
                      <w:szCs w:val="21"/>
                    </w:rPr>
                    <w:t>本项目位置</w:t>
                  </w:r>
                </w:p>
              </w:txbxContent>
            </v:textbox>
          </v:shape>
        </w:pict>
      </w:r>
      <w:r>
        <w:rPr>
          <w:color w:val="auto"/>
          <w:sz w:val="28"/>
        </w:rPr>
        <w:drawing>
          <wp:inline distT="0" distB="0" distL="114300" distR="114300">
            <wp:extent cx="8241665" cy="5768975"/>
            <wp:effectExtent l="0" t="0" r="0" b="0"/>
            <wp:docPr id="11" name="图片 2" descr="W02024080940446288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W020240809404462886240"/>
                    <pic:cNvPicPr>
                      <a:picLocks noChangeAspect="1"/>
                    </pic:cNvPicPr>
                  </pic:nvPicPr>
                  <pic:blipFill>
                    <a:blip r:embed="rId25" cstate="print"/>
                    <a:srcRect t="1078"/>
                    <a:stretch>
                      <a:fillRect/>
                    </a:stretch>
                  </pic:blipFill>
                  <pic:spPr>
                    <a:xfrm>
                      <a:off x="0" y="0"/>
                      <a:ext cx="8241665" cy="5768975"/>
                    </a:xfrm>
                    <a:prstGeom prst="rect">
                      <a:avLst/>
                    </a:prstGeom>
                    <a:noFill/>
                    <a:ln>
                      <a:noFill/>
                    </a:ln>
                  </pic:spPr>
                </pic:pic>
              </a:graphicData>
            </a:graphic>
          </wp:inline>
        </w:drawing>
      </w:r>
    </w:p>
    <w:p w14:paraId="72E72A6B">
      <w:pPr>
        <w:jc w:val="center"/>
        <w:rPr>
          <w:color w:val="auto"/>
          <w:sz w:val="28"/>
        </w:rPr>
      </w:pPr>
      <w:r>
        <w:rPr>
          <w:b/>
          <w:bCs/>
          <w:color w:val="auto"/>
          <w:sz w:val="24"/>
        </w:rPr>
        <w:t>附图</w:t>
      </w:r>
      <w:r>
        <w:rPr>
          <w:rFonts w:hint="eastAsia"/>
          <w:b/>
          <w:bCs/>
          <w:color w:val="auto"/>
          <w:sz w:val="24"/>
        </w:rPr>
        <w:t>4</w:t>
      </w:r>
      <w:r>
        <w:rPr>
          <w:b/>
          <w:bCs/>
          <w:color w:val="auto"/>
          <w:sz w:val="24"/>
        </w:rPr>
        <w:t xml:space="preserve">      鄂尔多斯市生态环境分区管控单元图</w:t>
      </w:r>
    </w:p>
    <w:p w14:paraId="202DA23F">
      <w:pPr>
        <w:adjustRightInd w:val="0"/>
        <w:snapToGrid w:val="0"/>
        <w:jc w:val="center"/>
        <w:rPr>
          <w:b/>
          <w:bCs/>
          <w:color w:val="auto"/>
          <w:sz w:val="24"/>
        </w:rPr>
      </w:pPr>
      <w:r>
        <w:rPr>
          <w:rFonts w:hint="eastAsia"/>
          <w:b/>
          <w:bCs/>
          <w:color w:val="auto"/>
          <w:sz w:val="24"/>
        </w:rPr>
        <w:drawing>
          <wp:inline distT="0" distB="0" distL="114300" distR="114300">
            <wp:extent cx="8160385" cy="5769610"/>
            <wp:effectExtent l="0" t="0" r="12065" b="2540"/>
            <wp:docPr id="14" name="图片 14" descr="土地利用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土地利用类型图"/>
                    <pic:cNvPicPr>
                      <a:picLocks noChangeAspect="1"/>
                    </pic:cNvPicPr>
                  </pic:nvPicPr>
                  <pic:blipFill>
                    <a:blip r:embed="rId26" cstate="print"/>
                    <a:stretch>
                      <a:fillRect/>
                    </a:stretch>
                  </pic:blipFill>
                  <pic:spPr>
                    <a:xfrm>
                      <a:off x="0" y="0"/>
                      <a:ext cx="8160385" cy="5769610"/>
                    </a:xfrm>
                    <a:prstGeom prst="rect">
                      <a:avLst/>
                    </a:prstGeom>
                  </pic:spPr>
                </pic:pic>
              </a:graphicData>
            </a:graphic>
          </wp:inline>
        </w:drawing>
      </w:r>
    </w:p>
    <w:p w14:paraId="4ABD767F">
      <w:pPr>
        <w:jc w:val="center"/>
        <w:rPr>
          <w:b/>
          <w:bCs/>
          <w:color w:val="auto"/>
          <w:sz w:val="24"/>
        </w:rPr>
      </w:pPr>
      <w:r>
        <w:rPr>
          <w:b/>
          <w:bCs/>
          <w:color w:val="auto"/>
          <w:sz w:val="24"/>
        </w:rPr>
        <w:t>附图</w:t>
      </w:r>
      <w:r>
        <w:rPr>
          <w:rFonts w:hint="eastAsia"/>
          <w:b/>
          <w:bCs/>
          <w:color w:val="auto"/>
          <w:sz w:val="24"/>
        </w:rPr>
        <w:t>5</w:t>
      </w:r>
      <w:r>
        <w:rPr>
          <w:b/>
          <w:bCs/>
          <w:color w:val="auto"/>
          <w:sz w:val="24"/>
        </w:rPr>
        <w:t xml:space="preserve">      </w:t>
      </w:r>
      <w:r>
        <w:rPr>
          <w:rFonts w:hint="eastAsia"/>
          <w:b/>
          <w:bCs/>
          <w:color w:val="auto"/>
          <w:sz w:val="24"/>
        </w:rPr>
        <w:t>土地利用类型</w:t>
      </w:r>
      <w:r>
        <w:rPr>
          <w:b/>
          <w:bCs/>
          <w:color w:val="auto"/>
          <w:sz w:val="24"/>
        </w:rPr>
        <w:t>图</w:t>
      </w:r>
    </w:p>
    <w:p w14:paraId="557F7DE1">
      <w:pPr>
        <w:adjustRightInd w:val="0"/>
        <w:snapToGrid w:val="0"/>
        <w:jc w:val="center"/>
        <w:rPr>
          <w:b/>
          <w:bCs/>
          <w:color w:val="auto"/>
          <w:sz w:val="24"/>
        </w:rPr>
      </w:pPr>
      <w:r>
        <w:rPr>
          <w:rFonts w:hint="eastAsia"/>
          <w:b/>
          <w:bCs/>
          <w:color w:val="auto"/>
          <w:sz w:val="24"/>
        </w:rPr>
        <w:drawing>
          <wp:inline distT="0" distB="0" distL="114300" distR="114300">
            <wp:extent cx="8131175" cy="5748655"/>
            <wp:effectExtent l="0" t="0" r="3175" b="4445"/>
            <wp:docPr id="16" name="图片 16" descr="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植被类型图"/>
                    <pic:cNvPicPr>
                      <a:picLocks noChangeAspect="1"/>
                    </pic:cNvPicPr>
                  </pic:nvPicPr>
                  <pic:blipFill>
                    <a:blip r:embed="rId27" cstate="print"/>
                    <a:stretch>
                      <a:fillRect/>
                    </a:stretch>
                  </pic:blipFill>
                  <pic:spPr>
                    <a:xfrm>
                      <a:off x="0" y="0"/>
                      <a:ext cx="8131175" cy="5748655"/>
                    </a:xfrm>
                    <a:prstGeom prst="rect">
                      <a:avLst/>
                    </a:prstGeom>
                  </pic:spPr>
                </pic:pic>
              </a:graphicData>
            </a:graphic>
          </wp:inline>
        </w:drawing>
      </w:r>
    </w:p>
    <w:p w14:paraId="090B9BAF">
      <w:pPr>
        <w:adjustRightInd w:val="0"/>
        <w:snapToGrid w:val="0"/>
        <w:jc w:val="center"/>
        <w:rPr>
          <w:b/>
          <w:bCs/>
          <w:color w:val="auto"/>
          <w:sz w:val="24"/>
        </w:rPr>
      </w:pPr>
      <w:r>
        <w:rPr>
          <w:b/>
          <w:bCs/>
          <w:color w:val="auto"/>
          <w:sz w:val="24"/>
        </w:rPr>
        <w:t>附图</w:t>
      </w:r>
      <w:r>
        <w:rPr>
          <w:rFonts w:hint="eastAsia"/>
          <w:b/>
          <w:bCs/>
          <w:color w:val="auto"/>
          <w:sz w:val="24"/>
        </w:rPr>
        <w:t>6</w:t>
      </w:r>
      <w:r>
        <w:rPr>
          <w:b/>
          <w:bCs/>
          <w:color w:val="auto"/>
          <w:sz w:val="24"/>
        </w:rPr>
        <w:t xml:space="preserve">      </w:t>
      </w:r>
      <w:r>
        <w:rPr>
          <w:rFonts w:hint="eastAsia"/>
          <w:b/>
          <w:bCs/>
          <w:color w:val="auto"/>
          <w:sz w:val="24"/>
        </w:rPr>
        <w:t>植被类型</w:t>
      </w:r>
      <w:r>
        <w:rPr>
          <w:b/>
          <w:bCs/>
          <w:color w:val="auto"/>
          <w:sz w:val="24"/>
        </w:rPr>
        <w:t>图</w:t>
      </w:r>
    </w:p>
    <w:p w14:paraId="682586C3">
      <w:pPr>
        <w:adjustRightInd w:val="0"/>
        <w:snapToGrid w:val="0"/>
        <w:jc w:val="center"/>
        <w:rPr>
          <w:b/>
          <w:bCs/>
          <w:color w:val="auto"/>
          <w:sz w:val="24"/>
        </w:rPr>
      </w:pPr>
      <w:r>
        <w:rPr>
          <w:rFonts w:hint="eastAsia"/>
          <w:b/>
          <w:bCs/>
          <w:color w:val="auto"/>
          <w:sz w:val="24"/>
        </w:rPr>
        <w:drawing>
          <wp:inline distT="0" distB="0" distL="114300" distR="114300">
            <wp:extent cx="8147685" cy="5760720"/>
            <wp:effectExtent l="0" t="0" r="5715" b="11430"/>
            <wp:docPr id="17" name="图片 17" descr="植被覆盖度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植被覆盖度图"/>
                    <pic:cNvPicPr>
                      <a:picLocks noChangeAspect="1"/>
                    </pic:cNvPicPr>
                  </pic:nvPicPr>
                  <pic:blipFill>
                    <a:blip r:embed="rId28" cstate="print"/>
                    <a:stretch>
                      <a:fillRect/>
                    </a:stretch>
                  </pic:blipFill>
                  <pic:spPr>
                    <a:xfrm>
                      <a:off x="0" y="0"/>
                      <a:ext cx="8147685" cy="5760720"/>
                    </a:xfrm>
                    <a:prstGeom prst="rect">
                      <a:avLst/>
                    </a:prstGeom>
                  </pic:spPr>
                </pic:pic>
              </a:graphicData>
            </a:graphic>
          </wp:inline>
        </w:drawing>
      </w:r>
    </w:p>
    <w:p w14:paraId="66F0347A">
      <w:pPr>
        <w:adjustRightInd w:val="0"/>
        <w:snapToGrid w:val="0"/>
        <w:jc w:val="center"/>
        <w:rPr>
          <w:b/>
          <w:bCs/>
          <w:color w:val="auto"/>
          <w:sz w:val="24"/>
        </w:rPr>
        <w:sectPr>
          <w:pgSz w:w="16838" w:h="11906" w:orient="landscape"/>
          <w:pgMar w:top="1247" w:right="1440" w:bottom="1247" w:left="1440" w:header="851" w:footer="822" w:gutter="0"/>
          <w:pgNumType w:fmt="numberInDash"/>
          <w:cols w:space="0" w:num="1"/>
          <w:docGrid w:type="lines" w:linePitch="312" w:charSpace="0"/>
        </w:sectPr>
      </w:pPr>
      <w:r>
        <w:rPr>
          <w:b/>
          <w:bCs/>
          <w:color w:val="auto"/>
          <w:sz w:val="24"/>
        </w:rPr>
        <w:t>附图</w:t>
      </w:r>
      <w:r>
        <w:rPr>
          <w:rFonts w:hint="eastAsia"/>
          <w:b/>
          <w:bCs/>
          <w:color w:val="auto"/>
          <w:sz w:val="24"/>
        </w:rPr>
        <w:t>7</w:t>
      </w:r>
      <w:r>
        <w:rPr>
          <w:b/>
          <w:bCs/>
          <w:color w:val="auto"/>
          <w:sz w:val="24"/>
        </w:rPr>
        <w:t xml:space="preserve">      </w:t>
      </w:r>
      <w:r>
        <w:rPr>
          <w:rFonts w:hint="eastAsia"/>
          <w:b/>
          <w:bCs/>
          <w:color w:val="auto"/>
          <w:sz w:val="24"/>
        </w:rPr>
        <w:t>植被覆盖度</w:t>
      </w:r>
      <w:r>
        <w:rPr>
          <w:b/>
          <w:bCs/>
          <w:color w:val="auto"/>
          <w:sz w:val="24"/>
        </w:rPr>
        <w:t>图</w:t>
      </w:r>
    </w:p>
    <w:p w14:paraId="2ECDBF3A">
      <w:pPr>
        <w:adjustRightInd w:val="0"/>
        <w:snapToGrid w:val="0"/>
        <w:jc w:val="center"/>
        <w:rPr>
          <w:b/>
          <w:bCs/>
          <w:color w:val="auto"/>
          <w:sz w:val="24"/>
        </w:rPr>
      </w:pPr>
      <w:r>
        <w:rPr>
          <w:rFonts w:hint="eastAsia"/>
          <w:color w:val="auto"/>
        </w:rPr>
        <w:drawing>
          <wp:anchor distT="0" distB="0" distL="114300" distR="114300" simplePos="0" relativeHeight="251673600" behindDoc="0" locked="0" layoutInCell="1" allowOverlap="1">
            <wp:simplePos x="0" y="0"/>
            <wp:positionH relativeFrom="column">
              <wp:posOffset>7955915</wp:posOffset>
            </wp:positionH>
            <wp:positionV relativeFrom="paragraph">
              <wp:posOffset>0</wp:posOffset>
            </wp:positionV>
            <wp:extent cx="914400" cy="850265"/>
            <wp:effectExtent l="0" t="0" r="0" b="0"/>
            <wp:wrapNone/>
            <wp:docPr id="41" name="图片 14" descr="东胜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descr="东胜风玫瑰图"/>
                    <pic:cNvPicPr>
                      <a:picLocks noChangeAspect="1"/>
                    </pic:cNvPicPr>
                  </pic:nvPicPr>
                  <pic:blipFill>
                    <a:blip r:embed="rId29" cstate="print"/>
                    <a:srcRect t="1689"/>
                    <a:stretch>
                      <a:fillRect/>
                    </a:stretch>
                  </pic:blipFill>
                  <pic:spPr>
                    <a:xfrm>
                      <a:off x="0" y="0"/>
                      <a:ext cx="914400" cy="850265"/>
                    </a:xfrm>
                    <a:prstGeom prst="rect">
                      <a:avLst/>
                    </a:prstGeom>
                    <a:noFill/>
                    <a:ln w="9525" cap="flat" cmpd="sng">
                      <a:noFill/>
                      <a:prstDash val="solid"/>
                      <a:miter/>
                      <a:headEnd type="none" w="med" len="med"/>
                      <a:tailEnd type="none" w="med" len="med"/>
                    </a:ln>
                  </pic:spPr>
                </pic:pic>
              </a:graphicData>
            </a:graphic>
          </wp:anchor>
        </w:drawing>
      </w:r>
      <w:r>
        <w:rPr>
          <w:color w:val="auto"/>
        </w:rPr>
        <w:pict>
          <v:shape id="_x0000_s1035" o:spid="_x0000_s1035" o:spt="202" type="#_x0000_t202" style="position:absolute;left:0pt;margin-left:104.95pt;margin-top:274.95pt;height:18.75pt;width:44.35pt;z-index:251672576;mso-width-relative:page;mso-height-relative:page;" filled="f" stroked="f" coordsize="21600,21600" o:gfxdata="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iC1l/dkAAAALAQAADwAAAAAAAAABACAAAAAiAAAAZHJzL2Rv&#10;d25yZXYueG1sUEsBAhQAFAAAAAgAh07iQCY2xE05AgAAZQQAAA4AAAAAAAAAAQAgAAAAKAEAAGRy&#10;cy9lMm9Eb2MueG1sUEsFBgAAAAAGAAYAWQEAANMFAAAAAA==&#10;">
            <v:path/>
            <v:fill on="f" focussize="0,0"/>
            <v:stroke on="f" weight="0.5pt" joinstyle="miter"/>
            <v:imagedata o:title=""/>
            <o:lock v:ext="edit"/>
            <v:textbox inset="0mm,0mm,0mm,0mm">
              <w:txbxContent>
                <w:p w14:paraId="53E465CF">
                  <w:pPr>
                    <w:jc w:val="center"/>
                    <w:rPr>
                      <w:b/>
                      <w:bCs/>
                      <w:color w:val="FFFFFF" w:themeColor="background1"/>
                    </w:rPr>
                  </w:pPr>
                  <w:r>
                    <w:rPr>
                      <w:rFonts w:hint="eastAsia"/>
                      <w:b/>
                      <w:bCs/>
                      <w:color w:val="FFFFFF" w:themeColor="background1"/>
                    </w:rPr>
                    <w:t>韩家沟村</w:t>
                  </w:r>
                </w:p>
              </w:txbxContent>
            </v:textbox>
          </v:shape>
        </w:pict>
      </w:r>
      <w:r>
        <w:rPr>
          <w:color w:val="auto"/>
        </w:rPr>
        <w:pict>
          <v:shape id="_x0000_s1034" o:spid="_x0000_s1034" o:spt="202" type="#_x0000_t202" style="position:absolute;left:0pt;margin-left:197.2pt;margin-top:244.95pt;height:19.5pt;width:30.85pt;z-index:251671552;mso-width-relative:page;mso-height-relative:page;" filled="f" stroked="f" coordsize="21600,21600" o:gfxdata="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r2d2J2wAAAAsBAAAPAAAAAAAAAAEAIAAAACIAAABkcnMv&#10;ZG93bnJldi54bWxQSwECFAAUAAAACACHTuJA082HyzkCAABlBAAADgAAAAAAAAABACAAAAAqAQAA&#10;ZHJzL2Uyb0RvYy54bWxQSwUGAAAAAAYABgBZAQAA1QUAAAAA&#10;">
            <v:path/>
            <v:fill on="f" focussize="0,0"/>
            <v:stroke on="f" weight="0.5pt" joinstyle="miter"/>
            <v:imagedata o:title=""/>
            <o:lock v:ext="edit"/>
            <v:textbox inset="0mm,0mm,0mm,0mm">
              <w:txbxContent>
                <w:p w14:paraId="63C65860">
                  <w:pPr>
                    <w:jc w:val="center"/>
                    <w:rPr>
                      <w:color w:val="FFFF00"/>
                    </w:rPr>
                  </w:pPr>
                  <w:r>
                    <w:rPr>
                      <w:rFonts w:hint="eastAsia"/>
                      <w:color w:val="FFFF00"/>
                    </w:rPr>
                    <w:t>240m</w:t>
                  </w:r>
                </w:p>
              </w:txbxContent>
            </v:textbox>
          </v:shape>
        </w:pict>
      </w:r>
      <w:r>
        <w:rPr>
          <w:color w:val="auto"/>
        </w:rPr>
        <w:pict>
          <v:shape id="_x0000_s1033" o:spid="_x0000_s1033" o:spt="32" type="#_x0000_t32" style="position:absolute;left:0pt;flip:x;margin-left:142.05pt;margin-top:238.5pt;height:48.75pt;width:159pt;z-index:251670528;mso-width-relative:page;mso-height-relative:page;" filled="f" stroked="t" coordsize="21600,21600" o:gfxdata="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KD90NsAAAALAQAADwAAAAAAAAABACAAAAAiAAAAZHJzL2Rvd25yZXYu&#10;eG1sUEsBAhQAFAAAAAgAh07iQLCFCxYxAgAAJAQAAA4AAAAAAAAAAQAgAAAAKgEAAGRycy9lMm9E&#10;b2MueG1sUEsFBgAAAAAGAAYAWQEAAM0FAAAAAA==&#10;">
            <v:path arrowok="t"/>
            <v:fill on="f" focussize="0,0"/>
            <v:stroke weight="1.25pt" color="#FFFF00" joinstyle="miter" endarrow="open"/>
            <v:imagedata o:title=""/>
            <o:lock v:ext="edit"/>
          </v:shape>
        </w:pict>
      </w:r>
      <w:r>
        <w:rPr>
          <w:color w:val="auto"/>
        </w:rPr>
        <w:pict>
          <v:shape id="_x0000_s1032" o:spid="_x0000_s1032" o:spt="202" type="#_x0000_t202" style="position:absolute;left:0pt;margin-left:341.95pt;margin-top:190.95pt;height:19.5pt;width:23.35pt;z-index:251666432;mso-width-relative:page;mso-height-relative:page;" filled="f" stroked="f" coordsize="21600,21600" o:gfxdata="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b1JEddoAAAALAQAADwAAAAAAAAAB&#10;ACAAAAAiAAAAZHJzL2Rvd25yZXYueG1sUEsBAhQAFAAAAAgAh07iQGOwsYdHAgAAcwQAAA4AAAAA&#10;AAAAAQAgAAAAKQEAAGRycy9lMm9Eb2MueG1sUEsFBgAAAAAGAAYAWQEAAOIFAAAAAA==&#10;">
            <v:path/>
            <v:fill on="f" focussize="0,0"/>
            <v:stroke on="f" weight="0.5pt" joinstyle="miter"/>
            <v:imagedata o:title=""/>
            <o:lock v:ext="edit"/>
            <v:textbox inset="0mm,0mm,0mm,0mm">
              <w:txbxContent>
                <w:p w14:paraId="7394E475">
                  <w:pPr>
                    <w:jc w:val="center"/>
                    <w:rPr>
                      <w:color w:val="FF0000"/>
                    </w:rPr>
                  </w:pPr>
                  <w:r>
                    <w:rPr>
                      <w:rFonts w:hint="eastAsia"/>
                      <w:color w:val="FF0000"/>
                    </w:rPr>
                    <w:t>G1</w:t>
                  </w:r>
                </w:p>
              </w:txbxContent>
            </v:textbox>
          </v:shape>
        </w:pict>
      </w:r>
      <w:r>
        <w:rPr>
          <w:color w:val="auto"/>
        </w:rPr>
        <w:pict>
          <v:shape id="_x0000_s1031" o:spid="_x0000_s1031" o:spt="3" type="#_x0000_t3" style="position:absolute;left:0pt;margin-left:338.95pt;margin-top:196.2pt;height:6.75pt;width:5.95pt;z-index:251665408;v-text-anchor:middle;mso-width-relative:page;mso-height-relative:page;" fillcolor="#FF0000" filled="t" stroked="t" coordsize="21600,21600" o:gfxdata="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AMndZI2AAAAAsBAAAPAAAAAAAAAAEAIAAAACIAAABkcnMvZG93&#10;bnJldi54bWxQSwECFAAUAAAACACHTuJAFNCUdHICAAD7BAAADgAAAAAAAAABACAAAAAnAQAAZHJz&#10;L2Uyb0RvYy54bWxQSwUGAAAAAAYABgBZAQAACwYAAAAA&#10;">
            <v:path/>
            <v:fill on="t" focussize="0,0"/>
            <v:stroke weight="2pt" color="#FF0000"/>
            <v:imagedata o:title=""/>
            <o:lock v:ext="edit"/>
          </v:shape>
        </w:pict>
      </w:r>
      <w:r>
        <w:rPr>
          <w:color w:val="auto"/>
          <w:sz w:val="24"/>
        </w:rPr>
        <w:pict>
          <v:shape id="_x0000_s1030" o:spid="_x0000_s1030" o:spt="3" type="#_x0000_t3" style="position:absolute;left:0pt;margin-left:611.2pt;margin-top:435.7pt;height:6pt;width:6pt;z-index:251668480;v-text-anchor:middle;mso-width-relative:page;mso-height-relative:page;" fillcolor="#FF0000" filled="t" stroked="t" coordsize="21600,21600" o:gfxdata="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Tek2CNcAAAANAQAADwAAAAAAAAABACAAAAAiAAAAZHJzL2Rvd25y&#10;ZXYueG1sUEsBAhQAFAAAAAgAh07iQHftgvNxAgAA+gQAAA4AAAAAAAAAAQAgAAAAJgEAAGRycy9l&#10;Mm9Eb2MueG1sUEsFBgAAAAAGAAYAWQEAAAkGAAAAAA==&#10;">
            <v:path/>
            <v:fill on="t" focussize="0,0"/>
            <v:stroke weight="2pt" color="#FF0000"/>
            <v:imagedata o:title=""/>
            <o:lock v:ext="edit"/>
          </v:shape>
        </w:pict>
      </w:r>
      <w:r>
        <w:rPr>
          <w:color w:val="auto"/>
          <w:sz w:val="24"/>
        </w:rPr>
        <w:pict>
          <v:rect id="_x0000_s1029" o:spid="_x0000_s1029" o:spt="1" style="position:absolute;left:0pt;margin-left:605.2pt;margin-top:410.95pt;height:12pt;width:17.25pt;z-index:251667456;v-text-anchor:middle;mso-width-relative:page;mso-height-relative:page;" filled="f" stroked="t" coordsize="21600,21600" o:gfxdata="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Hur9yjaAAAADQEAAA8AAAAAAAAAAQAgAAAAIgAAAGRycy9kb3du&#10;cmV2LnhtbFBLAQIUABQAAAAIAIdO4kDgv6CSbwIAANAEAAAOAAAAAAAAAAEAIAAAACkBAABkcnMv&#10;ZTJvRG9jLnhtbFBLBQYAAAAABgAGAFkBAAAKBgAAAAA=&#10;">
            <v:path/>
            <v:fill on="f" focussize="0,0"/>
            <v:stroke weight="1.5pt" color="#FF0000" joinstyle="round"/>
            <v:imagedata o:title=""/>
            <o:lock v:ext="edit"/>
          </v:rect>
        </w:pict>
      </w:r>
      <w:r>
        <w:rPr>
          <w:color w:val="auto"/>
          <w:sz w:val="24"/>
        </w:rPr>
        <w:pict>
          <v:shape id="_x0000_s1028" o:spid="_x0000_s1028" o:spt="202" type="#_x0000_t202" style="position:absolute;left:0pt;margin-left:597.85pt;margin-top:384pt;height:66.55pt;width:98.95pt;z-index:251664384;mso-width-relative:page;mso-height-relative:page;" coordsize="21600,21600" o:gfxdata="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a7A0K2AAAAA0BAAAPAAAAAAAAAAEAIAAAACIAAABkcnMvZG93bnJldi54bWxQSwECFAAU&#10;AAAACACHTuJAuv2h22MCAADJBAAADgAAAAAAAAABACAAAAAnAQAAZHJzL2Uyb0RvYy54bWxQSwUG&#10;AAAAAAYABgBZAQAA/AUAAAAA&#10;">
            <v:path/>
            <v:fill focussize="0,0"/>
            <v:stroke weight="0.5pt" joinstyle="round"/>
            <v:imagedata o:title=""/>
            <o:lock v:ext="edit"/>
            <v:textbox>
              <w:txbxContent>
                <w:p w14:paraId="538B851D">
                  <w:pPr>
                    <w:jc w:val="center"/>
                  </w:pPr>
                  <w:r>
                    <w:rPr>
                      <w:rFonts w:hint="eastAsia"/>
                    </w:rPr>
                    <w:t>图例</w:t>
                  </w:r>
                </w:p>
                <w:p w14:paraId="5A60E879">
                  <w:pPr>
                    <w:pStyle w:val="28"/>
                    <w:spacing w:after="0" w:line="400" w:lineRule="exact"/>
                    <w:ind w:left="0" w:leftChars="0" w:firstLine="630" w:firstLineChars="300"/>
                  </w:pPr>
                  <w:r>
                    <w:t>项目厂区</w:t>
                  </w:r>
                </w:p>
                <w:p w14:paraId="673D34FD">
                  <w:pPr>
                    <w:spacing w:line="400" w:lineRule="exact"/>
                    <w:ind w:firstLine="630" w:firstLineChars="300"/>
                  </w:pPr>
                  <w:r>
                    <w:rPr>
                      <w:rFonts w:hint="eastAsia"/>
                    </w:rPr>
                    <w:t>大气监测点</w:t>
                  </w:r>
                </w:p>
              </w:txbxContent>
            </v:textbox>
          </v:shape>
        </w:pict>
      </w:r>
      <w:r>
        <w:rPr>
          <w:color w:val="auto"/>
        </w:rPr>
        <w:pict>
          <v:shape id="_x0000_s1027" o:spid="_x0000_s1027" o:spt="100" style="position:absolute;left:0pt;margin-left:115.8pt;margin-top:273pt;height:22.5pt;width:26.25pt;z-index:251669504;mso-width-relative:page;mso-height-relative:page;" fillcolor="#00FF00" filled="t" stroked="t" coordsize="333375,285750" o:gfxdata="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" path="m257175,276225l333375,180975,276225,0,76200,0,0,66675,0,209550,104775,285750,257175,276225xe">
            <v:path o:connecttype="segments" o:connectlocs="257175,276225;333375,180975;276225,0;76200,0;0,66675;0,209550;104775,285750;257175,276225" o:connectangles="0,0,0,0,0,0,0,0"/>
            <v:fill on="t" opacity="26214f" focussize="0,0"/>
            <v:stroke weight="1pt" color="#6FFF6F" joinstyle="miter"/>
            <v:imagedata o:title=""/>
            <o:lock v:ext="edit"/>
          </v:shape>
        </w:pict>
      </w:r>
      <w:r>
        <w:rPr>
          <w:rFonts w:hint="eastAsia"/>
          <w:b/>
          <w:bCs/>
          <w:color w:val="auto"/>
          <w:sz w:val="24"/>
        </w:rPr>
        <w:drawing>
          <wp:inline distT="0" distB="0" distL="114300" distR="114300">
            <wp:extent cx="8860790" cy="5735320"/>
            <wp:effectExtent l="0" t="0" r="16510" b="17780"/>
            <wp:docPr id="18" name="图片 18" descr="微信截图_2025031410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截图_20250314101423"/>
                    <pic:cNvPicPr>
                      <a:picLocks noChangeAspect="1"/>
                    </pic:cNvPicPr>
                  </pic:nvPicPr>
                  <pic:blipFill>
                    <a:blip r:embed="rId30" cstate="print"/>
                    <a:stretch>
                      <a:fillRect/>
                    </a:stretch>
                  </pic:blipFill>
                  <pic:spPr>
                    <a:xfrm>
                      <a:off x="0" y="0"/>
                      <a:ext cx="8860790" cy="5735320"/>
                    </a:xfrm>
                    <a:prstGeom prst="rect">
                      <a:avLst/>
                    </a:prstGeom>
                    <a:solidFill>
                      <a:srgbClr val="6FFF6F"/>
                    </a:solidFill>
                    <a:ln>
                      <a:noFill/>
                    </a:ln>
                  </pic:spPr>
                </pic:pic>
              </a:graphicData>
            </a:graphic>
          </wp:inline>
        </w:drawing>
      </w:r>
    </w:p>
    <w:p w14:paraId="5508B122">
      <w:pPr>
        <w:adjustRightInd w:val="0"/>
        <w:snapToGrid w:val="0"/>
        <w:jc w:val="center"/>
        <w:rPr>
          <w:b/>
          <w:bCs/>
          <w:color w:val="auto"/>
          <w:sz w:val="24"/>
        </w:rPr>
        <w:sectPr>
          <w:pgSz w:w="16838" w:h="11906" w:orient="landscape"/>
          <w:pgMar w:top="1247" w:right="1440" w:bottom="1247" w:left="1440" w:header="851" w:footer="822" w:gutter="0"/>
          <w:pgNumType w:fmt="numberInDash"/>
          <w:cols w:space="0" w:num="1"/>
          <w:docGrid w:type="lines" w:linePitch="312" w:charSpace="0"/>
        </w:sectPr>
      </w:pPr>
      <w:r>
        <w:rPr>
          <w:b/>
          <w:bCs/>
          <w:color w:val="auto"/>
          <w:sz w:val="24"/>
        </w:rPr>
        <w:t>附图</w:t>
      </w:r>
      <w:r>
        <w:rPr>
          <w:rFonts w:hint="eastAsia"/>
          <w:b/>
          <w:bCs/>
          <w:color w:val="auto"/>
          <w:sz w:val="24"/>
        </w:rPr>
        <w:t>8</w:t>
      </w:r>
      <w:r>
        <w:rPr>
          <w:b/>
          <w:bCs/>
          <w:color w:val="auto"/>
          <w:sz w:val="24"/>
        </w:rPr>
        <w:t xml:space="preserve">      </w:t>
      </w:r>
      <w:r>
        <w:rPr>
          <w:rFonts w:hint="eastAsia"/>
          <w:b/>
          <w:bCs/>
          <w:color w:val="auto"/>
          <w:sz w:val="24"/>
        </w:rPr>
        <w:t>环境质量现状监测点位及敏感点分布图</w:t>
      </w:r>
    </w:p>
    <w:p w14:paraId="69DE8449">
      <w:pPr>
        <w:adjustRightInd w:val="0"/>
        <w:snapToGrid w:val="0"/>
        <w:jc w:val="center"/>
        <w:rPr>
          <w:b/>
          <w:bCs/>
          <w:color w:val="auto"/>
          <w:sz w:val="24"/>
        </w:rPr>
      </w:pPr>
      <w:r>
        <w:rPr>
          <w:b/>
          <w:bCs/>
          <w:color w:val="auto"/>
          <w:sz w:val="24"/>
        </w:rPr>
        <w:drawing>
          <wp:inline distT="0" distB="0" distL="114300" distR="114300">
            <wp:extent cx="8498840" cy="5710555"/>
            <wp:effectExtent l="0" t="0" r="16510" b="4445"/>
            <wp:docPr id="9" name="图片 9" descr="生态保护措施图 Model (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生态保护措施图 Model (1)_00"/>
                    <pic:cNvPicPr>
                      <a:picLocks noChangeAspect="1"/>
                    </pic:cNvPicPr>
                  </pic:nvPicPr>
                  <pic:blipFill>
                    <a:blip r:embed="rId31" cstate="print"/>
                    <a:srcRect l="1227" t="7023" r="1269" b="8978"/>
                    <a:stretch>
                      <a:fillRect/>
                    </a:stretch>
                  </pic:blipFill>
                  <pic:spPr>
                    <a:xfrm>
                      <a:off x="0" y="0"/>
                      <a:ext cx="8498840" cy="5710555"/>
                    </a:xfrm>
                    <a:prstGeom prst="rect">
                      <a:avLst/>
                    </a:prstGeom>
                  </pic:spPr>
                </pic:pic>
              </a:graphicData>
            </a:graphic>
          </wp:inline>
        </w:drawing>
      </w:r>
    </w:p>
    <w:p w14:paraId="2E6B7FB8">
      <w:pPr>
        <w:spacing w:line="400" w:lineRule="exact"/>
        <w:jc w:val="center"/>
        <w:rPr>
          <w:b/>
          <w:bCs/>
          <w:color w:val="auto"/>
          <w:sz w:val="24"/>
        </w:rPr>
        <w:sectPr>
          <w:footerReference r:id="rId9" w:type="default"/>
          <w:pgSz w:w="16838" w:h="11906" w:orient="landscape"/>
          <w:pgMar w:top="1247" w:right="1440" w:bottom="1247" w:left="1440" w:header="851" w:footer="992" w:gutter="0"/>
          <w:pgNumType w:fmt="numberInDash"/>
          <w:cols w:space="425" w:num="1"/>
          <w:docGrid w:type="lines" w:linePitch="312" w:charSpace="0"/>
        </w:sectPr>
      </w:pPr>
      <w:r>
        <w:rPr>
          <w:b/>
          <w:bCs/>
          <w:color w:val="auto"/>
          <w:sz w:val="24"/>
        </w:rPr>
        <w:t>附图</w:t>
      </w:r>
      <w:r>
        <w:rPr>
          <w:rFonts w:hint="eastAsia"/>
          <w:b/>
          <w:bCs/>
          <w:color w:val="auto"/>
          <w:sz w:val="24"/>
        </w:rPr>
        <w:t>9</w:t>
      </w:r>
      <w:r>
        <w:rPr>
          <w:b/>
          <w:bCs/>
          <w:color w:val="auto"/>
          <w:sz w:val="24"/>
        </w:rPr>
        <w:t xml:space="preserve">     </w:t>
      </w:r>
      <w:r>
        <w:rPr>
          <w:b/>
          <w:bCs/>
          <w:color w:val="auto"/>
          <w:kern w:val="0"/>
          <w:sz w:val="24"/>
        </w:rPr>
        <w:t>生态保护措施平面布置图</w:t>
      </w:r>
    </w:p>
    <w:p w14:paraId="3B7E5F25">
      <w:pPr>
        <w:snapToGrid w:val="0"/>
        <w:jc w:val="left"/>
        <w:outlineLvl w:val="0"/>
        <w:rPr>
          <w:color w:val="auto"/>
          <w:sz w:val="24"/>
        </w:rPr>
      </w:pPr>
      <w:r>
        <w:rPr>
          <w:color w:val="auto"/>
          <w:sz w:val="24"/>
        </w:rPr>
        <w:t>附件1</w:t>
      </w:r>
      <w:r>
        <w:rPr>
          <w:rFonts w:hint="eastAsia"/>
          <w:color w:val="auto"/>
          <w:sz w:val="24"/>
        </w:rPr>
        <w:t xml:space="preserve"> </w:t>
      </w:r>
      <w:r>
        <w:rPr>
          <w:color w:val="auto"/>
          <w:sz w:val="24"/>
        </w:rPr>
        <w:t>委托书</w:t>
      </w:r>
    </w:p>
    <w:p w14:paraId="4AD2BD0E">
      <w:pPr>
        <w:snapToGrid w:val="0"/>
        <w:spacing w:line="355" w:lineRule="auto"/>
        <w:jc w:val="left"/>
        <w:outlineLvl w:val="0"/>
        <w:rPr>
          <w:color w:val="auto"/>
          <w:sz w:val="24"/>
        </w:rPr>
      </w:pPr>
    </w:p>
    <w:p w14:paraId="5C46FB97">
      <w:pPr>
        <w:spacing w:line="360" w:lineRule="auto"/>
        <w:jc w:val="center"/>
        <w:rPr>
          <w:color w:val="auto"/>
          <w:sz w:val="44"/>
          <w:szCs w:val="44"/>
        </w:rPr>
      </w:pPr>
    </w:p>
    <w:p w14:paraId="1D192BF6">
      <w:pPr>
        <w:spacing w:line="360" w:lineRule="auto"/>
        <w:jc w:val="center"/>
        <w:rPr>
          <w:color w:val="auto"/>
          <w:sz w:val="44"/>
          <w:szCs w:val="44"/>
        </w:rPr>
      </w:pPr>
    </w:p>
    <w:p w14:paraId="230CBF9C">
      <w:pPr>
        <w:spacing w:line="360" w:lineRule="auto"/>
        <w:jc w:val="center"/>
        <w:rPr>
          <w:color w:val="auto"/>
          <w:sz w:val="44"/>
          <w:szCs w:val="44"/>
        </w:rPr>
      </w:pPr>
      <w:r>
        <w:rPr>
          <w:color w:val="auto"/>
          <w:sz w:val="44"/>
          <w:szCs w:val="44"/>
        </w:rPr>
        <w:t>委托书</w:t>
      </w:r>
    </w:p>
    <w:p w14:paraId="031368BD">
      <w:pPr>
        <w:spacing w:line="360" w:lineRule="auto"/>
        <w:rPr>
          <w:color w:val="auto"/>
          <w:sz w:val="24"/>
        </w:rPr>
      </w:pPr>
    </w:p>
    <w:p w14:paraId="0CAA3AA2">
      <w:pPr>
        <w:spacing w:line="360" w:lineRule="auto"/>
        <w:rPr>
          <w:color w:val="auto"/>
          <w:sz w:val="28"/>
          <w:szCs w:val="28"/>
        </w:rPr>
      </w:pPr>
      <w:r>
        <w:rPr>
          <w:color w:val="auto"/>
          <w:sz w:val="28"/>
          <w:szCs w:val="28"/>
        </w:rPr>
        <w:t>内蒙古钜捷环保科技有限公司：</w:t>
      </w:r>
    </w:p>
    <w:p w14:paraId="2E547F17">
      <w:pPr>
        <w:spacing w:line="360" w:lineRule="auto"/>
        <w:ind w:firstLine="560" w:firstLineChars="200"/>
        <w:rPr>
          <w:color w:val="auto"/>
          <w:sz w:val="28"/>
          <w:szCs w:val="28"/>
        </w:rPr>
      </w:pPr>
      <w:r>
        <w:rPr>
          <w:color w:val="auto"/>
          <w:sz w:val="28"/>
          <w:szCs w:val="28"/>
        </w:rPr>
        <w:t>根据《中华人民共和国环境保护法》、《中华人民共和国环境影响评价法》和国务院《建设项目环境保护管理条例》等有关规定，特委托贵公司承担我单位</w:t>
      </w:r>
      <w:r>
        <w:rPr>
          <w:rFonts w:hint="eastAsia"/>
          <w:color w:val="auto"/>
          <w:sz w:val="28"/>
          <w:szCs w:val="28"/>
          <w:u w:val="single"/>
        </w:rPr>
        <w:t xml:space="preserve"> </w:t>
      </w:r>
      <w:r>
        <w:rPr>
          <w:color w:val="auto"/>
          <w:sz w:val="28"/>
          <w:szCs w:val="28"/>
          <w:u w:val="single"/>
        </w:rPr>
        <w:t>李家壕煤矿二号回风立井项目</w:t>
      </w:r>
      <w:r>
        <w:rPr>
          <w:rFonts w:hint="eastAsia"/>
          <w:color w:val="auto"/>
          <w:sz w:val="28"/>
          <w:szCs w:val="28"/>
          <w:u w:val="single"/>
        </w:rPr>
        <w:t xml:space="preserve"> </w:t>
      </w:r>
      <w:r>
        <w:rPr>
          <w:color w:val="auto"/>
          <w:sz w:val="28"/>
          <w:szCs w:val="28"/>
        </w:rPr>
        <w:t>的环境影响评价工作，请贵单位按照建设项目环境影响评价有关技术规范的要求尽快开展工作。</w:t>
      </w:r>
    </w:p>
    <w:p w14:paraId="67FAF05B">
      <w:pPr>
        <w:adjustRightInd w:val="0"/>
        <w:snapToGrid w:val="0"/>
        <w:spacing w:line="560" w:lineRule="exact"/>
        <w:ind w:firstLine="618" w:firstLineChars="221"/>
        <w:rPr>
          <w:color w:val="auto"/>
          <w:sz w:val="28"/>
          <w:szCs w:val="28"/>
        </w:rPr>
      </w:pPr>
    </w:p>
    <w:p w14:paraId="59E22F7A">
      <w:pPr>
        <w:adjustRightInd w:val="0"/>
        <w:snapToGrid w:val="0"/>
        <w:spacing w:line="560" w:lineRule="exact"/>
        <w:ind w:firstLine="618" w:firstLineChars="221"/>
        <w:rPr>
          <w:color w:val="auto"/>
          <w:sz w:val="28"/>
          <w:szCs w:val="28"/>
        </w:rPr>
      </w:pPr>
      <w:r>
        <w:rPr>
          <w:color w:val="auto"/>
          <w:sz w:val="28"/>
          <w:szCs w:val="28"/>
        </w:rPr>
        <w:t>特此委托</w:t>
      </w:r>
      <w:r>
        <w:rPr>
          <w:rFonts w:hint="eastAsia"/>
          <w:color w:val="auto"/>
          <w:sz w:val="28"/>
          <w:szCs w:val="28"/>
        </w:rPr>
        <w:t>。</w:t>
      </w:r>
    </w:p>
    <w:p w14:paraId="2F36C388">
      <w:pPr>
        <w:spacing w:line="360" w:lineRule="auto"/>
        <w:ind w:firstLine="560" w:firstLineChars="200"/>
        <w:rPr>
          <w:color w:val="auto"/>
          <w:sz w:val="28"/>
          <w:szCs w:val="28"/>
        </w:rPr>
      </w:pPr>
    </w:p>
    <w:p w14:paraId="294B3EBD">
      <w:pPr>
        <w:spacing w:line="360" w:lineRule="auto"/>
        <w:ind w:firstLine="560" w:firstLineChars="200"/>
        <w:jc w:val="right"/>
        <w:rPr>
          <w:color w:val="auto"/>
          <w:sz w:val="28"/>
          <w:szCs w:val="28"/>
        </w:rPr>
      </w:pPr>
    </w:p>
    <w:p w14:paraId="1095D176">
      <w:pPr>
        <w:spacing w:line="360" w:lineRule="auto"/>
        <w:ind w:firstLine="560" w:firstLineChars="200"/>
        <w:jc w:val="right"/>
        <w:rPr>
          <w:color w:val="auto"/>
          <w:sz w:val="28"/>
          <w:szCs w:val="28"/>
        </w:rPr>
      </w:pPr>
    </w:p>
    <w:p w14:paraId="50B9BEC8">
      <w:pPr>
        <w:pStyle w:val="28"/>
        <w:spacing w:after="0" w:line="360" w:lineRule="auto"/>
        <w:rPr>
          <w:color w:val="auto"/>
          <w:sz w:val="28"/>
          <w:szCs w:val="28"/>
        </w:rPr>
      </w:pPr>
    </w:p>
    <w:p w14:paraId="40C6E473">
      <w:pPr>
        <w:spacing w:line="360" w:lineRule="auto"/>
        <w:ind w:firstLine="560" w:firstLineChars="200"/>
        <w:jc w:val="right"/>
        <w:rPr>
          <w:color w:val="auto"/>
          <w:sz w:val="28"/>
          <w:szCs w:val="28"/>
        </w:rPr>
      </w:pPr>
      <w:r>
        <w:rPr>
          <w:color w:val="auto"/>
          <w:sz w:val="28"/>
          <w:szCs w:val="28"/>
        </w:rPr>
        <w:t>委托单位</w:t>
      </w:r>
      <w:r>
        <w:rPr>
          <w:rFonts w:hint="eastAsia"/>
          <w:color w:val="auto"/>
          <w:sz w:val="28"/>
          <w:szCs w:val="28"/>
        </w:rPr>
        <w:t>（</w:t>
      </w:r>
      <w:r>
        <w:rPr>
          <w:color w:val="auto"/>
          <w:sz w:val="28"/>
          <w:szCs w:val="28"/>
        </w:rPr>
        <w:t>盖章）：国能包头能源有限责任公司李家壕煤矿</w:t>
      </w:r>
    </w:p>
    <w:p w14:paraId="3176A90D">
      <w:pPr>
        <w:spacing w:line="360" w:lineRule="auto"/>
        <w:jc w:val="right"/>
        <w:rPr>
          <w:color w:val="auto"/>
          <w:sz w:val="28"/>
          <w:szCs w:val="28"/>
        </w:rPr>
        <w:sectPr>
          <w:pgSz w:w="11906" w:h="16838"/>
          <w:pgMar w:top="1417" w:right="1417" w:bottom="1417" w:left="1417" w:header="851" w:footer="992" w:gutter="0"/>
          <w:pgNumType w:fmt="numberInDash"/>
          <w:cols w:space="425" w:num="1"/>
          <w:docGrid w:type="lines" w:linePitch="312" w:charSpace="0"/>
        </w:sectPr>
      </w:pPr>
      <w:r>
        <w:rPr>
          <w:color w:val="auto"/>
          <w:sz w:val="28"/>
          <w:szCs w:val="28"/>
        </w:rPr>
        <w:t>202</w:t>
      </w:r>
      <w:r>
        <w:rPr>
          <w:rFonts w:hint="eastAsia"/>
          <w:color w:val="auto"/>
          <w:sz w:val="28"/>
          <w:szCs w:val="28"/>
        </w:rPr>
        <w:t>5</w:t>
      </w:r>
      <w:r>
        <w:rPr>
          <w:color w:val="auto"/>
          <w:sz w:val="28"/>
          <w:szCs w:val="28"/>
        </w:rPr>
        <w:t>年</w:t>
      </w:r>
      <w:r>
        <w:rPr>
          <w:rFonts w:hint="eastAsia"/>
          <w:color w:val="auto"/>
          <w:sz w:val="28"/>
          <w:szCs w:val="28"/>
        </w:rPr>
        <w:t>2</w:t>
      </w:r>
      <w:r>
        <w:rPr>
          <w:color w:val="auto"/>
          <w:sz w:val="28"/>
          <w:szCs w:val="28"/>
        </w:rPr>
        <w:t>月</w:t>
      </w:r>
      <w:r>
        <w:rPr>
          <w:rFonts w:hint="eastAsia"/>
          <w:color w:val="auto"/>
          <w:sz w:val="28"/>
          <w:szCs w:val="28"/>
        </w:rPr>
        <w:t>25</w:t>
      </w:r>
      <w:r>
        <w:rPr>
          <w:color w:val="auto"/>
          <w:sz w:val="28"/>
          <w:szCs w:val="28"/>
        </w:rPr>
        <w:t>日</w:t>
      </w:r>
    </w:p>
    <w:p w14:paraId="19227514">
      <w:pPr>
        <w:pStyle w:val="2"/>
        <w:ind w:firstLine="0"/>
        <w:rPr>
          <w:rFonts w:ascii="Times New Roman" w:cs="Times New Roman"/>
          <w:color w:val="auto"/>
        </w:rPr>
      </w:pPr>
      <w:r>
        <w:rPr>
          <w:rFonts w:hint="eastAsia" w:ascii="Times New Roman" w:cs="Times New Roman"/>
          <w:color w:val="auto"/>
        </w:rPr>
        <w:t>附件</w:t>
      </w:r>
      <w:r>
        <w:rPr>
          <w:rFonts w:hint="eastAsia" w:ascii="Times New Roman" w:cs="Times New Roman"/>
          <w:color w:val="auto"/>
          <w:lang w:val="en-US" w:eastAsia="zh-CN"/>
        </w:rPr>
        <w:t>2</w:t>
      </w:r>
      <w:r>
        <w:rPr>
          <w:rFonts w:hint="eastAsia" w:ascii="Times New Roman" w:cs="Times New Roman"/>
          <w:color w:val="auto"/>
        </w:rPr>
        <w:t xml:space="preserve"> 万利矿区规划批复</w:t>
      </w:r>
    </w:p>
    <w:p w14:paraId="5E31B0E2">
      <w:pPr>
        <w:pStyle w:val="4"/>
        <w:rPr>
          <w:color w:val="auto"/>
        </w:rPr>
      </w:pPr>
      <w:r>
        <w:rPr>
          <w:color w:val="auto"/>
        </w:rPr>
        <w:drawing>
          <wp:inline distT="0" distB="0" distL="114300" distR="114300">
            <wp:extent cx="6472555" cy="9178290"/>
            <wp:effectExtent l="0" t="0" r="4445" b="3810"/>
            <wp:docPr id="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
                    <pic:cNvPicPr>
                      <a:picLocks noChangeAspect="1"/>
                    </pic:cNvPicPr>
                  </pic:nvPicPr>
                  <pic:blipFill>
                    <a:blip r:embed="rId32" cstate="print"/>
                    <a:stretch>
                      <a:fillRect/>
                    </a:stretch>
                  </pic:blipFill>
                  <pic:spPr>
                    <a:xfrm>
                      <a:off x="0" y="0"/>
                      <a:ext cx="6472555" cy="9178290"/>
                    </a:xfrm>
                    <a:prstGeom prst="rect">
                      <a:avLst/>
                    </a:prstGeom>
                    <a:noFill/>
                    <a:ln>
                      <a:noFill/>
                    </a:ln>
                  </pic:spPr>
                </pic:pic>
              </a:graphicData>
            </a:graphic>
          </wp:inline>
        </w:drawing>
      </w:r>
    </w:p>
    <w:p w14:paraId="41A07B69">
      <w:pPr>
        <w:jc w:val="center"/>
        <w:rPr>
          <w:color w:val="auto"/>
        </w:rPr>
      </w:pPr>
      <w:r>
        <w:rPr>
          <w:color w:val="auto"/>
        </w:rPr>
        <w:drawing>
          <wp:inline distT="0" distB="0" distL="114300" distR="114300">
            <wp:extent cx="6472555" cy="9178290"/>
            <wp:effectExtent l="0" t="0" r="4445" b="3810"/>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33" cstate="print"/>
                    <a:stretch>
                      <a:fillRect/>
                    </a:stretch>
                  </pic:blipFill>
                  <pic:spPr>
                    <a:xfrm>
                      <a:off x="0" y="0"/>
                      <a:ext cx="6472555" cy="9178290"/>
                    </a:xfrm>
                    <a:prstGeom prst="rect">
                      <a:avLst/>
                    </a:prstGeom>
                    <a:noFill/>
                    <a:ln>
                      <a:noFill/>
                    </a:ln>
                  </pic:spPr>
                </pic:pic>
              </a:graphicData>
            </a:graphic>
          </wp:inline>
        </w:drawing>
      </w:r>
    </w:p>
    <w:p w14:paraId="56EEE992">
      <w:pPr>
        <w:jc w:val="center"/>
        <w:rPr>
          <w:color w:val="auto"/>
        </w:rPr>
      </w:pPr>
    </w:p>
    <w:p w14:paraId="74FC1AED">
      <w:pPr>
        <w:jc w:val="center"/>
        <w:rPr>
          <w:color w:val="auto"/>
        </w:rPr>
      </w:pPr>
      <w:r>
        <w:rPr>
          <w:color w:val="auto"/>
        </w:rPr>
        <w:drawing>
          <wp:inline distT="0" distB="0" distL="114300" distR="114300">
            <wp:extent cx="6472555" cy="9178290"/>
            <wp:effectExtent l="0" t="0" r="4445" b="3810"/>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34" cstate="print"/>
                    <a:stretch>
                      <a:fillRect/>
                    </a:stretch>
                  </pic:blipFill>
                  <pic:spPr>
                    <a:xfrm>
                      <a:off x="0" y="0"/>
                      <a:ext cx="6472555" cy="9178290"/>
                    </a:xfrm>
                    <a:prstGeom prst="rect">
                      <a:avLst/>
                    </a:prstGeom>
                    <a:noFill/>
                    <a:ln>
                      <a:noFill/>
                    </a:ln>
                  </pic:spPr>
                </pic:pic>
              </a:graphicData>
            </a:graphic>
          </wp:inline>
        </w:drawing>
      </w:r>
    </w:p>
    <w:p w14:paraId="12552C59">
      <w:pPr>
        <w:jc w:val="center"/>
        <w:rPr>
          <w:color w:val="auto"/>
        </w:rPr>
      </w:pPr>
    </w:p>
    <w:p w14:paraId="01DF8EF9">
      <w:pPr>
        <w:jc w:val="center"/>
        <w:rPr>
          <w:color w:val="auto"/>
        </w:rPr>
      </w:pPr>
      <w:r>
        <w:rPr>
          <w:color w:val="auto"/>
        </w:rPr>
        <w:drawing>
          <wp:inline distT="0" distB="0" distL="114300" distR="114300">
            <wp:extent cx="6472555" cy="9178290"/>
            <wp:effectExtent l="0" t="0" r="4445" b="3810"/>
            <wp:docPr id="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
                    <pic:cNvPicPr>
                      <a:picLocks noChangeAspect="1"/>
                    </pic:cNvPicPr>
                  </pic:nvPicPr>
                  <pic:blipFill>
                    <a:blip r:embed="rId35" cstate="print"/>
                    <a:stretch>
                      <a:fillRect/>
                    </a:stretch>
                  </pic:blipFill>
                  <pic:spPr>
                    <a:xfrm>
                      <a:off x="0" y="0"/>
                      <a:ext cx="6472555" cy="9178290"/>
                    </a:xfrm>
                    <a:prstGeom prst="rect">
                      <a:avLst/>
                    </a:prstGeom>
                    <a:noFill/>
                    <a:ln>
                      <a:noFill/>
                    </a:ln>
                  </pic:spPr>
                </pic:pic>
              </a:graphicData>
            </a:graphic>
          </wp:inline>
        </w:drawing>
      </w:r>
    </w:p>
    <w:p w14:paraId="480B461D">
      <w:pPr>
        <w:jc w:val="center"/>
        <w:rPr>
          <w:color w:val="auto"/>
        </w:rPr>
      </w:pPr>
    </w:p>
    <w:p w14:paraId="2D43627E">
      <w:pPr>
        <w:jc w:val="center"/>
        <w:rPr>
          <w:color w:val="auto"/>
        </w:rPr>
      </w:pPr>
      <w:r>
        <w:rPr>
          <w:color w:val="auto"/>
        </w:rPr>
        <w:drawing>
          <wp:inline distT="0" distB="0" distL="114300" distR="114300">
            <wp:extent cx="6472555" cy="9178290"/>
            <wp:effectExtent l="0" t="0" r="4445" b="3810"/>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36" cstate="print"/>
                    <a:stretch>
                      <a:fillRect/>
                    </a:stretch>
                  </pic:blipFill>
                  <pic:spPr>
                    <a:xfrm>
                      <a:off x="0" y="0"/>
                      <a:ext cx="6472555" cy="9178290"/>
                    </a:xfrm>
                    <a:prstGeom prst="rect">
                      <a:avLst/>
                    </a:prstGeom>
                    <a:noFill/>
                    <a:ln>
                      <a:noFill/>
                    </a:ln>
                  </pic:spPr>
                </pic:pic>
              </a:graphicData>
            </a:graphic>
          </wp:inline>
        </w:drawing>
      </w:r>
    </w:p>
    <w:p w14:paraId="0C272BCD">
      <w:pPr>
        <w:jc w:val="center"/>
        <w:rPr>
          <w:color w:val="auto"/>
        </w:rPr>
      </w:pPr>
    </w:p>
    <w:p w14:paraId="7879E2E7">
      <w:pPr>
        <w:jc w:val="center"/>
        <w:rPr>
          <w:color w:val="auto"/>
        </w:rPr>
      </w:pPr>
      <w:r>
        <w:rPr>
          <w:color w:val="auto"/>
        </w:rPr>
        <w:drawing>
          <wp:inline distT="0" distB="0" distL="114300" distR="114300">
            <wp:extent cx="6472555" cy="9178290"/>
            <wp:effectExtent l="0" t="0" r="4445" b="3810"/>
            <wp:docPr id="8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
                    <pic:cNvPicPr>
                      <a:picLocks noChangeAspect="1"/>
                    </pic:cNvPicPr>
                  </pic:nvPicPr>
                  <pic:blipFill>
                    <a:blip r:embed="rId37" cstate="print"/>
                    <a:stretch>
                      <a:fillRect/>
                    </a:stretch>
                  </pic:blipFill>
                  <pic:spPr>
                    <a:xfrm>
                      <a:off x="0" y="0"/>
                      <a:ext cx="6472555" cy="9178290"/>
                    </a:xfrm>
                    <a:prstGeom prst="rect">
                      <a:avLst/>
                    </a:prstGeom>
                    <a:noFill/>
                    <a:ln>
                      <a:noFill/>
                    </a:ln>
                  </pic:spPr>
                </pic:pic>
              </a:graphicData>
            </a:graphic>
          </wp:inline>
        </w:drawing>
      </w:r>
    </w:p>
    <w:p w14:paraId="227234A4">
      <w:pPr>
        <w:jc w:val="center"/>
        <w:rPr>
          <w:color w:val="auto"/>
        </w:rPr>
      </w:pPr>
      <w:r>
        <w:rPr>
          <w:color w:val="auto"/>
        </w:rPr>
        <w:drawing>
          <wp:inline distT="0" distB="0" distL="114300" distR="114300">
            <wp:extent cx="6472555" cy="9178290"/>
            <wp:effectExtent l="0" t="0" r="4445" b="3810"/>
            <wp:docPr id="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
                    <pic:cNvPicPr>
                      <a:picLocks noChangeAspect="1"/>
                    </pic:cNvPicPr>
                  </pic:nvPicPr>
                  <pic:blipFill>
                    <a:blip r:embed="rId38" cstate="print"/>
                    <a:stretch>
                      <a:fillRect/>
                    </a:stretch>
                  </pic:blipFill>
                  <pic:spPr>
                    <a:xfrm>
                      <a:off x="0" y="0"/>
                      <a:ext cx="6472555" cy="9178290"/>
                    </a:xfrm>
                    <a:prstGeom prst="rect">
                      <a:avLst/>
                    </a:prstGeom>
                    <a:noFill/>
                    <a:ln>
                      <a:noFill/>
                    </a:ln>
                  </pic:spPr>
                </pic:pic>
              </a:graphicData>
            </a:graphic>
          </wp:inline>
        </w:drawing>
      </w:r>
    </w:p>
    <w:p w14:paraId="1189B24F">
      <w:pPr>
        <w:jc w:val="left"/>
        <w:rPr>
          <w:color w:val="auto"/>
          <w:sz w:val="24"/>
        </w:rPr>
      </w:pPr>
      <w:r>
        <w:rPr>
          <w:rFonts w:hint="eastAsia"/>
          <w:color w:val="auto"/>
          <w:sz w:val="24"/>
        </w:rPr>
        <w:t>附件</w:t>
      </w:r>
      <w:r>
        <w:rPr>
          <w:rFonts w:hint="eastAsia"/>
          <w:color w:val="auto"/>
          <w:sz w:val="24"/>
          <w:lang w:val="en-US" w:eastAsia="zh-CN"/>
        </w:rPr>
        <w:t xml:space="preserve">3 </w:t>
      </w:r>
      <w:r>
        <w:rPr>
          <w:rFonts w:hint="eastAsia"/>
          <w:color w:val="auto"/>
          <w:sz w:val="24"/>
        </w:rPr>
        <w:t>万利矿区规划环评审查意见</w:t>
      </w:r>
    </w:p>
    <w:p w14:paraId="6947E5E1">
      <w:pPr>
        <w:jc w:val="center"/>
        <w:rPr>
          <w:color w:val="auto"/>
          <w:sz w:val="24"/>
        </w:rPr>
      </w:pPr>
      <w:r>
        <w:rPr>
          <w:color w:val="auto"/>
          <w:sz w:val="24"/>
        </w:rPr>
        <w:drawing>
          <wp:inline distT="0" distB="0" distL="114300" distR="114300">
            <wp:extent cx="6477000" cy="9161145"/>
            <wp:effectExtent l="0" t="0" r="0" b="1905"/>
            <wp:docPr id="94" name="图片 94" descr="关于《内蒙古自治区鄂尔多斯市东胜煤田万利煤炭矿区总体规划 (修编)环境影响报告书》的审查意见（环审〔2023〕78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关于《内蒙古自治区鄂尔多斯市东胜煤田万利煤炭矿区总体规划 (修编)环境影响报告书》的审查意见（环审〔2023〕78号）_00"/>
                    <pic:cNvPicPr>
                      <a:picLocks noChangeAspect="1"/>
                    </pic:cNvPicPr>
                  </pic:nvPicPr>
                  <pic:blipFill>
                    <a:blip r:embed="rId39"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93" name="图片 93" descr="关于《内蒙古自治区鄂尔多斯市东胜煤田万利煤炭矿区总体规划 (修编)环境影响报告书》的审查意见（环审〔2023〕78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关于《内蒙古自治区鄂尔多斯市东胜煤田万利煤炭矿区总体规划 (修编)环境影响报告书》的审查意见（环审〔2023〕78号）_01"/>
                    <pic:cNvPicPr>
                      <a:picLocks noChangeAspect="1"/>
                    </pic:cNvPicPr>
                  </pic:nvPicPr>
                  <pic:blipFill>
                    <a:blip r:embed="rId40"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92" name="图片 92" descr="关于《内蒙古自治区鄂尔多斯市东胜煤田万利煤炭矿区总体规划 (修编)环境影响报告书》的审查意见（环审〔2023〕78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关于《内蒙古自治区鄂尔多斯市东胜煤田万利煤炭矿区总体规划 (修编)环境影响报告书》的审查意见（环审〔2023〕78号）_02"/>
                    <pic:cNvPicPr>
                      <a:picLocks noChangeAspect="1"/>
                    </pic:cNvPicPr>
                  </pic:nvPicPr>
                  <pic:blipFill>
                    <a:blip r:embed="rId41"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91" name="图片 91" descr="关于《内蒙古自治区鄂尔多斯市东胜煤田万利煤炭矿区总体规划 (修编)环境影响报告书》的审查意见（环审〔2023〕78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关于《内蒙古自治区鄂尔多斯市东胜煤田万利煤炭矿区总体规划 (修编)环境影响报告书》的审查意见（环审〔2023〕78号）_03"/>
                    <pic:cNvPicPr>
                      <a:picLocks noChangeAspect="1"/>
                    </pic:cNvPicPr>
                  </pic:nvPicPr>
                  <pic:blipFill>
                    <a:blip r:embed="rId42"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90" name="图片 90" descr="关于《内蒙古自治区鄂尔多斯市东胜煤田万利煤炭矿区总体规划 (修编)环境影响报告书》的审查意见（环审〔2023〕78号）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关于《内蒙古自治区鄂尔多斯市东胜煤田万利煤炭矿区总体规划 (修编)环境影响报告书》的审查意见（环审〔2023〕78号）_04"/>
                    <pic:cNvPicPr>
                      <a:picLocks noChangeAspect="1"/>
                    </pic:cNvPicPr>
                  </pic:nvPicPr>
                  <pic:blipFill>
                    <a:blip r:embed="rId43"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89" name="图片 89" descr="关于《内蒙古自治区鄂尔多斯市东胜煤田万利煤炭矿区总体规划 (修编)环境影响报告书》的审查意见（环审〔2023〕78号）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关于《内蒙古自治区鄂尔多斯市东胜煤田万利煤炭矿区总体规划 (修编)环境影响报告书》的审查意见（环审〔2023〕78号）_05"/>
                    <pic:cNvPicPr>
                      <a:picLocks noChangeAspect="1"/>
                    </pic:cNvPicPr>
                  </pic:nvPicPr>
                  <pic:blipFill>
                    <a:blip r:embed="rId44"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88" name="图片 88" descr="关于《内蒙古自治区鄂尔多斯市东胜煤田万利煤炭矿区总体规划 (修编)环境影响报告书》的审查意见（环审〔2023〕78号）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关于《内蒙古自治区鄂尔多斯市东胜煤田万利煤炭矿区总体规划 (修编)环境影响报告书》的审查意见（环审〔2023〕78号）_06"/>
                    <pic:cNvPicPr>
                      <a:picLocks noChangeAspect="1"/>
                    </pic:cNvPicPr>
                  </pic:nvPicPr>
                  <pic:blipFill>
                    <a:blip r:embed="rId45"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87" name="图片 87" descr="关于《内蒙古自治区鄂尔多斯市东胜煤田万利煤炭矿区总体规划 (修编)环境影响报告书》的审查意见（环审〔2023〕78号）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关于《内蒙古自治区鄂尔多斯市东胜煤田万利煤炭矿区总体规划 (修编)环境影响报告书》的审查意见（环审〔2023〕78号）_07"/>
                    <pic:cNvPicPr>
                      <a:picLocks noChangeAspect="1"/>
                    </pic:cNvPicPr>
                  </pic:nvPicPr>
                  <pic:blipFill>
                    <a:blip r:embed="rId46"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86" name="图片 86" descr="关于《内蒙古自治区鄂尔多斯市东胜煤田万利煤炭矿区总体规划 (修编)环境影响报告书》的审查意见（环审〔2023〕78号）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关于《内蒙古自治区鄂尔多斯市东胜煤田万利煤炭矿区总体规划 (修编)环境影响报告书》的审查意见（环审〔2023〕78号）_08"/>
                    <pic:cNvPicPr>
                      <a:picLocks noChangeAspect="1"/>
                    </pic:cNvPicPr>
                  </pic:nvPicPr>
                  <pic:blipFill>
                    <a:blip r:embed="rId47" cstate="print"/>
                    <a:stretch>
                      <a:fillRect/>
                    </a:stretch>
                  </pic:blipFill>
                  <pic:spPr>
                    <a:xfrm>
                      <a:off x="0" y="0"/>
                      <a:ext cx="6477000" cy="9161145"/>
                    </a:xfrm>
                    <a:prstGeom prst="rect">
                      <a:avLst/>
                    </a:prstGeom>
                  </pic:spPr>
                </pic:pic>
              </a:graphicData>
            </a:graphic>
          </wp:inline>
        </w:drawing>
      </w:r>
      <w:r>
        <w:rPr>
          <w:color w:val="auto"/>
          <w:sz w:val="24"/>
        </w:rPr>
        <w:drawing>
          <wp:inline distT="0" distB="0" distL="114300" distR="114300">
            <wp:extent cx="6477000" cy="9161145"/>
            <wp:effectExtent l="0" t="0" r="0" b="1905"/>
            <wp:docPr id="85" name="图片 85" descr="关于《内蒙古自治区鄂尔多斯市东胜煤田万利煤炭矿区总体规划 (修编)环境影响报告书》的审查意见（环审〔2023〕78号）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关于《内蒙古自治区鄂尔多斯市东胜煤田万利煤炭矿区总体规划 (修编)环境影响报告书》的审查意见（环审〔2023〕78号）_09"/>
                    <pic:cNvPicPr>
                      <a:picLocks noChangeAspect="1"/>
                    </pic:cNvPicPr>
                  </pic:nvPicPr>
                  <pic:blipFill>
                    <a:blip r:embed="rId48" cstate="print"/>
                    <a:stretch>
                      <a:fillRect/>
                    </a:stretch>
                  </pic:blipFill>
                  <pic:spPr>
                    <a:xfrm>
                      <a:off x="0" y="0"/>
                      <a:ext cx="6477000" cy="9161145"/>
                    </a:xfrm>
                    <a:prstGeom prst="rect">
                      <a:avLst/>
                    </a:prstGeom>
                  </pic:spPr>
                </pic:pic>
              </a:graphicData>
            </a:graphic>
          </wp:inline>
        </w:drawing>
      </w:r>
    </w:p>
    <w:p w14:paraId="3A5EAE08">
      <w:pPr>
        <w:pStyle w:val="4"/>
        <w:rPr>
          <w:color w:val="auto"/>
        </w:rPr>
        <w:sectPr>
          <w:pgSz w:w="11906" w:h="16838"/>
          <w:pgMar w:top="850" w:right="850" w:bottom="850" w:left="850" w:header="737" w:footer="765" w:gutter="0"/>
          <w:pgNumType w:fmt="numberInDash"/>
          <w:cols w:space="0" w:num="1"/>
          <w:docGrid w:type="lines" w:linePitch="312" w:charSpace="0"/>
        </w:sectPr>
      </w:pPr>
    </w:p>
    <w:p w14:paraId="48D317EF">
      <w:pPr>
        <w:snapToGrid w:val="0"/>
        <w:jc w:val="left"/>
        <w:outlineLvl w:val="0"/>
        <w:rPr>
          <w:color w:val="auto"/>
          <w:sz w:val="24"/>
        </w:rPr>
      </w:pPr>
      <w:r>
        <w:rPr>
          <w:rFonts w:hint="eastAsia"/>
          <w:color w:val="auto"/>
          <w:sz w:val="24"/>
        </w:rPr>
        <w:t>附件</w:t>
      </w:r>
      <w:r>
        <w:rPr>
          <w:rFonts w:hint="eastAsia"/>
          <w:color w:val="auto"/>
          <w:sz w:val="24"/>
          <w:lang w:val="en-US" w:eastAsia="zh-CN"/>
        </w:rPr>
        <w:t>4</w:t>
      </w:r>
      <w:r>
        <w:rPr>
          <w:rFonts w:hint="eastAsia"/>
          <w:color w:val="auto"/>
          <w:sz w:val="24"/>
        </w:rPr>
        <w:t xml:space="preserve"> 备案证</w:t>
      </w:r>
    </w:p>
    <w:p w14:paraId="3E2F9986">
      <w:pPr>
        <w:pStyle w:val="2"/>
        <w:snapToGrid w:val="0"/>
        <w:ind w:firstLine="0"/>
        <w:jc w:val="center"/>
        <w:rPr>
          <w:color w:val="auto"/>
        </w:rPr>
      </w:pPr>
      <w:r>
        <w:rPr>
          <w:rFonts w:hint="eastAsia"/>
          <w:color w:val="auto"/>
        </w:rPr>
        <w:drawing>
          <wp:inline distT="0" distB="0" distL="114300" distR="114300">
            <wp:extent cx="6395720" cy="9213850"/>
            <wp:effectExtent l="0" t="0" r="0" b="0"/>
            <wp:docPr id="46" name="图片 46" descr="bb50706b73a77049314805bf909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bb50706b73a77049314805bf9099095"/>
                    <pic:cNvPicPr>
                      <a:picLocks noChangeAspect="1"/>
                    </pic:cNvPicPr>
                  </pic:nvPicPr>
                  <pic:blipFill>
                    <a:blip r:embed="rId49" cstate="print"/>
                    <a:srcRect t="2513"/>
                    <a:stretch>
                      <a:fillRect/>
                    </a:stretch>
                  </pic:blipFill>
                  <pic:spPr>
                    <a:xfrm>
                      <a:off x="0" y="0"/>
                      <a:ext cx="6395720" cy="9213850"/>
                    </a:xfrm>
                    <a:prstGeom prst="rect">
                      <a:avLst/>
                    </a:prstGeom>
                  </pic:spPr>
                </pic:pic>
              </a:graphicData>
            </a:graphic>
          </wp:inline>
        </w:drawing>
      </w:r>
    </w:p>
    <w:p w14:paraId="1A98CEC8">
      <w:pPr>
        <w:snapToGrid w:val="0"/>
        <w:jc w:val="left"/>
        <w:outlineLvl w:val="0"/>
        <w:rPr>
          <w:color w:val="auto"/>
          <w:sz w:val="24"/>
        </w:rPr>
      </w:pPr>
      <w:r>
        <w:rPr>
          <w:rFonts w:hint="eastAsia"/>
          <w:color w:val="auto"/>
          <w:sz w:val="24"/>
        </w:rPr>
        <w:t>附件</w:t>
      </w:r>
      <w:r>
        <w:rPr>
          <w:rFonts w:hint="eastAsia"/>
          <w:color w:val="auto"/>
          <w:sz w:val="24"/>
          <w:lang w:val="en-US" w:eastAsia="zh-CN"/>
        </w:rPr>
        <w:t>5</w:t>
      </w:r>
      <w:r>
        <w:rPr>
          <w:rFonts w:hint="eastAsia"/>
          <w:color w:val="auto"/>
          <w:sz w:val="24"/>
        </w:rPr>
        <w:t xml:space="preserve"> 鄂尔多斯市自然资源局东胜区分局关于项目是否占压生态保护红线的复函</w:t>
      </w:r>
    </w:p>
    <w:p w14:paraId="472E6209">
      <w:pPr>
        <w:pStyle w:val="2"/>
        <w:ind w:firstLine="0"/>
        <w:jc w:val="center"/>
        <w:rPr>
          <w:color w:val="auto"/>
        </w:rPr>
      </w:pPr>
      <w:r>
        <w:rPr>
          <w:rFonts w:hint="eastAsia"/>
          <w:color w:val="auto"/>
        </w:rPr>
        <w:drawing>
          <wp:inline distT="0" distB="0" distL="114300" distR="114300">
            <wp:extent cx="6477000" cy="9152890"/>
            <wp:effectExtent l="0" t="0" r="0" b="10160"/>
            <wp:docPr id="51" name="图片 51" descr="李家壕二号回风立井项目生态保护红线回复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李家壕二号回风立井项目生态保护红线回复函_00"/>
                    <pic:cNvPicPr>
                      <a:picLocks noChangeAspect="1"/>
                    </pic:cNvPicPr>
                  </pic:nvPicPr>
                  <pic:blipFill>
                    <a:blip r:embed="rId50" cstate="print"/>
                    <a:stretch>
                      <a:fillRect/>
                    </a:stretch>
                  </pic:blipFill>
                  <pic:spPr>
                    <a:xfrm>
                      <a:off x="0" y="0"/>
                      <a:ext cx="6477000" cy="9152890"/>
                    </a:xfrm>
                    <a:prstGeom prst="rect">
                      <a:avLst/>
                    </a:prstGeom>
                  </pic:spPr>
                </pic:pic>
              </a:graphicData>
            </a:graphic>
          </wp:inline>
        </w:drawing>
      </w:r>
    </w:p>
    <w:p w14:paraId="3DA37BA1">
      <w:pPr>
        <w:pStyle w:val="4"/>
        <w:spacing w:before="0" w:after="0" w:line="240" w:lineRule="auto"/>
        <w:jc w:val="left"/>
        <w:rPr>
          <w:color w:val="auto"/>
          <w:sz w:val="24"/>
          <w:szCs w:val="24"/>
        </w:rPr>
      </w:pPr>
      <w:r>
        <w:rPr>
          <w:rFonts w:hint="eastAsia" w:ascii="Times New Roman" w:hAnsi="Times New Roman" w:eastAsia="宋体"/>
          <w:color w:val="auto"/>
          <w:sz w:val="24"/>
          <w:szCs w:val="24"/>
        </w:rPr>
        <w:t>附件</w:t>
      </w:r>
      <w:r>
        <w:rPr>
          <w:rFonts w:hint="eastAsia" w:ascii="Times New Roman" w:hAnsi="Times New Roman" w:eastAsia="宋体"/>
          <w:color w:val="auto"/>
          <w:sz w:val="24"/>
          <w:szCs w:val="24"/>
          <w:lang w:val="en-US" w:eastAsia="zh-CN"/>
        </w:rPr>
        <w:t>6</w:t>
      </w:r>
      <w:r>
        <w:rPr>
          <w:rFonts w:hint="eastAsia" w:ascii="Times New Roman" w:hAnsi="Times New Roman" w:eastAsia="宋体"/>
          <w:color w:val="auto"/>
          <w:sz w:val="24"/>
          <w:szCs w:val="24"/>
        </w:rPr>
        <w:t xml:space="preserve"> </w:t>
      </w:r>
      <w:r>
        <w:rPr>
          <w:rFonts w:hint="eastAsia"/>
          <w:color w:val="auto"/>
          <w:sz w:val="24"/>
          <w:szCs w:val="24"/>
        </w:rPr>
        <w:t>鄂尔多斯市自然资源局东胜区分局关于项目占用永久基本农田核实情况的复函</w:t>
      </w:r>
    </w:p>
    <w:p w14:paraId="429EBBBF">
      <w:pPr>
        <w:pStyle w:val="4"/>
        <w:rPr>
          <w:color w:val="auto"/>
        </w:rPr>
      </w:pPr>
      <w:r>
        <w:rPr>
          <w:color w:val="auto"/>
        </w:rPr>
        <w:drawing>
          <wp:inline distT="0" distB="0" distL="114300" distR="114300">
            <wp:extent cx="6477000" cy="9002395"/>
            <wp:effectExtent l="0" t="0" r="0" b="0"/>
            <wp:docPr id="52" name="图片 52" descr="李家壕二号回风立井基本农田回复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李家壕二号回风立井基本农田回复函_00"/>
                    <pic:cNvPicPr>
                      <a:picLocks noChangeAspect="1"/>
                    </pic:cNvPicPr>
                  </pic:nvPicPr>
                  <pic:blipFill>
                    <a:blip r:embed="rId51" cstate="print"/>
                    <a:srcRect b="1644"/>
                    <a:stretch>
                      <a:fillRect/>
                    </a:stretch>
                  </pic:blipFill>
                  <pic:spPr>
                    <a:xfrm>
                      <a:off x="0" y="0"/>
                      <a:ext cx="6477000" cy="9002395"/>
                    </a:xfrm>
                    <a:prstGeom prst="rect">
                      <a:avLst/>
                    </a:prstGeom>
                  </pic:spPr>
                </pic:pic>
              </a:graphicData>
            </a:graphic>
          </wp:inline>
        </w:drawing>
      </w:r>
    </w:p>
    <w:p w14:paraId="541A5A2E">
      <w:pPr>
        <w:rPr>
          <w:color w:val="auto"/>
        </w:rPr>
      </w:pPr>
      <w:r>
        <w:rPr>
          <w:rFonts w:hint="eastAsia"/>
          <w:color w:val="auto"/>
          <w:sz w:val="24"/>
        </w:rPr>
        <w:t>附件</w:t>
      </w:r>
      <w:r>
        <w:rPr>
          <w:rFonts w:hint="eastAsia"/>
          <w:color w:val="auto"/>
          <w:sz w:val="24"/>
          <w:lang w:val="en-US" w:eastAsia="zh-CN"/>
        </w:rPr>
        <w:t>7</w:t>
      </w:r>
      <w:r>
        <w:rPr>
          <w:rFonts w:hint="eastAsia"/>
          <w:color w:val="auto"/>
          <w:sz w:val="24"/>
        </w:rPr>
        <w:t xml:space="preserve"> 鄂尔多斯市自然资源局东胜区分局关于项目压覆重要矿产资源核实情况的函</w:t>
      </w:r>
    </w:p>
    <w:p w14:paraId="6E44B550">
      <w:pPr>
        <w:pStyle w:val="2"/>
        <w:ind w:firstLine="0"/>
        <w:jc w:val="center"/>
        <w:rPr>
          <w:color w:val="auto"/>
        </w:rPr>
      </w:pPr>
      <w:r>
        <w:rPr>
          <w:color w:val="auto"/>
        </w:rPr>
        <w:drawing>
          <wp:inline distT="0" distB="0" distL="114300" distR="114300">
            <wp:extent cx="6361430" cy="8990330"/>
            <wp:effectExtent l="0" t="0" r="1270" b="1270"/>
            <wp:docPr id="54" name="图片 54" descr="李家壕二号回风立井矿区回复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李家壕二号回风立井矿区回复函_00"/>
                    <pic:cNvPicPr>
                      <a:picLocks noChangeAspect="1"/>
                    </pic:cNvPicPr>
                  </pic:nvPicPr>
                  <pic:blipFill>
                    <a:blip r:embed="rId52" cstate="print"/>
                    <a:stretch>
                      <a:fillRect/>
                    </a:stretch>
                  </pic:blipFill>
                  <pic:spPr>
                    <a:xfrm>
                      <a:off x="0" y="0"/>
                      <a:ext cx="6361430" cy="8990330"/>
                    </a:xfrm>
                    <a:prstGeom prst="rect">
                      <a:avLst/>
                    </a:prstGeom>
                  </pic:spPr>
                </pic:pic>
              </a:graphicData>
            </a:graphic>
          </wp:inline>
        </w:drawing>
      </w:r>
      <w:r>
        <w:rPr>
          <w:color w:val="auto"/>
        </w:rPr>
        <w:drawing>
          <wp:inline distT="0" distB="0" distL="114300" distR="114300">
            <wp:extent cx="6517005" cy="9209405"/>
            <wp:effectExtent l="0" t="0" r="17145" b="10795"/>
            <wp:docPr id="53" name="图片 53" descr="李家壕二号回风立井矿区回复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李家壕二号回风立井矿区回复函_01"/>
                    <pic:cNvPicPr>
                      <a:picLocks noChangeAspect="1"/>
                    </pic:cNvPicPr>
                  </pic:nvPicPr>
                  <pic:blipFill>
                    <a:blip r:embed="rId53" cstate="print"/>
                    <a:stretch>
                      <a:fillRect/>
                    </a:stretch>
                  </pic:blipFill>
                  <pic:spPr>
                    <a:xfrm>
                      <a:off x="0" y="0"/>
                      <a:ext cx="6517005" cy="9209405"/>
                    </a:xfrm>
                    <a:prstGeom prst="rect">
                      <a:avLst/>
                    </a:prstGeom>
                  </pic:spPr>
                </pic:pic>
              </a:graphicData>
            </a:graphic>
          </wp:inline>
        </w:drawing>
      </w:r>
    </w:p>
    <w:p w14:paraId="12D02E1E">
      <w:pPr>
        <w:rPr>
          <w:color w:val="auto"/>
        </w:rPr>
      </w:pPr>
      <w:r>
        <w:rPr>
          <w:rFonts w:hint="eastAsia"/>
          <w:color w:val="auto"/>
          <w:sz w:val="24"/>
        </w:rPr>
        <w:t>附件</w:t>
      </w:r>
      <w:r>
        <w:rPr>
          <w:rFonts w:hint="eastAsia"/>
          <w:color w:val="auto"/>
          <w:sz w:val="24"/>
          <w:lang w:val="en-US" w:eastAsia="zh-CN"/>
        </w:rPr>
        <w:t>8</w:t>
      </w:r>
      <w:r>
        <w:rPr>
          <w:rFonts w:hint="eastAsia"/>
          <w:color w:val="auto"/>
          <w:sz w:val="24"/>
        </w:rPr>
        <w:t xml:space="preserve"> 鄂尔多斯市林业和草原局东胜区分局关于项目核查情况的复函</w:t>
      </w:r>
    </w:p>
    <w:p w14:paraId="271D9C2C">
      <w:pPr>
        <w:pStyle w:val="4"/>
        <w:rPr>
          <w:color w:val="auto"/>
        </w:rPr>
      </w:pPr>
      <w:r>
        <w:rPr>
          <w:color w:val="auto"/>
        </w:rPr>
        <w:drawing>
          <wp:inline distT="0" distB="0" distL="114300" distR="114300">
            <wp:extent cx="6477000" cy="9152890"/>
            <wp:effectExtent l="0" t="0" r="0" b="10160"/>
            <wp:docPr id="55" name="图片 55" descr="李家壕二号回风立井林草回复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李家壕二号回风立井林草回复函_00"/>
                    <pic:cNvPicPr>
                      <a:picLocks noChangeAspect="1"/>
                    </pic:cNvPicPr>
                  </pic:nvPicPr>
                  <pic:blipFill>
                    <a:blip r:embed="rId54" cstate="print"/>
                    <a:stretch>
                      <a:fillRect/>
                    </a:stretch>
                  </pic:blipFill>
                  <pic:spPr>
                    <a:xfrm>
                      <a:off x="0" y="0"/>
                      <a:ext cx="6477000" cy="9152890"/>
                    </a:xfrm>
                    <a:prstGeom prst="rect">
                      <a:avLst/>
                    </a:prstGeom>
                  </pic:spPr>
                </pic:pic>
              </a:graphicData>
            </a:graphic>
          </wp:inline>
        </w:drawing>
      </w:r>
    </w:p>
    <w:p w14:paraId="236900BE">
      <w:pPr>
        <w:rPr>
          <w:color w:val="auto"/>
        </w:rPr>
      </w:pPr>
      <w:r>
        <w:rPr>
          <w:rFonts w:hint="eastAsia"/>
          <w:color w:val="auto"/>
          <w:sz w:val="24"/>
        </w:rPr>
        <w:t>附件</w:t>
      </w:r>
      <w:r>
        <w:rPr>
          <w:rFonts w:hint="eastAsia"/>
          <w:color w:val="auto"/>
          <w:sz w:val="24"/>
          <w:lang w:val="en-US" w:eastAsia="zh-CN"/>
        </w:rPr>
        <w:t>9</w:t>
      </w:r>
      <w:r>
        <w:rPr>
          <w:rFonts w:hint="eastAsia"/>
          <w:color w:val="auto"/>
          <w:sz w:val="24"/>
        </w:rPr>
        <w:t xml:space="preserve"> 鄂尔多斯市东胜区水利局关于项目与水利工程设施、水源地及河道管理范围重叠情况的函</w:t>
      </w:r>
    </w:p>
    <w:p w14:paraId="4C53E1CA">
      <w:pPr>
        <w:jc w:val="center"/>
        <w:rPr>
          <w:color w:val="auto"/>
        </w:rPr>
      </w:pPr>
      <w:r>
        <w:rPr>
          <w:color w:val="auto"/>
        </w:rPr>
        <w:drawing>
          <wp:inline distT="0" distB="0" distL="114300" distR="114300">
            <wp:extent cx="6477000" cy="9152890"/>
            <wp:effectExtent l="0" t="0" r="0" b="10160"/>
            <wp:docPr id="56" name="图片 56" descr="李家壕二号回风立井项目水利工程回复函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李家壕二号回风立井项目水利工程回复函_00"/>
                    <pic:cNvPicPr>
                      <a:picLocks noChangeAspect="1"/>
                    </pic:cNvPicPr>
                  </pic:nvPicPr>
                  <pic:blipFill>
                    <a:blip r:embed="rId55" cstate="print"/>
                    <a:stretch>
                      <a:fillRect/>
                    </a:stretch>
                  </pic:blipFill>
                  <pic:spPr>
                    <a:xfrm>
                      <a:off x="0" y="0"/>
                      <a:ext cx="6477000" cy="9152890"/>
                    </a:xfrm>
                    <a:prstGeom prst="rect">
                      <a:avLst/>
                    </a:prstGeom>
                  </pic:spPr>
                </pic:pic>
              </a:graphicData>
            </a:graphic>
          </wp:inline>
        </w:drawing>
      </w:r>
    </w:p>
    <w:p w14:paraId="2C983AC7">
      <w:pPr>
        <w:rPr>
          <w:color w:val="auto"/>
        </w:rPr>
      </w:pPr>
      <w:r>
        <w:rPr>
          <w:rFonts w:hint="eastAsia"/>
          <w:color w:val="auto"/>
          <w:sz w:val="24"/>
        </w:rPr>
        <w:t>附件</w:t>
      </w:r>
      <w:r>
        <w:rPr>
          <w:rFonts w:hint="eastAsia"/>
          <w:color w:val="auto"/>
          <w:sz w:val="24"/>
          <w:lang w:val="en-US" w:eastAsia="zh-CN"/>
        </w:rPr>
        <w:t>10</w:t>
      </w:r>
      <w:r>
        <w:rPr>
          <w:rFonts w:hint="eastAsia"/>
          <w:color w:val="auto"/>
          <w:sz w:val="24"/>
        </w:rPr>
        <w:t xml:space="preserve"> 鄂尔多斯市东胜区文物局关于项目文物调查意见的函</w:t>
      </w:r>
    </w:p>
    <w:p w14:paraId="3CFC8340">
      <w:pPr>
        <w:pStyle w:val="4"/>
        <w:rPr>
          <w:color w:val="auto"/>
        </w:rPr>
      </w:pPr>
      <w:r>
        <w:rPr>
          <w:color w:val="auto"/>
        </w:rPr>
        <w:drawing>
          <wp:inline distT="0" distB="0" distL="114300" distR="114300">
            <wp:extent cx="6477000" cy="9152890"/>
            <wp:effectExtent l="0" t="0" r="0" b="10160"/>
            <wp:docPr id="57" name="图片 57" descr="李家壕二号风井文旅局回复函(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李家壕二号风井文旅局回复函(1)_00"/>
                    <pic:cNvPicPr>
                      <a:picLocks noChangeAspect="1"/>
                    </pic:cNvPicPr>
                  </pic:nvPicPr>
                  <pic:blipFill>
                    <a:blip r:embed="rId56" cstate="print"/>
                    <a:stretch>
                      <a:fillRect/>
                    </a:stretch>
                  </pic:blipFill>
                  <pic:spPr>
                    <a:xfrm>
                      <a:off x="0" y="0"/>
                      <a:ext cx="6477000" cy="9152890"/>
                    </a:xfrm>
                    <a:prstGeom prst="rect">
                      <a:avLst/>
                    </a:prstGeom>
                  </pic:spPr>
                </pic:pic>
              </a:graphicData>
            </a:graphic>
          </wp:inline>
        </w:drawing>
      </w:r>
    </w:p>
    <w:p w14:paraId="67CABA73">
      <w:pPr>
        <w:rPr>
          <w:color w:val="auto"/>
          <w:sz w:val="24"/>
        </w:rPr>
      </w:pPr>
      <w:r>
        <w:rPr>
          <w:rFonts w:hint="eastAsia"/>
          <w:color w:val="auto"/>
          <w:sz w:val="24"/>
        </w:rPr>
        <w:t>附件</w:t>
      </w:r>
      <w:r>
        <w:rPr>
          <w:rFonts w:hint="eastAsia"/>
          <w:color w:val="auto"/>
          <w:sz w:val="24"/>
          <w:lang w:val="en-US" w:eastAsia="zh-CN"/>
        </w:rPr>
        <w:t>11</w:t>
      </w:r>
      <w:r>
        <w:rPr>
          <w:rFonts w:hint="eastAsia"/>
          <w:color w:val="auto"/>
          <w:sz w:val="24"/>
        </w:rPr>
        <w:t xml:space="preserve"> 土地勘测定界报告</w:t>
      </w:r>
    </w:p>
    <w:p w14:paraId="0EF64292">
      <w:pPr>
        <w:pStyle w:val="2"/>
        <w:ind w:firstLine="0"/>
        <w:jc w:val="center"/>
        <w:rPr>
          <w:color w:val="auto"/>
        </w:rPr>
      </w:pPr>
      <w:r>
        <w:rPr>
          <w:color w:val="auto"/>
        </w:rPr>
        <w:drawing>
          <wp:inline distT="0" distB="0" distL="114300" distR="114300">
            <wp:extent cx="6477000" cy="9164955"/>
            <wp:effectExtent l="0" t="0" r="0" b="17145"/>
            <wp:docPr id="67" name="图片 67" descr="李家壕煤矿二号回风立井项目用地-土地勘测定界技术报告书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李家壕煤矿二号回风立井项目用地-土地勘测定界技术报告书_01"/>
                    <pic:cNvPicPr>
                      <a:picLocks noChangeAspect="1"/>
                    </pic:cNvPicPr>
                  </pic:nvPicPr>
                  <pic:blipFill>
                    <a:blip r:embed="rId57"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66" name="图片 66" descr="李家壕煤矿二号回风立井项目用地-土地勘测定界技术报告书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李家壕煤矿二号回风立井项目用地-土地勘测定界技术报告书_02"/>
                    <pic:cNvPicPr>
                      <a:picLocks noChangeAspect="1"/>
                    </pic:cNvPicPr>
                  </pic:nvPicPr>
                  <pic:blipFill>
                    <a:blip r:embed="rId58"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65" name="图片 65" descr="李家壕煤矿二号回风立井项目用地-土地勘测定界技术报告书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李家壕煤矿二号回风立井项目用地-土地勘测定界技术报告书_03"/>
                    <pic:cNvPicPr>
                      <a:picLocks noChangeAspect="1"/>
                    </pic:cNvPicPr>
                  </pic:nvPicPr>
                  <pic:blipFill>
                    <a:blip r:embed="rId59"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64" name="图片 64" descr="李家壕煤矿二号回风立井项目用地-土地勘测定界技术报告书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李家壕煤矿二号回风立井项目用地-土地勘测定界技术报告书_04"/>
                    <pic:cNvPicPr>
                      <a:picLocks noChangeAspect="1"/>
                    </pic:cNvPicPr>
                  </pic:nvPicPr>
                  <pic:blipFill>
                    <a:blip r:embed="rId60"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63" name="图片 63" descr="李家壕煤矿二号回风立井项目用地-土地勘测定界技术报告书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李家壕煤矿二号回风立井项目用地-土地勘测定界技术报告书_05"/>
                    <pic:cNvPicPr>
                      <a:picLocks noChangeAspect="1"/>
                    </pic:cNvPicPr>
                  </pic:nvPicPr>
                  <pic:blipFill>
                    <a:blip r:embed="rId61"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62" name="图片 62" descr="李家壕煤矿二号回风立井项目用地-土地勘测定界技术报告书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李家壕煤矿二号回风立井项目用地-土地勘测定界技术报告书_06"/>
                    <pic:cNvPicPr>
                      <a:picLocks noChangeAspect="1"/>
                    </pic:cNvPicPr>
                  </pic:nvPicPr>
                  <pic:blipFill>
                    <a:blip r:embed="rId62"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61" name="图片 61" descr="李家壕煤矿二号回风立井项目用地-土地勘测定界技术报告书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李家壕煤矿二号回风立井项目用地-土地勘测定界技术报告书_07"/>
                    <pic:cNvPicPr>
                      <a:picLocks noChangeAspect="1"/>
                    </pic:cNvPicPr>
                  </pic:nvPicPr>
                  <pic:blipFill>
                    <a:blip r:embed="rId63"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60" name="图片 60" descr="李家壕煤矿二号回风立井项目用地-土地勘测定界技术报告书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李家壕煤矿二号回风立井项目用地-土地勘测定界技术报告书_08"/>
                    <pic:cNvPicPr>
                      <a:picLocks noChangeAspect="1"/>
                    </pic:cNvPicPr>
                  </pic:nvPicPr>
                  <pic:blipFill>
                    <a:blip r:embed="rId64" cstate="print"/>
                    <a:stretch>
                      <a:fillRect/>
                    </a:stretch>
                  </pic:blipFill>
                  <pic:spPr>
                    <a:xfrm>
                      <a:off x="0" y="0"/>
                      <a:ext cx="6477000" cy="9164955"/>
                    </a:xfrm>
                    <a:prstGeom prst="rect">
                      <a:avLst/>
                    </a:prstGeom>
                  </pic:spPr>
                </pic:pic>
              </a:graphicData>
            </a:graphic>
          </wp:inline>
        </w:drawing>
      </w:r>
      <w:r>
        <w:rPr>
          <w:color w:val="auto"/>
        </w:rPr>
        <w:drawing>
          <wp:inline distT="0" distB="0" distL="114300" distR="114300">
            <wp:extent cx="6477000" cy="9164955"/>
            <wp:effectExtent l="0" t="0" r="0" b="17145"/>
            <wp:docPr id="59" name="图片 59" descr="李家壕煤矿二号回风立井项目用地-土地勘测定界技术报告书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李家壕煤矿二号回风立井项目用地-土地勘测定界技术报告书_09"/>
                    <pic:cNvPicPr>
                      <a:picLocks noChangeAspect="1"/>
                    </pic:cNvPicPr>
                  </pic:nvPicPr>
                  <pic:blipFill>
                    <a:blip r:embed="rId65" cstate="print"/>
                    <a:stretch>
                      <a:fillRect/>
                    </a:stretch>
                  </pic:blipFill>
                  <pic:spPr>
                    <a:xfrm>
                      <a:off x="0" y="0"/>
                      <a:ext cx="6477000" cy="9164955"/>
                    </a:xfrm>
                    <a:prstGeom prst="rect">
                      <a:avLst/>
                    </a:prstGeom>
                  </pic:spPr>
                </pic:pic>
              </a:graphicData>
            </a:graphic>
          </wp:inline>
        </w:drawing>
      </w:r>
    </w:p>
    <w:p w14:paraId="343067FB">
      <w:pPr>
        <w:pStyle w:val="2"/>
        <w:ind w:firstLine="0"/>
        <w:jc w:val="left"/>
        <w:rPr>
          <w:rFonts w:hint="eastAsia" w:ascii="Times New Roman" w:cs="Times New Roman"/>
          <w:color w:val="auto"/>
          <w:lang w:val="en-US" w:eastAsia="zh-CN"/>
        </w:rPr>
      </w:pPr>
      <w:r>
        <w:rPr>
          <w:rFonts w:ascii="Times New Roman" w:cs="Times New Roman"/>
          <w:color w:val="auto"/>
        </w:rPr>
        <w:t>附件1</w:t>
      </w:r>
      <w:r>
        <w:rPr>
          <w:rFonts w:hint="eastAsia" w:ascii="Times New Roman" w:cs="Times New Roman"/>
          <w:color w:val="auto"/>
          <w:lang w:val="en-US" w:eastAsia="zh-CN"/>
        </w:rPr>
        <w:t>2</w:t>
      </w:r>
      <w:r>
        <w:rPr>
          <w:rFonts w:ascii="Times New Roman" w:cs="Times New Roman"/>
          <w:color w:val="auto"/>
        </w:rPr>
        <w:t xml:space="preserve">  李家壕煤矿</w:t>
      </w:r>
      <w:r>
        <w:rPr>
          <w:rFonts w:hint="eastAsia" w:ascii="Times New Roman" w:cs="Times New Roman"/>
          <w:color w:val="auto"/>
          <w:lang w:val="en-US" w:eastAsia="zh-CN"/>
        </w:rPr>
        <w:t>环评批复</w:t>
      </w:r>
      <w:r>
        <w:rPr>
          <w:rFonts w:hint="eastAsia" w:ascii="Times New Roman" w:cs="Times New Roman"/>
          <w:color w:val="auto"/>
          <w:lang w:val="en-US" w:eastAsia="zh-CN"/>
        </w:rPr>
        <w:drawing>
          <wp:inline distT="0" distB="0" distL="114300" distR="114300">
            <wp:extent cx="6473190" cy="9154160"/>
            <wp:effectExtent l="0" t="0" r="3810" b="8890"/>
            <wp:docPr id="22" name="图片 22" descr="环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环评批复_00"/>
                    <pic:cNvPicPr>
                      <a:picLocks noChangeAspect="1"/>
                    </pic:cNvPicPr>
                  </pic:nvPicPr>
                  <pic:blipFill>
                    <a:blip r:embed="rId66"/>
                    <a:stretch>
                      <a:fillRect/>
                    </a:stretch>
                  </pic:blipFill>
                  <pic:spPr>
                    <a:xfrm>
                      <a:off x="0" y="0"/>
                      <a:ext cx="6473190" cy="9154160"/>
                    </a:xfrm>
                    <a:prstGeom prst="rect">
                      <a:avLst/>
                    </a:prstGeom>
                  </pic:spPr>
                </pic:pic>
              </a:graphicData>
            </a:graphic>
          </wp:inline>
        </w:drawing>
      </w:r>
      <w:r>
        <w:rPr>
          <w:rFonts w:hint="eastAsia" w:ascii="Times New Roman" w:cs="Times New Roman"/>
          <w:color w:val="auto"/>
          <w:lang w:val="en-US" w:eastAsia="zh-CN"/>
        </w:rPr>
        <w:drawing>
          <wp:inline distT="0" distB="0" distL="114300" distR="114300">
            <wp:extent cx="6473190" cy="9154160"/>
            <wp:effectExtent l="0" t="0" r="3810" b="8890"/>
            <wp:docPr id="21" name="图片 21" descr="环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环评批复_01"/>
                    <pic:cNvPicPr>
                      <a:picLocks noChangeAspect="1"/>
                    </pic:cNvPicPr>
                  </pic:nvPicPr>
                  <pic:blipFill>
                    <a:blip r:embed="rId67"/>
                    <a:stretch>
                      <a:fillRect/>
                    </a:stretch>
                  </pic:blipFill>
                  <pic:spPr>
                    <a:xfrm>
                      <a:off x="0" y="0"/>
                      <a:ext cx="6473190" cy="9154160"/>
                    </a:xfrm>
                    <a:prstGeom prst="rect">
                      <a:avLst/>
                    </a:prstGeom>
                  </pic:spPr>
                </pic:pic>
              </a:graphicData>
            </a:graphic>
          </wp:inline>
        </w:drawing>
      </w:r>
      <w:r>
        <w:rPr>
          <w:rFonts w:hint="eastAsia" w:ascii="Times New Roman" w:cs="Times New Roman"/>
          <w:color w:val="auto"/>
          <w:lang w:val="en-US" w:eastAsia="zh-CN"/>
        </w:rPr>
        <w:drawing>
          <wp:inline distT="0" distB="0" distL="114300" distR="114300">
            <wp:extent cx="6473190" cy="9154160"/>
            <wp:effectExtent l="0" t="0" r="3810" b="8890"/>
            <wp:docPr id="20" name="图片 20" descr="环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环评批复_02"/>
                    <pic:cNvPicPr>
                      <a:picLocks noChangeAspect="1"/>
                    </pic:cNvPicPr>
                  </pic:nvPicPr>
                  <pic:blipFill>
                    <a:blip r:embed="rId68"/>
                    <a:stretch>
                      <a:fillRect/>
                    </a:stretch>
                  </pic:blipFill>
                  <pic:spPr>
                    <a:xfrm>
                      <a:off x="0" y="0"/>
                      <a:ext cx="6473190" cy="9154160"/>
                    </a:xfrm>
                    <a:prstGeom prst="rect">
                      <a:avLst/>
                    </a:prstGeom>
                  </pic:spPr>
                </pic:pic>
              </a:graphicData>
            </a:graphic>
          </wp:inline>
        </w:drawing>
      </w:r>
      <w:r>
        <w:rPr>
          <w:rFonts w:hint="eastAsia" w:ascii="Times New Roman" w:cs="Times New Roman"/>
          <w:color w:val="auto"/>
          <w:lang w:val="en-US" w:eastAsia="zh-CN"/>
        </w:rPr>
        <w:drawing>
          <wp:inline distT="0" distB="0" distL="114300" distR="114300">
            <wp:extent cx="6473190" cy="9154160"/>
            <wp:effectExtent l="0" t="0" r="3810" b="8890"/>
            <wp:docPr id="19" name="图片 19" descr="环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环评批复_03"/>
                    <pic:cNvPicPr>
                      <a:picLocks noChangeAspect="1"/>
                    </pic:cNvPicPr>
                  </pic:nvPicPr>
                  <pic:blipFill>
                    <a:blip r:embed="rId69"/>
                    <a:stretch>
                      <a:fillRect/>
                    </a:stretch>
                  </pic:blipFill>
                  <pic:spPr>
                    <a:xfrm>
                      <a:off x="0" y="0"/>
                      <a:ext cx="6473190" cy="9154160"/>
                    </a:xfrm>
                    <a:prstGeom prst="rect">
                      <a:avLst/>
                    </a:prstGeom>
                  </pic:spPr>
                </pic:pic>
              </a:graphicData>
            </a:graphic>
          </wp:inline>
        </w:drawing>
      </w:r>
    </w:p>
    <w:p w14:paraId="4CAF754B">
      <w:pPr>
        <w:pStyle w:val="2"/>
        <w:ind w:firstLine="0"/>
        <w:jc w:val="left"/>
        <w:rPr>
          <w:rFonts w:ascii="Times New Roman" w:cs="Times New Roman"/>
          <w:color w:val="auto"/>
        </w:rPr>
      </w:pPr>
      <w:r>
        <w:rPr>
          <w:rFonts w:ascii="Times New Roman" w:cs="Times New Roman"/>
          <w:color w:val="auto"/>
        </w:rPr>
        <w:t>附件1</w:t>
      </w:r>
      <w:r>
        <w:rPr>
          <w:rFonts w:hint="eastAsia" w:ascii="Times New Roman" w:cs="Times New Roman"/>
          <w:color w:val="auto"/>
          <w:lang w:val="en-US" w:eastAsia="zh-CN"/>
        </w:rPr>
        <w:t>3</w:t>
      </w:r>
      <w:r>
        <w:rPr>
          <w:rFonts w:ascii="Times New Roman" w:cs="Times New Roman"/>
          <w:color w:val="auto"/>
        </w:rPr>
        <w:t xml:space="preserve"> </w:t>
      </w:r>
      <w:r>
        <w:rPr>
          <w:rFonts w:hint="eastAsia" w:ascii="Times New Roman" w:cs="Times New Roman"/>
          <w:color w:val="auto"/>
        </w:rPr>
        <w:t>采矿许可证</w:t>
      </w:r>
    </w:p>
    <w:p w14:paraId="701759EC">
      <w:pPr>
        <w:pStyle w:val="4"/>
        <w:rPr>
          <w:rFonts w:ascii="宋体" w:hAnsi="宋体" w:eastAsia="宋体" w:cs="宋体"/>
          <w:color w:val="auto"/>
          <w:sz w:val="24"/>
          <w:szCs w:val="24"/>
        </w:rPr>
      </w:pPr>
      <w:r>
        <w:rPr>
          <w:rFonts w:ascii="宋体" w:hAnsi="宋体" w:eastAsia="宋体" w:cs="宋体"/>
          <w:color w:val="auto"/>
          <w:sz w:val="24"/>
          <w:szCs w:val="24"/>
        </w:rPr>
        <w:drawing>
          <wp:inline distT="0" distB="0" distL="114300" distR="114300">
            <wp:extent cx="6471920" cy="8973185"/>
            <wp:effectExtent l="0" t="0" r="5080" b="18415"/>
            <wp:docPr id="75"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descr="IMG_256"/>
                    <pic:cNvPicPr>
                      <a:picLocks noChangeAspect="1"/>
                    </pic:cNvPicPr>
                  </pic:nvPicPr>
                  <pic:blipFill>
                    <a:blip r:embed="rId70" cstate="print"/>
                    <a:stretch>
                      <a:fillRect/>
                    </a:stretch>
                  </pic:blipFill>
                  <pic:spPr>
                    <a:xfrm>
                      <a:off x="0" y="0"/>
                      <a:ext cx="6471920" cy="8973185"/>
                    </a:xfrm>
                    <a:prstGeom prst="rect">
                      <a:avLst/>
                    </a:prstGeom>
                    <a:noFill/>
                    <a:ln>
                      <a:noFill/>
                    </a:ln>
                  </pic:spPr>
                </pic:pic>
              </a:graphicData>
            </a:graphic>
          </wp:inline>
        </w:drawing>
      </w:r>
    </w:p>
    <w:p w14:paraId="3BC99817">
      <w:pPr>
        <w:jc w:val="center"/>
        <w:rPr>
          <w:rFonts w:ascii="宋体" w:hAnsi="宋体" w:cs="宋体"/>
          <w:color w:val="auto"/>
          <w:sz w:val="24"/>
        </w:rPr>
      </w:pPr>
      <w:r>
        <w:rPr>
          <w:rFonts w:ascii="宋体" w:hAnsi="宋体" w:cs="宋体"/>
          <w:color w:val="auto"/>
          <w:sz w:val="24"/>
        </w:rPr>
        <w:drawing>
          <wp:inline distT="0" distB="0" distL="114300" distR="114300">
            <wp:extent cx="6540500" cy="9119870"/>
            <wp:effectExtent l="0" t="0" r="12700" b="5080"/>
            <wp:docPr id="76"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descr="IMG_256"/>
                    <pic:cNvPicPr>
                      <a:picLocks noChangeAspect="1"/>
                    </pic:cNvPicPr>
                  </pic:nvPicPr>
                  <pic:blipFill>
                    <a:blip r:embed="rId71" cstate="print"/>
                    <a:stretch>
                      <a:fillRect/>
                    </a:stretch>
                  </pic:blipFill>
                  <pic:spPr>
                    <a:xfrm>
                      <a:off x="0" y="0"/>
                      <a:ext cx="6540500" cy="9119870"/>
                    </a:xfrm>
                    <a:prstGeom prst="rect">
                      <a:avLst/>
                    </a:prstGeom>
                    <a:noFill/>
                    <a:ln>
                      <a:noFill/>
                    </a:ln>
                  </pic:spPr>
                </pic:pic>
              </a:graphicData>
            </a:graphic>
          </wp:inline>
        </w:drawing>
      </w:r>
    </w:p>
    <w:p w14:paraId="137351F9">
      <w:pPr>
        <w:pStyle w:val="4"/>
        <w:keepNext w:val="0"/>
        <w:keepLines w:val="0"/>
        <w:pageBreakBefore w:val="0"/>
        <w:widowControl/>
        <w:kinsoku/>
        <w:wordWrap/>
        <w:overflowPunct/>
        <w:topLinePunct w:val="0"/>
        <w:autoSpaceDE/>
        <w:autoSpaceDN/>
        <w:bidi w:val="0"/>
        <w:adjustRightInd/>
        <w:snapToGrid w:val="0"/>
        <w:spacing w:before="0" w:after="0" w:line="240" w:lineRule="auto"/>
        <w:ind w:right="0"/>
        <w:jc w:val="left"/>
        <w:textAlignment w:val="auto"/>
        <w:rPr>
          <w:rFonts w:hint="eastAsia" w:ascii="Times New Roman" w:cs="Times New Roman"/>
          <w:color w:val="auto"/>
          <w:sz w:val="24"/>
          <w:szCs w:val="24"/>
          <w:lang w:val="en-US" w:eastAsia="zh-CN"/>
        </w:rPr>
      </w:pPr>
      <w:r>
        <w:rPr>
          <w:rFonts w:ascii="Times New Roman" w:cs="Times New Roman"/>
          <w:color w:val="auto"/>
          <w:sz w:val="24"/>
          <w:szCs w:val="24"/>
        </w:rPr>
        <w:t>附件1</w:t>
      </w:r>
      <w:r>
        <w:rPr>
          <w:rFonts w:hint="eastAsia" w:ascii="Times New Roman" w:cs="Times New Roman"/>
          <w:color w:val="auto"/>
          <w:sz w:val="24"/>
          <w:szCs w:val="24"/>
          <w:lang w:val="en-US" w:eastAsia="zh-CN"/>
        </w:rPr>
        <w:t>4</w:t>
      </w:r>
      <w:r>
        <w:rPr>
          <w:rFonts w:ascii="Times New Roman" w:cs="Times New Roman"/>
          <w:color w:val="auto"/>
          <w:sz w:val="24"/>
          <w:szCs w:val="24"/>
        </w:rPr>
        <w:t xml:space="preserve">  李家壕煤矿</w:t>
      </w:r>
      <w:r>
        <w:rPr>
          <w:rFonts w:hint="eastAsia" w:ascii="Times New Roman" w:cs="Times New Roman"/>
          <w:color w:val="auto"/>
          <w:sz w:val="24"/>
          <w:szCs w:val="24"/>
          <w:lang w:val="en-US" w:eastAsia="zh-CN"/>
        </w:rPr>
        <w:t>验收批复</w:t>
      </w:r>
    </w:p>
    <w:p w14:paraId="14A42D62">
      <w:pPr>
        <w:jc w:val="center"/>
        <w:rPr>
          <w:rFonts w:hint="eastAsia"/>
          <w:color w:val="auto"/>
          <w:lang w:eastAsia="zh-CN"/>
        </w:rPr>
      </w:pPr>
      <w:r>
        <w:rPr>
          <w:rFonts w:hint="eastAsia" w:eastAsia="汉鼎简书宋"/>
          <w:color w:val="auto"/>
          <w:lang w:eastAsia="zh-CN"/>
        </w:rPr>
        <w:drawing>
          <wp:inline distT="0" distB="0" distL="114300" distR="114300">
            <wp:extent cx="6473190" cy="9154160"/>
            <wp:effectExtent l="0" t="0" r="3810" b="8890"/>
            <wp:docPr id="26" name="图片 26" descr="《关于神华集团包头矿业有限责任公司李家壕煤矿建设项目竣工环境保护验收合格的函》（环验〔2016〕55号）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关于神华集团包头矿业有限责任公司李家壕煤矿建设项目竣工环境保护验收合格的函》（环验〔2016〕55号）_00"/>
                    <pic:cNvPicPr>
                      <a:picLocks noChangeAspect="1"/>
                    </pic:cNvPicPr>
                  </pic:nvPicPr>
                  <pic:blipFill>
                    <a:blip r:embed="rId72"/>
                    <a:stretch>
                      <a:fillRect/>
                    </a:stretch>
                  </pic:blipFill>
                  <pic:spPr>
                    <a:xfrm>
                      <a:off x="0" y="0"/>
                      <a:ext cx="6473190" cy="9154160"/>
                    </a:xfrm>
                    <a:prstGeom prst="rect">
                      <a:avLst/>
                    </a:prstGeom>
                  </pic:spPr>
                </pic:pic>
              </a:graphicData>
            </a:graphic>
          </wp:inline>
        </w:drawing>
      </w:r>
    </w:p>
    <w:p w14:paraId="2F355DBC">
      <w:pPr>
        <w:pStyle w:val="4"/>
        <w:rPr>
          <w:rFonts w:hint="eastAsia" w:eastAsia="汉鼎简书宋"/>
          <w:color w:val="auto"/>
          <w:lang w:eastAsia="zh-CN"/>
        </w:rPr>
      </w:pPr>
      <w:r>
        <w:rPr>
          <w:rFonts w:hint="eastAsia" w:eastAsia="汉鼎简书宋"/>
          <w:color w:val="auto"/>
          <w:lang w:eastAsia="zh-CN"/>
        </w:rPr>
        <w:drawing>
          <wp:inline distT="0" distB="0" distL="114300" distR="114300">
            <wp:extent cx="6473190" cy="9154160"/>
            <wp:effectExtent l="0" t="0" r="3810" b="8890"/>
            <wp:docPr id="25" name="图片 25" descr="《关于神华集团包头矿业有限责任公司李家壕煤矿建设项目竣工环境保护验收合格的函》（环验〔2016〕55号）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关于神华集团包头矿业有限责任公司李家壕煤矿建设项目竣工环境保护验收合格的函》（环验〔2016〕55号）_01"/>
                    <pic:cNvPicPr>
                      <a:picLocks noChangeAspect="1"/>
                    </pic:cNvPicPr>
                  </pic:nvPicPr>
                  <pic:blipFill>
                    <a:blip r:embed="rId73"/>
                    <a:stretch>
                      <a:fillRect/>
                    </a:stretch>
                  </pic:blipFill>
                  <pic:spPr>
                    <a:xfrm>
                      <a:off x="0" y="0"/>
                      <a:ext cx="6473190" cy="9154160"/>
                    </a:xfrm>
                    <a:prstGeom prst="rect">
                      <a:avLst/>
                    </a:prstGeom>
                  </pic:spPr>
                </pic:pic>
              </a:graphicData>
            </a:graphic>
          </wp:inline>
        </w:drawing>
      </w:r>
      <w:r>
        <w:rPr>
          <w:rFonts w:hint="eastAsia" w:eastAsia="汉鼎简书宋"/>
          <w:color w:val="auto"/>
          <w:lang w:eastAsia="zh-CN"/>
        </w:rPr>
        <w:drawing>
          <wp:inline distT="0" distB="0" distL="114300" distR="114300">
            <wp:extent cx="6473190" cy="9154160"/>
            <wp:effectExtent l="0" t="0" r="3810" b="8890"/>
            <wp:docPr id="24" name="图片 24" descr="《关于神华集团包头矿业有限责任公司李家壕煤矿建设项目竣工环境保护验收合格的函》（环验〔2016〕55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关于神华集团包头矿业有限责任公司李家壕煤矿建设项目竣工环境保护验收合格的函》（环验〔2016〕55号）_02"/>
                    <pic:cNvPicPr>
                      <a:picLocks noChangeAspect="1"/>
                    </pic:cNvPicPr>
                  </pic:nvPicPr>
                  <pic:blipFill>
                    <a:blip r:embed="rId74"/>
                    <a:stretch>
                      <a:fillRect/>
                    </a:stretch>
                  </pic:blipFill>
                  <pic:spPr>
                    <a:xfrm>
                      <a:off x="0" y="0"/>
                      <a:ext cx="6473190" cy="9154160"/>
                    </a:xfrm>
                    <a:prstGeom prst="rect">
                      <a:avLst/>
                    </a:prstGeom>
                  </pic:spPr>
                </pic:pic>
              </a:graphicData>
            </a:graphic>
          </wp:inline>
        </w:drawing>
      </w:r>
      <w:r>
        <w:rPr>
          <w:rFonts w:hint="eastAsia" w:eastAsia="汉鼎简书宋"/>
          <w:color w:val="auto"/>
          <w:lang w:eastAsia="zh-CN"/>
        </w:rPr>
        <w:drawing>
          <wp:inline distT="0" distB="0" distL="114300" distR="114300">
            <wp:extent cx="6473190" cy="9154160"/>
            <wp:effectExtent l="0" t="0" r="3810" b="8890"/>
            <wp:docPr id="23" name="图片 23" descr="《关于神华集团包头矿业有限责任公司李家壕煤矿建设项目竣工环境保护验收合格的函》（环验〔2016〕55号）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关于神华集团包头矿业有限责任公司李家壕煤矿建设项目竣工环境保护验收合格的函》（环验〔2016〕55号）_03"/>
                    <pic:cNvPicPr>
                      <a:picLocks noChangeAspect="1"/>
                    </pic:cNvPicPr>
                  </pic:nvPicPr>
                  <pic:blipFill>
                    <a:blip r:embed="rId75"/>
                    <a:stretch>
                      <a:fillRect/>
                    </a:stretch>
                  </pic:blipFill>
                  <pic:spPr>
                    <a:xfrm>
                      <a:off x="0" y="0"/>
                      <a:ext cx="6473190" cy="9154160"/>
                    </a:xfrm>
                    <a:prstGeom prst="rect">
                      <a:avLst/>
                    </a:prstGeom>
                  </pic:spPr>
                </pic:pic>
              </a:graphicData>
            </a:graphic>
          </wp:inline>
        </w:drawing>
      </w:r>
    </w:p>
    <w:p w14:paraId="0225CEE4">
      <w:pPr>
        <w:jc w:val="center"/>
        <w:rPr>
          <w:rFonts w:hint="eastAsia" w:eastAsia="汉鼎简书宋"/>
          <w:color w:val="auto"/>
          <w:lang w:eastAsia="zh-CN"/>
        </w:rPr>
      </w:pPr>
    </w:p>
    <w:p w14:paraId="719E9CFA">
      <w:pPr>
        <w:jc w:val="left"/>
        <w:rPr>
          <w:rFonts w:hint="default" w:ascii="Times New Roman" w:hAnsi="Times New Roman" w:eastAsia="汉鼎简书宋" w:cs="Times New Roman"/>
          <w:color w:val="auto"/>
          <w:sz w:val="24"/>
          <w:szCs w:val="24"/>
          <w:lang w:val="en-US" w:eastAsia="zh-CN"/>
        </w:rPr>
      </w:pPr>
      <w:r>
        <w:rPr>
          <w:rFonts w:hint="eastAsia" w:ascii="Times New Roman" w:hAnsi="Times New Roman" w:eastAsia="汉鼎简书宋" w:cs="Times New Roman"/>
          <w:color w:val="auto"/>
          <w:sz w:val="24"/>
          <w:szCs w:val="24"/>
          <w:lang w:val="en-US" w:eastAsia="zh-CN"/>
        </w:rPr>
        <w:t>附件15  李家壕煤矿二水平开拓延深项目验收批复</w:t>
      </w:r>
    </w:p>
    <w:p w14:paraId="1C278F86">
      <w:pPr>
        <w:pStyle w:val="4"/>
        <w:rPr>
          <w:color w:val="auto"/>
        </w:rPr>
      </w:pPr>
      <w:r>
        <w:rPr>
          <w:color w:val="auto"/>
        </w:rPr>
        <w:drawing>
          <wp:inline distT="0" distB="0" distL="114300" distR="114300">
            <wp:extent cx="6473190" cy="8817610"/>
            <wp:effectExtent l="0" t="0" r="3810" b="2540"/>
            <wp:docPr id="69" name="图片 69" descr="附件9、国能包头能源有限责任公司关于李家壕煤矿二水平开拓延深项目竣工验收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附件9、国能包头能源有限责任公司关于李家壕煤矿二水平开拓延深项目竣工验收的批复_00"/>
                    <pic:cNvPicPr>
                      <a:picLocks noChangeAspect="1"/>
                    </pic:cNvPicPr>
                  </pic:nvPicPr>
                  <pic:blipFill>
                    <a:blip r:embed="rId76" cstate="print"/>
                    <a:srcRect b="3676"/>
                    <a:stretch>
                      <a:fillRect/>
                    </a:stretch>
                  </pic:blipFill>
                  <pic:spPr>
                    <a:xfrm>
                      <a:off x="0" y="0"/>
                      <a:ext cx="6473190" cy="8817610"/>
                    </a:xfrm>
                    <a:prstGeom prst="rect">
                      <a:avLst/>
                    </a:prstGeom>
                  </pic:spPr>
                </pic:pic>
              </a:graphicData>
            </a:graphic>
          </wp:inline>
        </w:drawing>
      </w:r>
    </w:p>
    <w:p w14:paraId="74A93101">
      <w:pPr>
        <w:pStyle w:val="4"/>
        <w:rPr>
          <w:color w:val="auto"/>
        </w:rPr>
      </w:pPr>
      <w:r>
        <w:rPr>
          <w:color w:val="auto"/>
        </w:rPr>
        <w:drawing>
          <wp:inline distT="0" distB="0" distL="114300" distR="114300">
            <wp:extent cx="6473190" cy="9154160"/>
            <wp:effectExtent l="0" t="0" r="3810" b="8890"/>
            <wp:docPr id="68" name="图片 68" descr="附件9、国能包头能源有限责任公司关于李家壕煤矿二水平开拓延深项目竣工验收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附件9、国能包头能源有限责任公司关于李家壕煤矿二水平开拓延深项目竣工验收的批复_01"/>
                    <pic:cNvPicPr>
                      <a:picLocks noChangeAspect="1"/>
                    </pic:cNvPicPr>
                  </pic:nvPicPr>
                  <pic:blipFill>
                    <a:blip r:embed="rId77" cstate="print"/>
                    <a:stretch>
                      <a:fillRect/>
                    </a:stretch>
                  </pic:blipFill>
                  <pic:spPr>
                    <a:xfrm>
                      <a:off x="0" y="0"/>
                      <a:ext cx="6473190" cy="9154160"/>
                    </a:xfrm>
                    <a:prstGeom prst="rect">
                      <a:avLst/>
                    </a:prstGeom>
                  </pic:spPr>
                </pic:pic>
              </a:graphicData>
            </a:graphic>
          </wp:inline>
        </w:drawing>
      </w:r>
    </w:p>
    <w:p w14:paraId="00B0B1A4">
      <w:pPr>
        <w:pStyle w:val="2"/>
        <w:ind w:firstLine="0"/>
        <w:rPr>
          <w:rFonts w:hint="default" w:ascii="Times New Roman" w:cs="Times New Roman"/>
          <w:color w:val="auto"/>
          <w:lang w:val="en-US" w:eastAsia="zh-CN"/>
        </w:rPr>
      </w:pPr>
      <w:r>
        <w:rPr>
          <w:rFonts w:hint="eastAsia" w:ascii="Times New Roman" w:cs="Times New Roman"/>
          <w:color w:val="auto"/>
          <w:lang w:val="en-US" w:eastAsia="zh-CN"/>
        </w:rPr>
        <w:t>附件16 关于协调李家壕煤矿采区范围与东胜城市建设用地界限有关事宜的会议纪要</w:t>
      </w:r>
    </w:p>
    <w:p w14:paraId="1FC822DC">
      <w:pPr>
        <w:pStyle w:val="2"/>
        <w:ind w:firstLine="0"/>
        <w:jc w:val="center"/>
        <w:rPr>
          <w:rFonts w:hint="eastAsia" w:ascii="Times New Roman" w:cs="Times New Roman"/>
          <w:color w:val="auto"/>
          <w:lang w:val="en-US" w:eastAsia="zh-CN"/>
        </w:rPr>
      </w:pPr>
      <w:r>
        <w:rPr>
          <w:rFonts w:hint="eastAsia" w:ascii="Times New Roman" w:cs="Times New Roman"/>
          <w:color w:val="auto"/>
          <w:lang w:val="en-US" w:eastAsia="zh-CN"/>
        </w:rPr>
        <w:drawing>
          <wp:inline distT="0" distB="0" distL="114300" distR="114300">
            <wp:extent cx="6473190" cy="9154160"/>
            <wp:effectExtent l="0" t="0" r="3810" b="8890"/>
            <wp:docPr id="118" name="图片 118" descr="附件4：关于协调李家壕煤矿采区范围与东胜城市建设用地界限有关事宜的会议纪要(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附件4：关于协调李家壕煤矿采区范围与东胜城市建设用地界限有关事宜的会议纪要(1)_00"/>
                    <pic:cNvPicPr>
                      <a:picLocks noChangeAspect="1"/>
                    </pic:cNvPicPr>
                  </pic:nvPicPr>
                  <pic:blipFill>
                    <a:blip r:embed="rId78"/>
                    <a:stretch>
                      <a:fillRect/>
                    </a:stretch>
                  </pic:blipFill>
                  <pic:spPr>
                    <a:xfrm>
                      <a:off x="0" y="0"/>
                      <a:ext cx="6473190" cy="9154160"/>
                    </a:xfrm>
                    <a:prstGeom prst="rect">
                      <a:avLst/>
                    </a:prstGeom>
                  </pic:spPr>
                </pic:pic>
              </a:graphicData>
            </a:graphic>
          </wp:inline>
        </w:drawing>
      </w:r>
      <w:r>
        <w:rPr>
          <w:rFonts w:hint="eastAsia" w:ascii="Times New Roman" w:cs="Times New Roman"/>
          <w:color w:val="auto"/>
          <w:lang w:val="en-US" w:eastAsia="zh-CN"/>
        </w:rPr>
        <w:drawing>
          <wp:inline distT="0" distB="0" distL="114300" distR="114300">
            <wp:extent cx="6473190" cy="9154160"/>
            <wp:effectExtent l="0" t="0" r="3810" b="8890"/>
            <wp:docPr id="117" name="图片 117" descr="附件4：关于协调李家壕煤矿采区范围与东胜城市建设用地界限有关事宜的会议纪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附件4：关于协调李家壕煤矿采区范围与东胜城市建设用地界限有关事宜的会议纪要(1)_01"/>
                    <pic:cNvPicPr>
                      <a:picLocks noChangeAspect="1"/>
                    </pic:cNvPicPr>
                  </pic:nvPicPr>
                  <pic:blipFill>
                    <a:blip r:embed="rId79"/>
                    <a:stretch>
                      <a:fillRect/>
                    </a:stretch>
                  </pic:blipFill>
                  <pic:spPr>
                    <a:xfrm>
                      <a:off x="0" y="0"/>
                      <a:ext cx="6473190" cy="9154160"/>
                    </a:xfrm>
                    <a:prstGeom prst="rect">
                      <a:avLst/>
                    </a:prstGeom>
                  </pic:spPr>
                </pic:pic>
              </a:graphicData>
            </a:graphic>
          </wp:inline>
        </w:drawing>
      </w:r>
      <w:r>
        <w:rPr>
          <w:rFonts w:hint="eastAsia" w:ascii="Times New Roman" w:cs="Times New Roman"/>
          <w:color w:val="auto"/>
          <w:lang w:val="en-US" w:eastAsia="zh-CN"/>
        </w:rPr>
        <w:drawing>
          <wp:inline distT="0" distB="0" distL="114300" distR="114300">
            <wp:extent cx="6473190" cy="9154160"/>
            <wp:effectExtent l="0" t="0" r="3810" b="8890"/>
            <wp:docPr id="116" name="图片 116" descr="附件4：关于协调李家壕煤矿采区范围与东胜城市建设用地界限有关事宜的会议纪要(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附件4：关于协调李家壕煤矿采区范围与东胜城市建设用地界限有关事宜的会议纪要(1)_02"/>
                    <pic:cNvPicPr>
                      <a:picLocks noChangeAspect="1"/>
                    </pic:cNvPicPr>
                  </pic:nvPicPr>
                  <pic:blipFill>
                    <a:blip r:embed="rId80"/>
                    <a:stretch>
                      <a:fillRect/>
                    </a:stretch>
                  </pic:blipFill>
                  <pic:spPr>
                    <a:xfrm>
                      <a:off x="0" y="0"/>
                      <a:ext cx="6473190" cy="9154160"/>
                    </a:xfrm>
                    <a:prstGeom prst="rect">
                      <a:avLst/>
                    </a:prstGeom>
                  </pic:spPr>
                </pic:pic>
              </a:graphicData>
            </a:graphic>
          </wp:inline>
        </w:drawing>
      </w:r>
      <w:r>
        <w:rPr>
          <w:rFonts w:hint="eastAsia" w:ascii="Times New Roman" w:cs="Times New Roman"/>
          <w:color w:val="auto"/>
          <w:lang w:val="en-US" w:eastAsia="zh-CN"/>
        </w:rPr>
        <w:drawing>
          <wp:inline distT="0" distB="0" distL="114300" distR="114300">
            <wp:extent cx="6473190" cy="9154160"/>
            <wp:effectExtent l="0" t="0" r="3810" b="8890"/>
            <wp:docPr id="115" name="图片 115" descr="附件4：关于协调李家壕煤矿采区范围与东胜城市建设用地界限有关事宜的会议纪要(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附件4：关于协调李家壕煤矿采区范围与东胜城市建设用地界限有关事宜的会议纪要(1)_03"/>
                    <pic:cNvPicPr>
                      <a:picLocks noChangeAspect="1"/>
                    </pic:cNvPicPr>
                  </pic:nvPicPr>
                  <pic:blipFill>
                    <a:blip r:embed="rId81"/>
                    <a:stretch>
                      <a:fillRect/>
                    </a:stretch>
                  </pic:blipFill>
                  <pic:spPr>
                    <a:xfrm>
                      <a:off x="0" y="0"/>
                      <a:ext cx="6473190" cy="9154160"/>
                    </a:xfrm>
                    <a:prstGeom prst="rect">
                      <a:avLst/>
                    </a:prstGeom>
                  </pic:spPr>
                </pic:pic>
              </a:graphicData>
            </a:graphic>
          </wp:inline>
        </w:drawing>
      </w:r>
    </w:p>
    <w:p w14:paraId="1D0B0CBF">
      <w:pPr>
        <w:pStyle w:val="2"/>
        <w:ind w:firstLine="0"/>
        <w:rPr>
          <w:rFonts w:hint="default" w:ascii="Times New Roman" w:eastAsia="宋体" w:cs="Times New Roman"/>
          <w:color w:val="auto"/>
          <w:lang w:val="en-US" w:eastAsia="zh-CN"/>
        </w:rPr>
      </w:pPr>
      <w:r>
        <w:rPr>
          <w:rFonts w:hint="eastAsia" w:ascii="Times New Roman" w:cs="Times New Roman"/>
          <w:color w:val="auto"/>
          <w:lang w:val="en-US" w:eastAsia="zh-CN"/>
        </w:rPr>
        <w:t>附件17 鄂尔多斯市国土空间规划批复</w:t>
      </w:r>
    </w:p>
    <w:p w14:paraId="05E6F5F8">
      <w:pPr>
        <w:pStyle w:val="2"/>
        <w:ind w:firstLine="0"/>
        <w:rPr>
          <w:rFonts w:hint="eastAsia" w:ascii="Times New Roman" w:eastAsia="宋体" w:cs="Times New Roman"/>
          <w:color w:val="auto"/>
          <w:lang w:eastAsia="zh-CN"/>
        </w:rPr>
      </w:pPr>
      <w:r>
        <w:rPr>
          <w:rFonts w:hint="eastAsia" w:ascii="Times New Roman" w:eastAsia="宋体" w:cs="Times New Roman"/>
          <w:color w:val="auto"/>
          <w:lang w:eastAsia="zh-CN"/>
        </w:rPr>
        <w:drawing>
          <wp:inline distT="0" distB="0" distL="114300" distR="114300">
            <wp:extent cx="6477000" cy="9164955"/>
            <wp:effectExtent l="0" t="0" r="0" b="17145"/>
            <wp:docPr id="45" name="图片 45" descr="附件4、 鄂尔多斯市国土空间规划批复（2021-2035）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附件4、 鄂尔多斯市国土空间规划批复（2021-2035）_00"/>
                    <pic:cNvPicPr>
                      <a:picLocks noChangeAspect="1"/>
                    </pic:cNvPicPr>
                  </pic:nvPicPr>
                  <pic:blipFill>
                    <a:blip r:embed="rId82"/>
                    <a:stretch>
                      <a:fillRect/>
                    </a:stretch>
                  </pic:blipFill>
                  <pic:spPr>
                    <a:xfrm>
                      <a:off x="0" y="0"/>
                      <a:ext cx="6477000" cy="916495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477000" cy="9164955"/>
            <wp:effectExtent l="0" t="0" r="0" b="17145"/>
            <wp:docPr id="44" name="图片 44" descr="附件4、 鄂尔多斯市国土空间规划批复（2021-2035）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附件4、 鄂尔多斯市国土空间规划批复（2021-2035）_01"/>
                    <pic:cNvPicPr>
                      <a:picLocks noChangeAspect="1"/>
                    </pic:cNvPicPr>
                  </pic:nvPicPr>
                  <pic:blipFill>
                    <a:blip r:embed="rId83"/>
                    <a:stretch>
                      <a:fillRect/>
                    </a:stretch>
                  </pic:blipFill>
                  <pic:spPr>
                    <a:xfrm>
                      <a:off x="0" y="0"/>
                      <a:ext cx="6477000" cy="916495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477000" cy="9164955"/>
            <wp:effectExtent l="0" t="0" r="0" b="17145"/>
            <wp:docPr id="42" name="图片 42" descr="附件4、 鄂尔多斯市国土空间规划批复（2021-203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附件4、 鄂尔多斯市国土空间规划批复（2021-2035）_02"/>
                    <pic:cNvPicPr>
                      <a:picLocks noChangeAspect="1"/>
                    </pic:cNvPicPr>
                  </pic:nvPicPr>
                  <pic:blipFill>
                    <a:blip r:embed="rId84"/>
                    <a:stretch>
                      <a:fillRect/>
                    </a:stretch>
                  </pic:blipFill>
                  <pic:spPr>
                    <a:xfrm>
                      <a:off x="0" y="0"/>
                      <a:ext cx="6477000" cy="916495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477000" cy="9164955"/>
            <wp:effectExtent l="0" t="0" r="0" b="17145"/>
            <wp:docPr id="40" name="图片 40" descr="附件4、 鄂尔多斯市国土空间规划批复（2021-2035）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附件4、 鄂尔多斯市国土空间规划批复（2021-2035）_03"/>
                    <pic:cNvPicPr>
                      <a:picLocks noChangeAspect="1"/>
                    </pic:cNvPicPr>
                  </pic:nvPicPr>
                  <pic:blipFill>
                    <a:blip r:embed="rId85"/>
                    <a:stretch>
                      <a:fillRect/>
                    </a:stretch>
                  </pic:blipFill>
                  <pic:spPr>
                    <a:xfrm>
                      <a:off x="0" y="0"/>
                      <a:ext cx="6477000" cy="9164955"/>
                    </a:xfrm>
                    <a:prstGeom prst="rect">
                      <a:avLst/>
                    </a:prstGeom>
                  </pic:spPr>
                </pic:pic>
              </a:graphicData>
            </a:graphic>
          </wp:inline>
        </w:drawing>
      </w:r>
    </w:p>
    <w:p w14:paraId="3A9964DF">
      <w:pPr>
        <w:pStyle w:val="4"/>
        <w:keepNext w:val="0"/>
        <w:keepLines w:val="0"/>
        <w:pageBreakBefore w:val="0"/>
        <w:widowControl/>
        <w:kinsoku/>
        <w:wordWrap/>
        <w:overflowPunct/>
        <w:topLinePunct w:val="0"/>
        <w:autoSpaceDE/>
        <w:autoSpaceDN/>
        <w:bidi w:val="0"/>
        <w:adjustRightInd/>
        <w:snapToGrid w:val="0"/>
        <w:spacing w:before="0" w:after="0" w:line="240" w:lineRule="auto"/>
        <w:ind w:right="113"/>
        <w:textAlignment w:val="auto"/>
        <w:rPr>
          <w:rFonts w:hint="eastAsia"/>
          <w:color w:val="auto"/>
          <w:lang w:eastAsia="zh-CN"/>
        </w:rPr>
      </w:pPr>
    </w:p>
    <w:p w14:paraId="76D7F610">
      <w:pPr>
        <w:pStyle w:val="2"/>
        <w:ind w:firstLine="0"/>
        <w:rPr>
          <w:rFonts w:hint="eastAsia" w:ascii="Times New Roman" w:cs="Times New Roman"/>
          <w:color w:val="auto"/>
        </w:rPr>
      </w:pPr>
      <w:r>
        <w:rPr>
          <w:rFonts w:ascii="Times New Roman" w:cs="Times New Roman"/>
          <w:color w:val="auto"/>
        </w:rPr>
        <w:t>附件</w:t>
      </w:r>
      <w:r>
        <w:rPr>
          <w:rFonts w:hint="eastAsia" w:ascii="Times New Roman" w:cs="Times New Roman"/>
          <w:color w:val="auto"/>
          <w:lang w:val="en-US" w:eastAsia="zh-CN"/>
        </w:rPr>
        <w:t>18</w:t>
      </w:r>
      <w:r>
        <w:rPr>
          <w:rFonts w:ascii="Times New Roman" w:cs="Times New Roman"/>
          <w:color w:val="auto"/>
        </w:rPr>
        <w:t xml:space="preserve"> </w:t>
      </w:r>
      <w:r>
        <w:rPr>
          <w:rFonts w:hint="eastAsia" w:ascii="Times New Roman" w:cs="Times New Roman"/>
          <w:color w:val="auto"/>
        </w:rPr>
        <w:t>监测报告</w:t>
      </w:r>
    </w:p>
    <w:p w14:paraId="6E10844F">
      <w:pPr>
        <w:pStyle w:val="4"/>
        <w:keepNext w:val="0"/>
        <w:keepLines w:val="0"/>
        <w:pageBreakBefore w:val="0"/>
        <w:widowControl/>
        <w:kinsoku/>
        <w:wordWrap/>
        <w:overflowPunct/>
        <w:topLinePunct w:val="0"/>
        <w:autoSpaceDE/>
        <w:autoSpaceDN/>
        <w:bidi w:val="0"/>
        <w:adjustRightInd/>
        <w:snapToGrid w:val="0"/>
        <w:spacing w:before="0" w:after="0" w:line="240" w:lineRule="auto"/>
        <w:ind w:right="0"/>
        <w:textAlignment w:val="auto"/>
        <w:rPr>
          <w:rFonts w:hint="eastAsia"/>
          <w:color w:val="auto"/>
        </w:rPr>
      </w:pPr>
      <w:r>
        <w:rPr>
          <w:rFonts w:hint="eastAsia" w:eastAsia="汉鼎简书宋"/>
          <w:color w:val="auto"/>
          <w:lang w:eastAsia="zh-CN"/>
        </w:rPr>
        <w:drawing>
          <wp:inline distT="0" distB="0" distL="114300" distR="114300">
            <wp:extent cx="6477000" cy="8922385"/>
            <wp:effectExtent l="0" t="0" r="0" b="12065"/>
            <wp:docPr id="15" name="图片 15" descr="708-李家壕煤矿二号回风立井项目环境质量现状监测(1)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08-李家壕煤矿二号回风立井项目环境质量现状监测(1)_00"/>
                    <pic:cNvPicPr>
                      <a:picLocks noChangeAspect="1"/>
                    </pic:cNvPicPr>
                  </pic:nvPicPr>
                  <pic:blipFill>
                    <a:blip r:embed="rId86"/>
                    <a:srcRect b="2647"/>
                    <a:stretch>
                      <a:fillRect/>
                    </a:stretch>
                  </pic:blipFill>
                  <pic:spPr>
                    <a:xfrm>
                      <a:off x="0" y="0"/>
                      <a:ext cx="6477000" cy="8922385"/>
                    </a:xfrm>
                    <a:prstGeom prst="rect">
                      <a:avLst/>
                    </a:prstGeom>
                  </pic:spPr>
                </pic:pic>
              </a:graphicData>
            </a:graphic>
          </wp:inline>
        </w:drawing>
      </w:r>
    </w:p>
    <w:p w14:paraId="58DFF0DE">
      <w:pPr>
        <w:pStyle w:val="4"/>
        <w:rPr>
          <w:rFonts w:hint="eastAsia" w:eastAsia="汉鼎简书宋"/>
          <w:color w:val="auto"/>
          <w:lang w:eastAsia="zh-CN"/>
        </w:rPr>
      </w:pPr>
      <w:r>
        <w:rPr>
          <w:rFonts w:hint="eastAsia" w:eastAsia="汉鼎简书宋"/>
          <w:color w:val="auto"/>
          <w:lang w:eastAsia="zh-CN"/>
        </w:rPr>
        <w:drawing>
          <wp:inline distT="0" distB="0" distL="114300" distR="114300">
            <wp:extent cx="6477000" cy="9164955"/>
            <wp:effectExtent l="0" t="0" r="0" b="17145"/>
            <wp:docPr id="13" name="图片 13" descr="708-李家壕煤矿二号回风立井项目环境质量现状监测(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708-李家壕煤矿二号回风立井项目环境质量现状监测(1)_01"/>
                    <pic:cNvPicPr>
                      <a:picLocks noChangeAspect="1"/>
                    </pic:cNvPicPr>
                  </pic:nvPicPr>
                  <pic:blipFill>
                    <a:blip r:embed="rId87"/>
                    <a:stretch>
                      <a:fillRect/>
                    </a:stretch>
                  </pic:blipFill>
                  <pic:spPr>
                    <a:xfrm>
                      <a:off x="0" y="0"/>
                      <a:ext cx="6477000" cy="9164955"/>
                    </a:xfrm>
                    <a:prstGeom prst="rect">
                      <a:avLst/>
                    </a:prstGeom>
                  </pic:spPr>
                </pic:pic>
              </a:graphicData>
            </a:graphic>
          </wp:inline>
        </w:drawing>
      </w:r>
      <w:r>
        <w:rPr>
          <w:rFonts w:hint="eastAsia" w:eastAsia="汉鼎简书宋"/>
          <w:color w:val="auto"/>
          <w:lang w:eastAsia="zh-CN"/>
        </w:rPr>
        <w:drawing>
          <wp:inline distT="0" distB="0" distL="114300" distR="114300">
            <wp:extent cx="6477000" cy="9164955"/>
            <wp:effectExtent l="0" t="0" r="0" b="17145"/>
            <wp:docPr id="12" name="图片 12" descr="708-李家壕煤矿二号回风立井项目环境质量现状监测(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708-李家壕煤矿二号回风立井项目环境质量现状监测(1)_02"/>
                    <pic:cNvPicPr>
                      <a:picLocks noChangeAspect="1"/>
                    </pic:cNvPicPr>
                  </pic:nvPicPr>
                  <pic:blipFill>
                    <a:blip r:embed="rId88"/>
                    <a:stretch>
                      <a:fillRect/>
                    </a:stretch>
                  </pic:blipFill>
                  <pic:spPr>
                    <a:xfrm>
                      <a:off x="0" y="0"/>
                      <a:ext cx="6477000" cy="9164955"/>
                    </a:xfrm>
                    <a:prstGeom prst="rect">
                      <a:avLst/>
                    </a:prstGeom>
                  </pic:spPr>
                </pic:pic>
              </a:graphicData>
            </a:graphic>
          </wp:inline>
        </w:drawing>
      </w:r>
      <w:r>
        <w:rPr>
          <w:rFonts w:hint="eastAsia" w:eastAsia="汉鼎简书宋"/>
          <w:color w:val="auto"/>
          <w:lang w:eastAsia="zh-CN"/>
        </w:rPr>
        <w:drawing>
          <wp:inline distT="0" distB="0" distL="114300" distR="114300">
            <wp:extent cx="6477000" cy="9164955"/>
            <wp:effectExtent l="0" t="0" r="0" b="17145"/>
            <wp:docPr id="8" name="图片 8" descr="708-李家壕煤矿二号回风立井项目环境质量现状监测(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708-李家壕煤矿二号回风立井项目环境质量现状监测(1)_03"/>
                    <pic:cNvPicPr>
                      <a:picLocks noChangeAspect="1"/>
                    </pic:cNvPicPr>
                  </pic:nvPicPr>
                  <pic:blipFill>
                    <a:blip r:embed="rId89"/>
                    <a:stretch>
                      <a:fillRect/>
                    </a:stretch>
                  </pic:blipFill>
                  <pic:spPr>
                    <a:xfrm>
                      <a:off x="0" y="0"/>
                      <a:ext cx="6477000" cy="9164955"/>
                    </a:xfrm>
                    <a:prstGeom prst="rect">
                      <a:avLst/>
                    </a:prstGeom>
                  </pic:spPr>
                </pic:pic>
              </a:graphicData>
            </a:graphic>
          </wp:inline>
        </w:drawing>
      </w:r>
      <w:r>
        <w:rPr>
          <w:rFonts w:hint="eastAsia" w:eastAsia="汉鼎简书宋"/>
          <w:color w:val="auto"/>
          <w:lang w:eastAsia="zh-CN"/>
        </w:rPr>
        <w:drawing>
          <wp:inline distT="0" distB="0" distL="114300" distR="114300">
            <wp:extent cx="6477000" cy="9164955"/>
            <wp:effectExtent l="0" t="0" r="0" b="17145"/>
            <wp:docPr id="7" name="图片 7" descr="708-李家壕煤矿二号回风立井项目环境质量现状监测(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08-李家壕煤矿二号回风立井项目环境质量现状监测(1)_04"/>
                    <pic:cNvPicPr>
                      <a:picLocks noChangeAspect="1"/>
                    </pic:cNvPicPr>
                  </pic:nvPicPr>
                  <pic:blipFill>
                    <a:blip r:embed="rId90"/>
                    <a:stretch>
                      <a:fillRect/>
                    </a:stretch>
                  </pic:blipFill>
                  <pic:spPr>
                    <a:xfrm>
                      <a:off x="0" y="0"/>
                      <a:ext cx="6477000" cy="9164955"/>
                    </a:xfrm>
                    <a:prstGeom prst="rect">
                      <a:avLst/>
                    </a:prstGeom>
                  </pic:spPr>
                </pic:pic>
              </a:graphicData>
            </a:graphic>
          </wp:inline>
        </w:drawing>
      </w:r>
    </w:p>
    <w:p w14:paraId="4E7C94BE">
      <w:pPr>
        <w:pStyle w:val="4"/>
        <w:rPr>
          <w:color w:val="auto"/>
        </w:rPr>
      </w:pPr>
    </w:p>
    <w:p w14:paraId="00BCF6F0">
      <w:pPr>
        <w:jc w:val="left"/>
        <w:rPr>
          <w:rFonts w:hint="default" w:eastAsia="汉鼎简书宋"/>
          <w:color w:val="auto"/>
          <w:sz w:val="24"/>
          <w:szCs w:val="24"/>
          <w:lang w:val="en-US" w:eastAsia="zh-CN"/>
        </w:rPr>
      </w:pPr>
      <w:r>
        <w:rPr>
          <w:rFonts w:hint="eastAsia" w:eastAsia="汉鼎简书宋"/>
          <w:color w:val="auto"/>
          <w:sz w:val="24"/>
          <w:szCs w:val="24"/>
          <w:lang w:val="en-US" w:eastAsia="zh-CN"/>
        </w:rPr>
        <w:t>附件19 李家壕煤矿危废库环评批复</w:t>
      </w:r>
    </w:p>
    <w:p w14:paraId="4E7C1EB8">
      <w:pPr>
        <w:jc w:val="center"/>
        <w:rPr>
          <w:rFonts w:hint="eastAsia" w:eastAsia="汉鼎简书宋"/>
          <w:color w:val="auto"/>
          <w:lang w:eastAsia="zh-CN"/>
        </w:rPr>
      </w:pPr>
      <w:r>
        <w:rPr>
          <w:rFonts w:hint="eastAsia" w:eastAsia="汉鼎简书宋"/>
          <w:color w:val="auto"/>
          <w:lang w:eastAsia="zh-CN"/>
        </w:rPr>
        <w:drawing>
          <wp:inline distT="0" distB="0" distL="114300" distR="114300">
            <wp:extent cx="6473190" cy="9154160"/>
            <wp:effectExtent l="0" t="0" r="3810" b="8890"/>
            <wp:docPr id="34" name="图片 34" descr="鄂尔多斯市生态环境局关于李家壕煤矿危废库工程环境影响报告表的批复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鄂尔多斯市生态环境局关于李家壕煤矿危废库工程环境影响报告表的批复_00"/>
                    <pic:cNvPicPr>
                      <a:picLocks noChangeAspect="1"/>
                    </pic:cNvPicPr>
                  </pic:nvPicPr>
                  <pic:blipFill>
                    <a:blip r:embed="rId91"/>
                    <a:stretch>
                      <a:fillRect/>
                    </a:stretch>
                  </pic:blipFill>
                  <pic:spPr>
                    <a:xfrm>
                      <a:off x="0" y="0"/>
                      <a:ext cx="6473190" cy="9154160"/>
                    </a:xfrm>
                    <a:prstGeom prst="rect">
                      <a:avLst/>
                    </a:prstGeom>
                  </pic:spPr>
                </pic:pic>
              </a:graphicData>
            </a:graphic>
          </wp:inline>
        </w:drawing>
      </w:r>
      <w:r>
        <w:rPr>
          <w:rFonts w:hint="eastAsia" w:eastAsia="汉鼎简书宋"/>
          <w:color w:val="auto"/>
          <w:lang w:eastAsia="zh-CN"/>
        </w:rPr>
        <w:drawing>
          <wp:inline distT="0" distB="0" distL="114300" distR="114300">
            <wp:extent cx="6473190" cy="9154160"/>
            <wp:effectExtent l="0" t="0" r="3810" b="8890"/>
            <wp:docPr id="33" name="图片 33" descr="鄂尔多斯市生态环境局关于李家壕煤矿危废库工程环境影响报告表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鄂尔多斯市生态环境局关于李家壕煤矿危废库工程环境影响报告表的批复_01"/>
                    <pic:cNvPicPr>
                      <a:picLocks noChangeAspect="1"/>
                    </pic:cNvPicPr>
                  </pic:nvPicPr>
                  <pic:blipFill>
                    <a:blip r:embed="rId92"/>
                    <a:stretch>
                      <a:fillRect/>
                    </a:stretch>
                  </pic:blipFill>
                  <pic:spPr>
                    <a:xfrm>
                      <a:off x="0" y="0"/>
                      <a:ext cx="6473190" cy="9154160"/>
                    </a:xfrm>
                    <a:prstGeom prst="rect">
                      <a:avLst/>
                    </a:prstGeom>
                  </pic:spPr>
                </pic:pic>
              </a:graphicData>
            </a:graphic>
          </wp:inline>
        </w:drawing>
      </w:r>
      <w:r>
        <w:rPr>
          <w:rFonts w:hint="eastAsia" w:eastAsia="汉鼎简书宋"/>
          <w:color w:val="auto"/>
          <w:lang w:eastAsia="zh-CN"/>
        </w:rPr>
        <w:drawing>
          <wp:inline distT="0" distB="0" distL="114300" distR="114300">
            <wp:extent cx="6473190" cy="9154160"/>
            <wp:effectExtent l="0" t="0" r="3810" b="8890"/>
            <wp:docPr id="32" name="图片 32" descr="鄂尔多斯市生态环境局关于李家壕煤矿危废库工程环境影响报告表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鄂尔多斯市生态环境局关于李家壕煤矿危废库工程环境影响报告表的批复_02"/>
                    <pic:cNvPicPr>
                      <a:picLocks noChangeAspect="1"/>
                    </pic:cNvPicPr>
                  </pic:nvPicPr>
                  <pic:blipFill>
                    <a:blip r:embed="rId93"/>
                    <a:stretch>
                      <a:fillRect/>
                    </a:stretch>
                  </pic:blipFill>
                  <pic:spPr>
                    <a:xfrm>
                      <a:off x="0" y="0"/>
                      <a:ext cx="6473190" cy="9154160"/>
                    </a:xfrm>
                    <a:prstGeom prst="rect">
                      <a:avLst/>
                    </a:prstGeom>
                  </pic:spPr>
                </pic:pic>
              </a:graphicData>
            </a:graphic>
          </wp:inline>
        </w:drawing>
      </w:r>
      <w:r>
        <w:rPr>
          <w:rFonts w:hint="eastAsia" w:eastAsia="汉鼎简书宋"/>
          <w:color w:val="auto"/>
          <w:lang w:eastAsia="zh-CN"/>
        </w:rPr>
        <w:drawing>
          <wp:inline distT="0" distB="0" distL="114300" distR="114300">
            <wp:extent cx="6473190" cy="9154160"/>
            <wp:effectExtent l="0" t="0" r="3810" b="8890"/>
            <wp:docPr id="31" name="图片 31" descr="鄂尔多斯市生态环境局关于李家壕煤矿危废库工程环境影响报告表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鄂尔多斯市生态环境局关于李家壕煤矿危废库工程环境影响报告表的批复_03"/>
                    <pic:cNvPicPr>
                      <a:picLocks noChangeAspect="1"/>
                    </pic:cNvPicPr>
                  </pic:nvPicPr>
                  <pic:blipFill>
                    <a:blip r:embed="rId94"/>
                    <a:stretch>
                      <a:fillRect/>
                    </a:stretch>
                  </pic:blipFill>
                  <pic:spPr>
                    <a:xfrm>
                      <a:off x="0" y="0"/>
                      <a:ext cx="6473190" cy="9154160"/>
                    </a:xfrm>
                    <a:prstGeom prst="rect">
                      <a:avLst/>
                    </a:prstGeom>
                  </pic:spPr>
                </pic:pic>
              </a:graphicData>
            </a:graphic>
          </wp:inline>
        </w:drawing>
      </w:r>
    </w:p>
    <w:p w14:paraId="50E906E3">
      <w:pPr>
        <w:jc w:val="left"/>
        <w:rPr>
          <w:rFonts w:hint="eastAsia" w:ascii="Times New Roman" w:hAnsi="Times New Roman" w:eastAsia="汉鼎简书宋" w:cs="Times New Roman"/>
          <w:color w:val="auto"/>
          <w:sz w:val="24"/>
          <w:szCs w:val="24"/>
          <w:lang w:val="en-US" w:eastAsia="zh-CN"/>
        </w:rPr>
      </w:pPr>
      <w:r>
        <w:rPr>
          <w:rFonts w:hint="eastAsia" w:ascii="Times New Roman" w:hAnsi="Times New Roman" w:eastAsia="汉鼎简书宋" w:cs="Times New Roman"/>
          <w:color w:val="auto"/>
          <w:sz w:val="24"/>
          <w:szCs w:val="24"/>
          <w:lang w:val="en-US" w:eastAsia="zh-CN"/>
        </w:rPr>
        <w:t>附件</w:t>
      </w:r>
      <w:r>
        <w:rPr>
          <w:rFonts w:hint="eastAsia" w:eastAsia="汉鼎简书宋" w:cs="Times New Roman"/>
          <w:color w:val="auto"/>
          <w:sz w:val="24"/>
          <w:szCs w:val="24"/>
          <w:lang w:val="en-US" w:eastAsia="zh-CN"/>
        </w:rPr>
        <w:t>20</w:t>
      </w:r>
      <w:r>
        <w:rPr>
          <w:rFonts w:hint="eastAsia" w:ascii="Times New Roman" w:hAnsi="Times New Roman" w:eastAsia="汉鼎简书宋" w:cs="Times New Roman"/>
          <w:color w:val="auto"/>
          <w:sz w:val="24"/>
          <w:szCs w:val="24"/>
          <w:lang w:val="en-US" w:eastAsia="zh-CN"/>
        </w:rPr>
        <w:t xml:space="preserve"> 李家壕煤矿危废库</w:t>
      </w:r>
      <w:r>
        <w:rPr>
          <w:rFonts w:hint="eastAsia" w:ascii="Times New Roman" w:hAnsi="Times New Roman" w:eastAsia="汉鼎简书宋" w:cs="Times New Roman"/>
          <w:color w:val="auto"/>
          <w:sz w:val="24"/>
          <w:szCs w:val="24"/>
          <w:highlight w:val="none"/>
          <w:lang w:val="en-US" w:eastAsia="zh-CN"/>
        </w:rPr>
        <w:t>验收</w:t>
      </w:r>
      <w:r>
        <w:rPr>
          <w:rFonts w:hint="eastAsia" w:eastAsia="汉鼎简书宋" w:cs="Times New Roman"/>
          <w:color w:val="auto"/>
          <w:sz w:val="24"/>
          <w:szCs w:val="24"/>
          <w:highlight w:val="none"/>
          <w:lang w:val="en-US" w:eastAsia="zh-CN"/>
        </w:rPr>
        <w:t>意见</w:t>
      </w:r>
    </w:p>
    <w:p w14:paraId="47693EF4">
      <w:pPr>
        <w:jc w:val="center"/>
        <w:rPr>
          <w:rFonts w:hint="default"/>
          <w:color w:val="auto"/>
          <w:lang w:val="en-US" w:eastAsia="zh-CN"/>
        </w:rPr>
      </w:pPr>
      <w:r>
        <w:rPr>
          <w:color w:val="auto"/>
        </w:rPr>
        <w:drawing>
          <wp:inline distT="0" distB="0" distL="114300" distR="114300">
            <wp:extent cx="6474460" cy="8378825"/>
            <wp:effectExtent l="0" t="0" r="2540" b="3175"/>
            <wp:docPr id="30" name="图片 30" descr="鄂尔多斯市生态环境局关于李家壕煤矿危废库工程设施竣工的批验收意见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鄂尔多斯市生态环境局关于李家壕煤矿危废库工程设施竣工的批验收意见的通知_00"/>
                    <pic:cNvPicPr>
                      <a:picLocks noChangeAspect="1"/>
                    </pic:cNvPicPr>
                  </pic:nvPicPr>
                  <pic:blipFill>
                    <a:blip r:embed="rId95"/>
                    <a:stretch>
                      <a:fillRect/>
                    </a:stretch>
                  </pic:blipFill>
                  <pic:spPr>
                    <a:xfrm>
                      <a:off x="0" y="0"/>
                      <a:ext cx="6474460" cy="8378825"/>
                    </a:xfrm>
                    <a:prstGeom prst="rect">
                      <a:avLst/>
                    </a:prstGeom>
                  </pic:spPr>
                </pic:pic>
              </a:graphicData>
            </a:graphic>
          </wp:inline>
        </w:drawing>
      </w:r>
    </w:p>
    <w:p w14:paraId="464A3ABF">
      <w:pPr>
        <w:pStyle w:val="4"/>
        <w:rPr>
          <w:color w:val="auto"/>
        </w:rPr>
      </w:pPr>
      <w:r>
        <w:rPr>
          <w:color w:val="auto"/>
        </w:rPr>
        <w:drawing>
          <wp:inline distT="0" distB="0" distL="114300" distR="114300">
            <wp:extent cx="6474460" cy="8378825"/>
            <wp:effectExtent l="0" t="0" r="2540" b="3175"/>
            <wp:docPr id="29" name="图片 29" descr="鄂尔多斯市生态环境局关于李家壕煤矿危废库工程设施竣工的批验收意见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鄂尔多斯市生态环境局关于李家壕煤矿危废库工程设施竣工的批验收意见的通知_01"/>
                    <pic:cNvPicPr>
                      <a:picLocks noChangeAspect="1"/>
                    </pic:cNvPicPr>
                  </pic:nvPicPr>
                  <pic:blipFill>
                    <a:blip r:embed="rId96"/>
                    <a:stretch>
                      <a:fillRect/>
                    </a:stretch>
                  </pic:blipFill>
                  <pic:spPr>
                    <a:xfrm>
                      <a:off x="0" y="0"/>
                      <a:ext cx="6474460" cy="8378825"/>
                    </a:xfrm>
                    <a:prstGeom prst="rect">
                      <a:avLst/>
                    </a:prstGeom>
                  </pic:spPr>
                </pic:pic>
              </a:graphicData>
            </a:graphic>
          </wp:inline>
        </w:drawing>
      </w:r>
      <w:r>
        <w:rPr>
          <w:color w:val="auto"/>
        </w:rPr>
        <w:drawing>
          <wp:inline distT="0" distB="0" distL="114300" distR="114300">
            <wp:extent cx="6474460" cy="8378825"/>
            <wp:effectExtent l="0" t="0" r="2540" b="3175"/>
            <wp:docPr id="28" name="图片 28" descr="鄂尔多斯市生态环境局关于李家壕煤矿危废库工程设施竣工的批验收意见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鄂尔多斯市生态环境局关于李家壕煤矿危废库工程设施竣工的批验收意见的通知_02"/>
                    <pic:cNvPicPr>
                      <a:picLocks noChangeAspect="1"/>
                    </pic:cNvPicPr>
                  </pic:nvPicPr>
                  <pic:blipFill>
                    <a:blip r:embed="rId97"/>
                    <a:stretch>
                      <a:fillRect/>
                    </a:stretch>
                  </pic:blipFill>
                  <pic:spPr>
                    <a:xfrm>
                      <a:off x="0" y="0"/>
                      <a:ext cx="6474460" cy="8378825"/>
                    </a:xfrm>
                    <a:prstGeom prst="rect">
                      <a:avLst/>
                    </a:prstGeom>
                  </pic:spPr>
                </pic:pic>
              </a:graphicData>
            </a:graphic>
          </wp:inline>
        </w:drawing>
      </w:r>
    </w:p>
    <w:p w14:paraId="1AA5B196">
      <w:pPr>
        <w:pStyle w:val="4"/>
        <w:rPr>
          <w:color w:val="auto"/>
        </w:rPr>
      </w:pPr>
    </w:p>
    <w:p w14:paraId="2CBBF74C">
      <w:pPr>
        <w:pStyle w:val="4"/>
        <w:rPr>
          <w:color w:val="auto"/>
        </w:rPr>
      </w:pPr>
    </w:p>
    <w:p w14:paraId="20FE9720">
      <w:pPr>
        <w:pStyle w:val="4"/>
        <w:rPr>
          <w:color w:val="auto"/>
        </w:rPr>
      </w:pPr>
    </w:p>
    <w:p w14:paraId="45806A1C">
      <w:pPr>
        <w:pStyle w:val="4"/>
        <w:rPr>
          <w:color w:val="auto"/>
        </w:rPr>
      </w:pPr>
    </w:p>
    <w:p w14:paraId="27273782">
      <w:pPr>
        <w:jc w:val="left"/>
        <w:rPr>
          <w:rFonts w:hint="default" w:ascii="Times New Roman" w:hAnsi="Times New Roman" w:eastAsia="汉鼎简书宋" w:cs="Times New Roman"/>
          <w:color w:val="auto"/>
          <w:sz w:val="24"/>
          <w:szCs w:val="24"/>
          <w:lang w:val="en-US" w:eastAsia="zh-CN"/>
        </w:rPr>
      </w:pPr>
      <w:r>
        <w:rPr>
          <w:rFonts w:hint="eastAsia" w:ascii="Times New Roman" w:hAnsi="Times New Roman" w:eastAsia="汉鼎简书宋" w:cs="Times New Roman"/>
          <w:color w:val="auto"/>
          <w:sz w:val="24"/>
          <w:szCs w:val="24"/>
          <w:lang w:val="en-US" w:eastAsia="zh-CN"/>
        </w:rPr>
        <w:t>附件</w:t>
      </w:r>
      <w:r>
        <w:rPr>
          <w:rFonts w:hint="eastAsia" w:eastAsia="汉鼎简书宋" w:cs="Times New Roman"/>
          <w:color w:val="auto"/>
          <w:sz w:val="24"/>
          <w:szCs w:val="24"/>
          <w:lang w:val="en-US" w:eastAsia="zh-CN"/>
        </w:rPr>
        <w:t>21</w:t>
      </w:r>
      <w:r>
        <w:rPr>
          <w:rFonts w:hint="eastAsia" w:ascii="Times New Roman" w:hAnsi="Times New Roman" w:eastAsia="汉鼎简书宋" w:cs="Times New Roman"/>
          <w:color w:val="auto"/>
          <w:sz w:val="24"/>
          <w:szCs w:val="24"/>
          <w:lang w:val="en-US" w:eastAsia="zh-CN"/>
        </w:rPr>
        <w:t xml:space="preserve"> 李家壕煤矿排污许可证</w:t>
      </w:r>
    </w:p>
    <w:p w14:paraId="2D561EDB">
      <w:pPr>
        <w:pStyle w:val="5"/>
        <w:rPr>
          <w:color w:val="auto"/>
        </w:rPr>
      </w:pPr>
      <w:r>
        <w:rPr>
          <w:rFonts w:hint="eastAsia" w:eastAsia="宋体"/>
          <w:color w:val="auto"/>
          <w:lang w:eastAsia="zh-CN"/>
        </w:rPr>
        <w:drawing>
          <wp:anchor distT="0" distB="0" distL="114300" distR="114300" simplePos="0" relativeHeight="251674624" behindDoc="0" locked="0" layoutInCell="1" allowOverlap="1">
            <wp:simplePos x="0" y="0"/>
            <wp:positionH relativeFrom="column">
              <wp:posOffset>-1245870</wp:posOffset>
            </wp:positionH>
            <wp:positionV relativeFrom="paragraph">
              <wp:posOffset>1397635</wp:posOffset>
            </wp:positionV>
            <wp:extent cx="8931910" cy="6315075"/>
            <wp:effectExtent l="0" t="0" r="9525" b="2540"/>
            <wp:wrapNone/>
            <wp:docPr id="39" name="图片 39" descr="李家壕煤矿排污许可证（正本）（新)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李家壕煤矿排污许可证（正本）（新)_00"/>
                    <pic:cNvPicPr>
                      <a:picLocks noChangeAspect="1"/>
                    </pic:cNvPicPr>
                  </pic:nvPicPr>
                  <pic:blipFill>
                    <a:blip r:embed="rId98"/>
                    <a:srcRect b="8798"/>
                    <a:stretch>
                      <a:fillRect/>
                    </a:stretch>
                  </pic:blipFill>
                  <pic:spPr>
                    <a:xfrm rot="16200000">
                      <a:off x="0" y="0"/>
                      <a:ext cx="8931910" cy="6315075"/>
                    </a:xfrm>
                    <a:prstGeom prst="rect">
                      <a:avLst/>
                    </a:prstGeom>
                  </pic:spPr>
                </pic:pic>
              </a:graphicData>
            </a:graphic>
          </wp:anchor>
        </w:drawing>
      </w:r>
    </w:p>
    <w:p w14:paraId="1AA5A095">
      <w:pPr>
        <w:pStyle w:val="2"/>
        <w:keepNext w:val="0"/>
        <w:keepLines w:val="0"/>
        <w:pageBreakBefore w:val="0"/>
        <w:widowControl w:val="0"/>
        <w:kinsoku/>
        <w:wordWrap/>
        <w:overflowPunct/>
        <w:topLinePunct w:val="0"/>
        <w:autoSpaceDE w:val="0"/>
        <w:autoSpaceDN w:val="0"/>
        <w:bidi w:val="0"/>
        <w:adjustRightInd w:val="0"/>
        <w:snapToGrid w:val="0"/>
        <w:ind w:firstLine="0"/>
        <w:jc w:val="left"/>
        <w:textAlignment w:val="auto"/>
        <w:rPr>
          <w:rFonts w:hint="eastAsia" w:ascii="Times New Roman" w:eastAsia="宋体" w:cs="Times New Roman"/>
          <w:color w:val="auto"/>
          <w:lang w:eastAsia="zh-CN"/>
        </w:rPr>
      </w:pPr>
    </w:p>
    <w:p w14:paraId="1FEF73F0">
      <w:pPr>
        <w:pStyle w:val="4"/>
        <w:rPr>
          <w:rFonts w:hint="eastAsia"/>
          <w:color w:val="auto"/>
          <w:lang w:eastAsia="zh-CN"/>
        </w:rPr>
        <w:sectPr>
          <w:pgSz w:w="11906" w:h="16838"/>
          <w:pgMar w:top="850" w:right="850" w:bottom="850" w:left="850" w:header="737" w:footer="765" w:gutter="0"/>
          <w:pgNumType w:fmt="numberInDash"/>
          <w:cols w:space="0" w:num="1"/>
          <w:docGrid w:type="lines" w:linePitch="312" w:charSpace="0"/>
        </w:sectPr>
      </w:pPr>
    </w:p>
    <w:p w14:paraId="64CC28C1">
      <w:pPr>
        <w:pStyle w:val="2"/>
        <w:ind w:firstLine="0"/>
        <w:rPr>
          <w:rFonts w:hint="eastAsia" w:ascii="Times New Roman" w:cs="Times New Roman"/>
          <w:color w:val="auto"/>
          <w:lang w:val="en-US" w:eastAsia="zh-CN"/>
        </w:rPr>
      </w:pPr>
      <w:r>
        <w:rPr>
          <w:rFonts w:hint="eastAsia" w:ascii="Times New Roman" w:cs="Times New Roman"/>
          <w:color w:val="auto"/>
          <w:lang w:val="en-US" w:eastAsia="zh-CN"/>
        </w:rPr>
        <w:t>附件22  煤矸石处置协议</w:t>
      </w:r>
    </w:p>
    <w:p w14:paraId="4B80E19C">
      <w:pPr>
        <w:pStyle w:val="4"/>
        <w:rPr>
          <w:rFonts w:hint="default"/>
          <w:color w:val="auto"/>
          <w:lang w:val="en-US" w:eastAsia="zh-CN"/>
        </w:rPr>
      </w:pPr>
      <w:r>
        <w:rPr>
          <w:rFonts w:hint="eastAsia" w:ascii="Times New Roman" w:eastAsia="宋体" w:cs="Times New Roman"/>
          <w:color w:val="auto"/>
          <w:lang w:eastAsia="zh-CN"/>
        </w:rPr>
        <w:drawing>
          <wp:inline distT="0" distB="0" distL="114300" distR="114300">
            <wp:extent cx="6377305" cy="9070975"/>
            <wp:effectExtent l="0" t="0" r="0" b="0"/>
            <wp:docPr id="138" name="图片 138" descr="1.李家壕煤矿煤矸石综合利用合同（扫描）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李家壕煤矿煤矸石综合利用合同（扫描）_00"/>
                    <pic:cNvPicPr>
                      <a:picLocks noChangeAspect="1"/>
                    </pic:cNvPicPr>
                  </pic:nvPicPr>
                  <pic:blipFill>
                    <a:blip r:embed="rId99"/>
                    <a:srcRect t="1947" b="2155"/>
                    <a:stretch>
                      <a:fillRect/>
                    </a:stretch>
                  </pic:blipFill>
                  <pic:spPr>
                    <a:xfrm>
                      <a:off x="0" y="0"/>
                      <a:ext cx="6377305" cy="9070975"/>
                    </a:xfrm>
                    <a:prstGeom prst="rect">
                      <a:avLst/>
                    </a:prstGeom>
                  </pic:spPr>
                </pic:pic>
              </a:graphicData>
            </a:graphic>
          </wp:inline>
        </w:drawing>
      </w:r>
    </w:p>
    <w:p w14:paraId="0CA78C3D">
      <w:pPr>
        <w:pStyle w:val="2"/>
        <w:ind w:firstLine="0"/>
        <w:jc w:val="center"/>
        <w:rPr>
          <w:rFonts w:hint="eastAsia" w:ascii="Times New Roman" w:eastAsia="宋体" w:cs="Times New Roman"/>
          <w:color w:val="auto"/>
          <w:lang w:eastAsia="zh-CN"/>
        </w:rPr>
      </w:pPr>
      <w:r>
        <w:rPr>
          <w:rFonts w:hint="eastAsia" w:ascii="Times New Roman" w:eastAsia="宋体" w:cs="Times New Roman"/>
          <w:color w:val="auto"/>
          <w:lang w:eastAsia="zh-CN"/>
        </w:rPr>
        <w:drawing>
          <wp:inline distT="0" distB="0" distL="114300" distR="114300">
            <wp:extent cx="6104255" cy="9457690"/>
            <wp:effectExtent l="0" t="0" r="10795" b="10160"/>
            <wp:docPr id="137" name="图片 137" descr="1.李家壕煤矿煤矸石综合利用合同（扫描）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1.李家壕煤矿煤矸石综合利用合同（扫描）_01"/>
                    <pic:cNvPicPr>
                      <a:picLocks noChangeAspect="1"/>
                    </pic:cNvPicPr>
                  </pic:nvPicPr>
                  <pic:blipFill>
                    <a:blip r:embed="rId100"/>
                    <a:stretch>
                      <a:fillRect/>
                    </a:stretch>
                  </pic:blipFill>
                  <pic:spPr>
                    <a:xfrm>
                      <a:off x="0" y="0"/>
                      <a:ext cx="6104255" cy="9457690"/>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320790" cy="9460230"/>
            <wp:effectExtent l="0" t="0" r="3810" b="7620"/>
            <wp:docPr id="136" name="图片 136" descr="1.李家壕煤矿煤矸石综合利用合同（扫描）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李家壕煤矿煤矸石综合利用合同（扫描）_02"/>
                    <pic:cNvPicPr>
                      <a:picLocks noChangeAspect="1"/>
                    </pic:cNvPicPr>
                  </pic:nvPicPr>
                  <pic:blipFill>
                    <a:blip r:embed="rId101"/>
                    <a:stretch>
                      <a:fillRect/>
                    </a:stretch>
                  </pic:blipFill>
                  <pic:spPr>
                    <a:xfrm>
                      <a:off x="0" y="0"/>
                      <a:ext cx="6320790" cy="9460230"/>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300470" cy="9454515"/>
            <wp:effectExtent l="0" t="0" r="5080" b="13335"/>
            <wp:docPr id="134" name="图片 134" descr="1.李家壕煤矿煤矸石综合利用合同（扫描）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1.李家壕煤矿煤矸石综合利用合同（扫描）_03"/>
                    <pic:cNvPicPr>
                      <a:picLocks noChangeAspect="1"/>
                    </pic:cNvPicPr>
                  </pic:nvPicPr>
                  <pic:blipFill>
                    <a:blip r:embed="rId102"/>
                    <a:stretch>
                      <a:fillRect/>
                    </a:stretch>
                  </pic:blipFill>
                  <pic:spPr>
                    <a:xfrm>
                      <a:off x="0" y="0"/>
                      <a:ext cx="6300470" cy="945451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071870" cy="9456420"/>
            <wp:effectExtent l="0" t="0" r="5080" b="11430"/>
            <wp:docPr id="133" name="图片 133" descr="1.李家壕煤矿煤矸石综合利用合同（扫描）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李家壕煤矿煤矸石综合利用合同（扫描）_04"/>
                    <pic:cNvPicPr>
                      <a:picLocks noChangeAspect="1"/>
                    </pic:cNvPicPr>
                  </pic:nvPicPr>
                  <pic:blipFill>
                    <a:blip r:embed="rId103"/>
                    <a:stretch>
                      <a:fillRect/>
                    </a:stretch>
                  </pic:blipFill>
                  <pic:spPr>
                    <a:xfrm>
                      <a:off x="0" y="0"/>
                      <a:ext cx="6071870" cy="9456420"/>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174740" cy="9460865"/>
            <wp:effectExtent l="0" t="0" r="16510" b="6985"/>
            <wp:docPr id="132" name="图片 132" descr="1.李家壕煤矿煤矸石综合利用合同（扫描）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1.李家壕煤矿煤矸石综合利用合同（扫描）_05"/>
                    <pic:cNvPicPr>
                      <a:picLocks noChangeAspect="1"/>
                    </pic:cNvPicPr>
                  </pic:nvPicPr>
                  <pic:blipFill>
                    <a:blip r:embed="rId104"/>
                    <a:stretch>
                      <a:fillRect/>
                    </a:stretch>
                  </pic:blipFill>
                  <pic:spPr>
                    <a:xfrm>
                      <a:off x="0" y="0"/>
                      <a:ext cx="6174740" cy="946086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155690" cy="9444355"/>
            <wp:effectExtent l="0" t="0" r="16510" b="4445"/>
            <wp:docPr id="131" name="图片 131" descr="1.李家壕煤矿煤矸石综合利用合同（扫描）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1.李家壕煤矿煤矸石综合利用合同（扫描）_06"/>
                    <pic:cNvPicPr>
                      <a:picLocks noChangeAspect="1"/>
                    </pic:cNvPicPr>
                  </pic:nvPicPr>
                  <pic:blipFill>
                    <a:blip r:embed="rId105"/>
                    <a:stretch>
                      <a:fillRect/>
                    </a:stretch>
                  </pic:blipFill>
                  <pic:spPr>
                    <a:xfrm>
                      <a:off x="0" y="0"/>
                      <a:ext cx="6155690" cy="944435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5977890" cy="9456420"/>
            <wp:effectExtent l="0" t="0" r="3810" b="11430"/>
            <wp:docPr id="130" name="图片 130" descr="1.李家壕煤矿煤矸石综合利用合同（扫描）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1.李家壕煤矿煤矸石综合利用合同（扫描）_07"/>
                    <pic:cNvPicPr>
                      <a:picLocks noChangeAspect="1"/>
                    </pic:cNvPicPr>
                  </pic:nvPicPr>
                  <pic:blipFill>
                    <a:blip r:embed="rId106"/>
                    <a:stretch>
                      <a:fillRect/>
                    </a:stretch>
                  </pic:blipFill>
                  <pic:spPr>
                    <a:xfrm>
                      <a:off x="0" y="0"/>
                      <a:ext cx="5977890" cy="9456420"/>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198870" cy="9440545"/>
            <wp:effectExtent l="0" t="0" r="11430" b="8255"/>
            <wp:docPr id="129" name="图片 129" descr="1.李家壕煤矿煤矸石综合利用合同（扫描）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1.李家壕煤矿煤矸石综合利用合同（扫描）_08"/>
                    <pic:cNvPicPr>
                      <a:picLocks noChangeAspect="1"/>
                    </pic:cNvPicPr>
                  </pic:nvPicPr>
                  <pic:blipFill>
                    <a:blip r:embed="rId107"/>
                    <a:stretch>
                      <a:fillRect/>
                    </a:stretch>
                  </pic:blipFill>
                  <pic:spPr>
                    <a:xfrm>
                      <a:off x="0" y="0"/>
                      <a:ext cx="6198870" cy="944054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5965825" cy="9458325"/>
            <wp:effectExtent l="0" t="0" r="15875" b="9525"/>
            <wp:docPr id="128" name="图片 128" descr="1.李家壕煤矿煤矸石综合利用合同（扫描）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李家壕煤矿煤矸石综合利用合同（扫描）_09"/>
                    <pic:cNvPicPr>
                      <a:picLocks noChangeAspect="1"/>
                    </pic:cNvPicPr>
                  </pic:nvPicPr>
                  <pic:blipFill>
                    <a:blip r:embed="rId108"/>
                    <a:stretch>
                      <a:fillRect/>
                    </a:stretch>
                  </pic:blipFill>
                  <pic:spPr>
                    <a:xfrm>
                      <a:off x="0" y="0"/>
                      <a:ext cx="5965825" cy="945832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231255" cy="9448800"/>
            <wp:effectExtent l="0" t="0" r="17145" b="0"/>
            <wp:docPr id="127" name="图片 127" descr="1.李家壕煤矿煤矸石综合利用合同（扫描）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李家壕煤矿煤矸石综合利用合同（扫描）_10"/>
                    <pic:cNvPicPr>
                      <a:picLocks noChangeAspect="1"/>
                    </pic:cNvPicPr>
                  </pic:nvPicPr>
                  <pic:blipFill>
                    <a:blip r:embed="rId109"/>
                    <a:stretch>
                      <a:fillRect/>
                    </a:stretch>
                  </pic:blipFill>
                  <pic:spPr>
                    <a:xfrm>
                      <a:off x="0" y="0"/>
                      <a:ext cx="6231255" cy="9448800"/>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5883910" cy="9441815"/>
            <wp:effectExtent l="0" t="0" r="2540" b="6985"/>
            <wp:docPr id="126" name="图片 126" descr="1.李家壕煤矿煤矸石综合利用合同（扫描）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1.李家壕煤矿煤矸石综合利用合同（扫描）_11"/>
                    <pic:cNvPicPr>
                      <a:picLocks noChangeAspect="1"/>
                    </pic:cNvPicPr>
                  </pic:nvPicPr>
                  <pic:blipFill>
                    <a:blip r:embed="rId110"/>
                    <a:stretch>
                      <a:fillRect/>
                    </a:stretch>
                  </pic:blipFill>
                  <pic:spPr>
                    <a:xfrm>
                      <a:off x="0" y="0"/>
                      <a:ext cx="5883910" cy="944181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141720" cy="9439275"/>
            <wp:effectExtent l="0" t="0" r="11430" b="9525"/>
            <wp:docPr id="125" name="图片 125" descr="1.李家壕煤矿煤矸石综合利用合同（扫描）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1.李家壕煤矿煤矸石综合利用合同（扫描）_12"/>
                    <pic:cNvPicPr>
                      <a:picLocks noChangeAspect="1"/>
                    </pic:cNvPicPr>
                  </pic:nvPicPr>
                  <pic:blipFill>
                    <a:blip r:embed="rId111"/>
                    <a:stretch>
                      <a:fillRect/>
                    </a:stretch>
                  </pic:blipFill>
                  <pic:spPr>
                    <a:xfrm>
                      <a:off x="0" y="0"/>
                      <a:ext cx="6141720" cy="943927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5852160" cy="9455785"/>
            <wp:effectExtent l="0" t="0" r="15240" b="12065"/>
            <wp:docPr id="124" name="图片 124" descr="1.李家壕煤矿煤矸石综合利用合同（扫描）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1.李家壕煤矿煤矸石综合利用合同（扫描）_13"/>
                    <pic:cNvPicPr>
                      <a:picLocks noChangeAspect="1"/>
                    </pic:cNvPicPr>
                  </pic:nvPicPr>
                  <pic:blipFill>
                    <a:blip r:embed="rId112"/>
                    <a:stretch>
                      <a:fillRect/>
                    </a:stretch>
                  </pic:blipFill>
                  <pic:spPr>
                    <a:xfrm>
                      <a:off x="0" y="0"/>
                      <a:ext cx="5852160" cy="945578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318885" cy="9443085"/>
            <wp:effectExtent l="0" t="0" r="5715" b="5715"/>
            <wp:docPr id="123" name="图片 123" descr="1.李家壕煤矿煤矸石综合利用合同（扫描）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1.李家壕煤矿煤矸石综合利用合同（扫描）_14"/>
                    <pic:cNvPicPr>
                      <a:picLocks noChangeAspect="1"/>
                    </pic:cNvPicPr>
                  </pic:nvPicPr>
                  <pic:blipFill>
                    <a:blip r:embed="rId113"/>
                    <a:stretch>
                      <a:fillRect/>
                    </a:stretch>
                  </pic:blipFill>
                  <pic:spPr>
                    <a:xfrm>
                      <a:off x="0" y="0"/>
                      <a:ext cx="6318885" cy="944308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114415" cy="9455785"/>
            <wp:effectExtent l="0" t="0" r="635" b="12065"/>
            <wp:docPr id="122" name="图片 122" descr="1.李家壕煤矿煤矸石综合利用合同（扫描）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1.李家壕煤矿煤矸石综合利用合同（扫描）_15"/>
                    <pic:cNvPicPr>
                      <a:picLocks noChangeAspect="1"/>
                    </pic:cNvPicPr>
                  </pic:nvPicPr>
                  <pic:blipFill>
                    <a:blip r:embed="rId114"/>
                    <a:stretch>
                      <a:fillRect/>
                    </a:stretch>
                  </pic:blipFill>
                  <pic:spPr>
                    <a:xfrm>
                      <a:off x="0" y="0"/>
                      <a:ext cx="6114415" cy="945578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5939790" cy="9455785"/>
            <wp:effectExtent l="0" t="0" r="3810" b="12065"/>
            <wp:docPr id="121" name="图片 121" descr="1.李家壕煤矿煤矸石综合利用合同（扫描）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1.李家壕煤矿煤矸石综合利用合同（扫描）_16"/>
                    <pic:cNvPicPr>
                      <a:picLocks noChangeAspect="1"/>
                    </pic:cNvPicPr>
                  </pic:nvPicPr>
                  <pic:blipFill>
                    <a:blip r:embed="rId115"/>
                    <a:stretch>
                      <a:fillRect/>
                    </a:stretch>
                  </pic:blipFill>
                  <pic:spPr>
                    <a:xfrm>
                      <a:off x="0" y="0"/>
                      <a:ext cx="5939790" cy="9455785"/>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246495" cy="9456420"/>
            <wp:effectExtent l="0" t="0" r="1905" b="11430"/>
            <wp:docPr id="120" name="图片 120" descr="1.李家壕煤矿煤矸石综合利用合同（扫描）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李家壕煤矿煤矸石综合利用合同（扫描）_17"/>
                    <pic:cNvPicPr>
                      <a:picLocks noChangeAspect="1"/>
                    </pic:cNvPicPr>
                  </pic:nvPicPr>
                  <pic:blipFill>
                    <a:blip r:embed="rId116"/>
                    <a:stretch>
                      <a:fillRect/>
                    </a:stretch>
                  </pic:blipFill>
                  <pic:spPr>
                    <a:xfrm>
                      <a:off x="0" y="0"/>
                      <a:ext cx="6246495" cy="9456420"/>
                    </a:xfrm>
                    <a:prstGeom prst="rect">
                      <a:avLst/>
                    </a:prstGeom>
                  </pic:spPr>
                </pic:pic>
              </a:graphicData>
            </a:graphic>
          </wp:inline>
        </w:drawing>
      </w:r>
      <w:r>
        <w:rPr>
          <w:rFonts w:hint="eastAsia" w:ascii="Times New Roman" w:eastAsia="宋体" w:cs="Times New Roman"/>
          <w:color w:val="auto"/>
          <w:lang w:eastAsia="zh-CN"/>
        </w:rPr>
        <w:drawing>
          <wp:inline distT="0" distB="0" distL="114300" distR="114300">
            <wp:extent cx="6236335" cy="9443085"/>
            <wp:effectExtent l="0" t="0" r="12065" b="5715"/>
            <wp:docPr id="119" name="图片 119" descr="1.李家壕煤矿煤矸石综合利用合同（扫描）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李家壕煤矿煤矸石综合利用合同（扫描）_18"/>
                    <pic:cNvPicPr>
                      <a:picLocks noChangeAspect="1"/>
                    </pic:cNvPicPr>
                  </pic:nvPicPr>
                  <pic:blipFill>
                    <a:blip r:embed="rId117"/>
                    <a:stretch>
                      <a:fillRect/>
                    </a:stretch>
                  </pic:blipFill>
                  <pic:spPr>
                    <a:xfrm>
                      <a:off x="0" y="0"/>
                      <a:ext cx="6236335" cy="9443085"/>
                    </a:xfrm>
                    <a:prstGeom prst="rect">
                      <a:avLst/>
                    </a:prstGeom>
                  </pic:spPr>
                </pic:pic>
              </a:graphicData>
            </a:graphic>
          </wp:inline>
        </w:drawing>
      </w:r>
    </w:p>
    <w:p w14:paraId="23121798">
      <w:pPr>
        <w:pStyle w:val="4"/>
        <w:rPr>
          <w:rFonts w:hint="eastAsia"/>
          <w:color w:val="auto"/>
          <w:lang w:eastAsia="zh-CN"/>
        </w:rPr>
      </w:pPr>
      <w:r>
        <w:rPr>
          <w:rFonts w:hint="eastAsia"/>
          <w:color w:val="auto"/>
          <w:lang w:eastAsia="zh-CN"/>
        </w:rPr>
        <w:drawing>
          <wp:inline distT="0" distB="0" distL="114300" distR="114300">
            <wp:extent cx="6477000" cy="9164955"/>
            <wp:effectExtent l="0" t="0" r="0" b="17145"/>
            <wp:docPr id="184" name="图片 184" descr="2.绿动与三和利协议-煤矸石提质增效综合利用项目处置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2.绿动与三和利协议-煤矸石提质增效综合利用项目处置协议_00"/>
                    <pic:cNvPicPr>
                      <a:picLocks noChangeAspect="1"/>
                    </pic:cNvPicPr>
                  </pic:nvPicPr>
                  <pic:blipFill>
                    <a:blip r:embed="rId118"/>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83" name="图片 183" descr="2.绿动与三和利协议-煤矸石提质增效综合利用项目处置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2.绿动与三和利协议-煤矸石提质增效综合利用项目处置协议_01"/>
                    <pic:cNvPicPr>
                      <a:picLocks noChangeAspect="1"/>
                    </pic:cNvPicPr>
                  </pic:nvPicPr>
                  <pic:blipFill>
                    <a:blip r:embed="rId119"/>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82" name="图片 182" descr="2.绿动与三和利协议-煤矸石提质增效综合利用项目处置协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2.绿动与三和利协议-煤矸石提质增效综合利用项目处置协议_02"/>
                    <pic:cNvPicPr>
                      <a:picLocks noChangeAspect="1"/>
                    </pic:cNvPicPr>
                  </pic:nvPicPr>
                  <pic:blipFill>
                    <a:blip r:embed="rId120"/>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81" name="图片 181" descr="2.绿动与三和利协议-煤矸石提质增效综合利用项目处置协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2.绿动与三和利协议-煤矸石提质增效综合利用项目处置协议_03"/>
                    <pic:cNvPicPr>
                      <a:picLocks noChangeAspect="1"/>
                    </pic:cNvPicPr>
                  </pic:nvPicPr>
                  <pic:blipFill>
                    <a:blip r:embed="rId121"/>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80" name="图片 180" descr="2.绿动与三和利协议-煤矸石提质增效综合利用项目处置协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2.绿动与三和利协议-煤矸石提质增效综合利用项目处置协议_04"/>
                    <pic:cNvPicPr>
                      <a:picLocks noChangeAspect="1"/>
                    </pic:cNvPicPr>
                  </pic:nvPicPr>
                  <pic:blipFill>
                    <a:blip r:embed="rId122"/>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9" name="图片 179" descr="2.绿动与三和利协议-煤矸石提质增效综合利用项目处置协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2.绿动与三和利协议-煤矸石提质增效综合利用项目处置协议_05"/>
                    <pic:cNvPicPr>
                      <a:picLocks noChangeAspect="1"/>
                    </pic:cNvPicPr>
                  </pic:nvPicPr>
                  <pic:blipFill>
                    <a:blip r:embed="rId123"/>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8" name="图片 178" descr="2.绿动与三和利协议-煤矸石提质增效综合利用项目处置协议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2.绿动与三和利协议-煤矸石提质增效综合利用项目处置协议_06"/>
                    <pic:cNvPicPr>
                      <a:picLocks noChangeAspect="1"/>
                    </pic:cNvPicPr>
                  </pic:nvPicPr>
                  <pic:blipFill>
                    <a:blip r:embed="rId124"/>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7" name="图片 177" descr="2.绿动与三和利协议-煤矸石提质增效综合利用项目处置协议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2.绿动与三和利协议-煤矸石提质增效综合利用项目处置协议_07"/>
                    <pic:cNvPicPr>
                      <a:picLocks noChangeAspect="1"/>
                    </pic:cNvPicPr>
                  </pic:nvPicPr>
                  <pic:blipFill>
                    <a:blip r:embed="rId125"/>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6" name="图片 176" descr="2.绿动与三和利协议-煤矸石提质增效综合利用项目处置协议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2.绿动与三和利协议-煤矸石提质增效综合利用项目处置协议_08"/>
                    <pic:cNvPicPr>
                      <a:picLocks noChangeAspect="1"/>
                    </pic:cNvPicPr>
                  </pic:nvPicPr>
                  <pic:blipFill>
                    <a:blip r:embed="rId126"/>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5" name="图片 175" descr="2.绿动与三和利协议-煤矸石提质增效综合利用项目处置协议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2.绿动与三和利协议-煤矸石提质增效综合利用项目处置协议_09"/>
                    <pic:cNvPicPr>
                      <a:picLocks noChangeAspect="1"/>
                    </pic:cNvPicPr>
                  </pic:nvPicPr>
                  <pic:blipFill>
                    <a:blip r:embed="rId127"/>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4" name="图片 174" descr="2.绿动与三和利协议-煤矸石提质增效综合利用项目处置协议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2.绿动与三和利协议-煤矸石提质增效综合利用项目处置协议_10"/>
                    <pic:cNvPicPr>
                      <a:picLocks noChangeAspect="1"/>
                    </pic:cNvPicPr>
                  </pic:nvPicPr>
                  <pic:blipFill>
                    <a:blip r:embed="rId128"/>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3" name="图片 173" descr="2.绿动与三和利协议-煤矸石提质增效综合利用项目处置协议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2.绿动与三和利协议-煤矸石提质增效综合利用项目处置协议_11"/>
                    <pic:cNvPicPr>
                      <a:picLocks noChangeAspect="1"/>
                    </pic:cNvPicPr>
                  </pic:nvPicPr>
                  <pic:blipFill>
                    <a:blip r:embed="rId129"/>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2" name="图片 172" descr="2.绿动与三和利协议-煤矸石提质增效综合利用项目处置协议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2.绿动与三和利协议-煤矸石提质增效综合利用项目处置协议_12"/>
                    <pic:cNvPicPr>
                      <a:picLocks noChangeAspect="1"/>
                    </pic:cNvPicPr>
                  </pic:nvPicPr>
                  <pic:blipFill>
                    <a:blip r:embed="rId130"/>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1" name="图片 171" descr="2.绿动与三和利协议-煤矸石提质增效综合利用项目处置协议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2.绿动与三和利协议-煤矸石提质增效综合利用项目处置协议_13"/>
                    <pic:cNvPicPr>
                      <a:picLocks noChangeAspect="1"/>
                    </pic:cNvPicPr>
                  </pic:nvPicPr>
                  <pic:blipFill>
                    <a:blip r:embed="rId131"/>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70" name="图片 170" descr="2.绿动与三和利协议-煤矸石提质增效综合利用项目处置协议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2.绿动与三和利协议-煤矸石提质增效综合利用项目处置协议_14"/>
                    <pic:cNvPicPr>
                      <a:picLocks noChangeAspect="1"/>
                    </pic:cNvPicPr>
                  </pic:nvPicPr>
                  <pic:blipFill>
                    <a:blip r:embed="rId132"/>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69" name="图片 169" descr="2.绿动与三和利协议-煤矸石提质增效综合利用项目处置协议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2.绿动与三和利协议-煤矸石提质增效综合利用项目处置协议_15"/>
                    <pic:cNvPicPr>
                      <a:picLocks noChangeAspect="1"/>
                    </pic:cNvPicPr>
                  </pic:nvPicPr>
                  <pic:blipFill>
                    <a:blip r:embed="rId133"/>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68" name="图片 168" descr="2.绿动与三和利协议-煤矸石提质增效综合利用项目处置协议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2.绿动与三和利协议-煤矸石提质增效综合利用项目处置协议_16"/>
                    <pic:cNvPicPr>
                      <a:picLocks noChangeAspect="1"/>
                    </pic:cNvPicPr>
                  </pic:nvPicPr>
                  <pic:blipFill>
                    <a:blip r:embed="rId134"/>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67" name="图片 167" descr="2.绿动与三和利协议-煤矸石提质增效综合利用项目处置协议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2.绿动与三和利协议-煤矸石提质增效综合利用项目处置协议_17"/>
                    <pic:cNvPicPr>
                      <a:picLocks noChangeAspect="1"/>
                    </pic:cNvPicPr>
                  </pic:nvPicPr>
                  <pic:blipFill>
                    <a:blip r:embed="rId135"/>
                    <a:stretch>
                      <a:fillRect/>
                    </a:stretch>
                  </pic:blipFill>
                  <pic:spPr>
                    <a:xfrm>
                      <a:off x="0" y="0"/>
                      <a:ext cx="6477000" cy="9164955"/>
                    </a:xfrm>
                    <a:prstGeom prst="rect">
                      <a:avLst/>
                    </a:prstGeom>
                  </pic:spPr>
                </pic:pic>
              </a:graphicData>
            </a:graphic>
          </wp:inline>
        </w:drawing>
      </w:r>
    </w:p>
    <w:p w14:paraId="00CED546">
      <w:pPr>
        <w:jc w:val="center"/>
        <w:rPr>
          <w:rFonts w:hint="eastAsia"/>
          <w:color w:val="auto"/>
          <w:lang w:eastAsia="zh-CN"/>
        </w:rPr>
      </w:pPr>
      <w:r>
        <w:rPr>
          <w:rFonts w:hint="eastAsia"/>
          <w:color w:val="auto"/>
          <w:lang w:eastAsia="zh-CN"/>
        </w:rPr>
        <w:drawing>
          <wp:inline distT="0" distB="0" distL="114300" distR="114300">
            <wp:extent cx="6475095" cy="9156700"/>
            <wp:effectExtent l="0" t="0" r="1905" b="6350"/>
            <wp:docPr id="162" name="图片 162" descr="3.内蒙古华电与三和利合作协议-内蒙古华电蒙能金通煤业有限公司利用煤矸石复垦露天采坑项目协议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3.内蒙古华电与三和利合作协议-内蒙古华电蒙能金通煤业有限公司利用煤矸石复垦露天采坑项目协议_00"/>
                    <pic:cNvPicPr>
                      <a:picLocks noChangeAspect="1"/>
                    </pic:cNvPicPr>
                  </pic:nvPicPr>
                  <pic:blipFill>
                    <a:blip r:embed="rId136"/>
                    <a:stretch>
                      <a:fillRect/>
                    </a:stretch>
                  </pic:blipFill>
                  <pic:spPr>
                    <a:xfrm>
                      <a:off x="0" y="0"/>
                      <a:ext cx="6475095" cy="9156700"/>
                    </a:xfrm>
                    <a:prstGeom prst="rect">
                      <a:avLst/>
                    </a:prstGeom>
                  </pic:spPr>
                </pic:pic>
              </a:graphicData>
            </a:graphic>
          </wp:inline>
        </w:drawing>
      </w:r>
      <w:r>
        <w:rPr>
          <w:rFonts w:hint="eastAsia"/>
          <w:color w:val="auto"/>
          <w:lang w:eastAsia="zh-CN"/>
        </w:rPr>
        <w:drawing>
          <wp:inline distT="0" distB="0" distL="114300" distR="114300">
            <wp:extent cx="6475095" cy="9156700"/>
            <wp:effectExtent l="0" t="0" r="1905" b="6350"/>
            <wp:docPr id="161" name="图片 161" descr="3.内蒙古华电与三和利合作协议-内蒙古华电蒙能金通煤业有限公司利用煤矸石复垦露天采坑项目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3.内蒙古华电与三和利合作协议-内蒙古华电蒙能金通煤业有限公司利用煤矸石复垦露天采坑项目协议_01"/>
                    <pic:cNvPicPr>
                      <a:picLocks noChangeAspect="1"/>
                    </pic:cNvPicPr>
                  </pic:nvPicPr>
                  <pic:blipFill>
                    <a:blip r:embed="rId137"/>
                    <a:stretch>
                      <a:fillRect/>
                    </a:stretch>
                  </pic:blipFill>
                  <pic:spPr>
                    <a:xfrm>
                      <a:off x="0" y="0"/>
                      <a:ext cx="6475095" cy="9156700"/>
                    </a:xfrm>
                    <a:prstGeom prst="rect">
                      <a:avLst/>
                    </a:prstGeom>
                  </pic:spPr>
                </pic:pic>
              </a:graphicData>
            </a:graphic>
          </wp:inline>
        </w:drawing>
      </w:r>
      <w:r>
        <w:rPr>
          <w:rFonts w:hint="eastAsia"/>
          <w:color w:val="auto"/>
          <w:lang w:eastAsia="zh-CN"/>
        </w:rPr>
        <w:drawing>
          <wp:inline distT="0" distB="0" distL="114300" distR="114300">
            <wp:extent cx="6475095" cy="9156700"/>
            <wp:effectExtent l="0" t="0" r="1905" b="6350"/>
            <wp:docPr id="160" name="图片 160" descr="3.内蒙古华电与三和利合作协议-内蒙古华电蒙能金通煤业有限公司利用煤矸石复垦露天采坑项目协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3.内蒙古华电与三和利合作协议-内蒙古华电蒙能金通煤业有限公司利用煤矸石复垦露天采坑项目协议_02"/>
                    <pic:cNvPicPr>
                      <a:picLocks noChangeAspect="1"/>
                    </pic:cNvPicPr>
                  </pic:nvPicPr>
                  <pic:blipFill>
                    <a:blip r:embed="rId138"/>
                    <a:stretch>
                      <a:fillRect/>
                    </a:stretch>
                  </pic:blipFill>
                  <pic:spPr>
                    <a:xfrm>
                      <a:off x="0" y="0"/>
                      <a:ext cx="6475095" cy="9156700"/>
                    </a:xfrm>
                    <a:prstGeom prst="rect">
                      <a:avLst/>
                    </a:prstGeom>
                  </pic:spPr>
                </pic:pic>
              </a:graphicData>
            </a:graphic>
          </wp:inline>
        </w:drawing>
      </w:r>
      <w:r>
        <w:rPr>
          <w:rFonts w:hint="eastAsia"/>
          <w:color w:val="auto"/>
          <w:lang w:eastAsia="zh-CN"/>
        </w:rPr>
        <w:drawing>
          <wp:inline distT="0" distB="0" distL="114300" distR="114300">
            <wp:extent cx="6475095" cy="9156700"/>
            <wp:effectExtent l="0" t="0" r="1905" b="6350"/>
            <wp:docPr id="159" name="图片 159" descr="3.内蒙古华电与三和利合作协议-内蒙古华电蒙能金通煤业有限公司利用煤矸石复垦露天采坑项目协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3.内蒙古华电与三和利合作协议-内蒙古华电蒙能金通煤业有限公司利用煤矸石复垦露天采坑项目协议_03"/>
                    <pic:cNvPicPr>
                      <a:picLocks noChangeAspect="1"/>
                    </pic:cNvPicPr>
                  </pic:nvPicPr>
                  <pic:blipFill>
                    <a:blip r:embed="rId139"/>
                    <a:stretch>
                      <a:fillRect/>
                    </a:stretch>
                  </pic:blipFill>
                  <pic:spPr>
                    <a:xfrm>
                      <a:off x="0" y="0"/>
                      <a:ext cx="6475095" cy="9156700"/>
                    </a:xfrm>
                    <a:prstGeom prst="rect">
                      <a:avLst/>
                    </a:prstGeom>
                  </pic:spPr>
                </pic:pic>
              </a:graphicData>
            </a:graphic>
          </wp:inline>
        </w:drawing>
      </w:r>
      <w:r>
        <w:rPr>
          <w:rFonts w:hint="eastAsia"/>
          <w:color w:val="auto"/>
          <w:lang w:eastAsia="zh-CN"/>
        </w:rPr>
        <w:drawing>
          <wp:inline distT="0" distB="0" distL="114300" distR="114300">
            <wp:extent cx="6473190" cy="9154160"/>
            <wp:effectExtent l="0" t="0" r="3810" b="8890"/>
            <wp:docPr id="158" name="图片 158" descr="3.内蒙古华电与三和利合作协议-内蒙古华电蒙能金通煤业有限公司利用煤矸石复垦露天采坑项目协议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3.内蒙古华电与三和利合作协议-内蒙古华电蒙能金通煤业有限公司利用煤矸石复垦露天采坑项目协议_04"/>
                    <pic:cNvPicPr>
                      <a:picLocks noChangeAspect="1"/>
                    </pic:cNvPicPr>
                  </pic:nvPicPr>
                  <pic:blipFill>
                    <a:blip r:embed="rId140"/>
                    <a:stretch>
                      <a:fillRect/>
                    </a:stretch>
                  </pic:blipFill>
                  <pic:spPr>
                    <a:xfrm>
                      <a:off x="0" y="0"/>
                      <a:ext cx="6473190" cy="9154160"/>
                    </a:xfrm>
                    <a:prstGeom prst="rect">
                      <a:avLst/>
                    </a:prstGeom>
                  </pic:spPr>
                </pic:pic>
              </a:graphicData>
            </a:graphic>
          </wp:inline>
        </w:drawing>
      </w:r>
      <w:r>
        <w:rPr>
          <w:rFonts w:hint="eastAsia"/>
          <w:color w:val="auto"/>
          <w:lang w:eastAsia="zh-CN"/>
        </w:rPr>
        <w:drawing>
          <wp:inline distT="0" distB="0" distL="114300" distR="114300">
            <wp:extent cx="6473190" cy="9154160"/>
            <wp:effectExtent l="0" t="0" r="3810" b="8890"/>
            <wp:docPr id="157" name="图片 157" descr="3.内蒙古华电与三和利合作协议-内蒙古华电蒙能金通煤业有限公司利用煤矸石复垦露天采坑项目协议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3.内蒙古华电与三和利合作协议-内蒙古华电蒙能金通煤业有限公司利用煤矸石复垦露天采坑项目协议_05"/>
                    <pic:cNvPicPr>
                      <a:picLocks noChangeAspect="1"/>
                    </pic:cNvPicPr>
                  </pic:nvPicPr>
                  <pic:blipFill>
                    <a:blip r:embed="rId141"/>
                    <a:stretch>
                      <a:fillRect/>
                    </a:stretch>
                  </pic:blipFill>
                  <pic:spPr>
                    <a:xfrm>
                      <a:off x="0" y="0"/>
                      <a:ext cx="6473190" cy="9154160"/>
                    </a:xfrm>
                    <a:prstGeom prst="rect">
                      <a:avLst/>
                    </a:prstGeom>
                  </pic:spPr>
                </pic:pic>
              </a:graphicData>
            </a:graphic>
          </wp:inline>
        </w:drawing>
      </w:r>
    </w:p>
    <w:p w14:paraId="6FF767CB">
      <w:pPr>
        <w:pStyle w:val="2"/>
        <w:ind w:firstLine="0"/>
        <w:rPr>
          <w:rFonts w:hint="default" w:ascii="Times New Roman" w:cs="Times New Roman"/>
          <w:color w:val="auto"/>
          <w:lang w:val="en-US" w:eastAsia="zh-CN"/>
        </w:rPr>
      </w:pPr>
      <w:r>
        <w:rPr>
          <w:rFonts w:hint="eastAsia" w:ascii="Times New Roman" w:cs="Times New Roman"/>
          <w:color w:val="auto"/>
          <w:lang w:val="en-US" w:eastAsia="zh-CN"/>
        </w:rPr>
        <w:t xml:space="preserve">附件23 </w:t>
      </w:r>
      <w:r>
        <w:rPr>
          <w:rFonts w:hint="default" w:ascii="Times New Roman" w:cs="Times New Roman"/>
          <w:color w:val="auto"/>
          <w:lang w:val="en-US" w:eastAsia="zh-CN"/>
        </w:rPr>
        <w:t>鄂尔多斯市金通矿业有限公司利用煤矸石复垦露天采坑项目</w:t>
      </w:r>
      <w:r>
        <w:rPr>
          <w:rFonts w:hint="eastAsia" w:ascii="Times New Roman" w:cs="Times New Roman"/>
          <w:color w:val="auto"/>
          <w:lang w:val="en-US" w:eastAsia="zh-CN"/>
        </w:rPr>
        <w:t>环境影响报告书的批复</w:t>
      </w:r>
    </w:p>
    <w:p w14:paraId="1F4833A1">
      <w:pPr>
        <w:jc w:val="center"/>
        <w:rPr>
          <w:rFonts w:hint="eastAsia"/>
          <w:color w:val="auto"/>
          <w:lang w:eastAsia="zh-CN"/>
        </w:rPr>
      </w:pPr>
      <w:r>
        <w:rPr>
          <w:rFonts w:hint="eastAsia"/>
          <w:color w:val="auto"/>
          <w:lang w:eastAsia="zh-CN"/>
        </w:rPr>
        <w:drawing>
          <wp:inline distT="0" distB="0" distL="114300" distR="114300">
            <wp:extent cx="6477000" cy="9164955"/>
            <wp:effectExtent l="0" t="0" r="0" b="17145"/>
            <wp:docPr id="188" name="图片 188" descr="4.金通矿业利用煤矸石复垦露天采坑项目环境影响批复文件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4.金通矿业利用煤矸石复垦露天采坑项目环境影响批复文件_00"/>
                    <pic:cNvPicPr>
                      <a:picLocks noChangeAspect="1"/>
                    </pic:cNvPicPr>
                  </pic:nvPicPr>
                  <pic:blipFill>
                    <a:blip r:embed="rId142"/>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87" name="图片 187" descr="4.金通矿业利用煤矸石复垦露天采坑项目环境影响批复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4.金通矿业利用煤矸石复垦露天采坑项目环境影响批复文件_01"/>
                    <pic:cNvPicPr>
                      <a:picLocks noChangeAspect="1"/>
                    </pic:cNvPicPr>
                  </pic:nvPicPr>
                  <pic:blipFill>
                    <a:blip r:embed="rId143"/>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86" name="图片 186" descr="4.金通矿业利用煤矸石复垦露天采坑项目环境影响批复文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4.金通矿业利用煤矸石复垦露天采坑项目环境影响批复文件_02"/>
                    <pic:cNvPicPr>
                      <a:picLocks noChangeAspect="1"/>
                    </pic:cNvPicPr>
                  </pic:nvPicPr>
                  <pic:blipFill>
                    <a:blip r:embed="rId144"/>
                    <a:stretch>
                      <a:fillRect/>
                    </a:stretch>
                  </pic:blipFill>
                  <pic:spPr>
                    <a:xfrm>
                      <a:off x="0" y="0"/>
                      <a:ext cx="6477000" cy="9164955"/>
                    </a:xfrm>
                    <a:prstGeom prst="rect">
                      <a:avLst/>
                    </a:prstGeom>
                  </pic:spPr>
                </pic:pic>
              </a:graphicData>
            </a:graphic>
          </wp:inline>
        </w:drawing>
      </w:r>
      <w:r>
        <w:rPr>
          <w:rFonts w:hint="eastAsia"/>
          <w:color w:val="auto"/>
          <w:lang w:eastAsia="zh-CN"/>
        </w:rPr>
        <w:drawing>
          <wp:inline distT="0" distB="0" distL="114300" distR="114300">
            <wp:extent cx="6477000" cy="9164955"/>
            <wp:effectExtent l="0" t="0" r="0" b="17145"/>
            <wp:docPr id="185" name="图片 185" descr="4.金通矿业利用煤矸石复垦露天采坑项目环境影响批复文件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4.金通矿业利用煤矸石复垦露天采坑项目环境影响批复文件_03"/>
                    <pic:cNvPicPr>
                      <a:picLocks noChangeAspect="1"/>
                    </pic:cNvPicPr>
                  </pic:nvPicPr>
                  <pic:blipFill>
                    <a:blip r:embed="rId145"/>
                    <a:stretch>
                      <a:fillRect/>
                    </a:stretch>
                  </pic:blipFill>
                  <pic:spPr>
                    <a:xfrm>
                      <a:off x="0" y="0"/>
                      <a:ext cx="6477000" cy="9164955"/>
                    </a:xfrm>
                    <a:prstGeom prst="rect">
                      <a:avLst/>
                    </a:prstGeom>
                  </pic:spPr>
                </pic:pic>
              </a:graphicData>
            </a:graphic>
          </wp:inline>
        </w:drawing>
      </w:r>
    </w:p>
    <w:sectPr>
      <w:pgSz w:w="11906" w:h="16838"/>
      <w:pgMar w:top="850" w:right="850" w:bottom="850" w:left="850" w:header="737" w:footer="765" w:gutter="0"/>
      <w:pgNumType w:fmt="numberInDash"/>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Arial Narrow">
    <w:altName w:val="Arial"/>
    <w:panose1 w:val="020B0606020202030204"/>
    <w:charset w:val="00"/>
    <w:family w:val="swiss"/>
    <w:pitch w:val="default"/>
    <w:sig w:usb0="00000000" w:usb1="00000000" w:usb2="00000000" w:usb3="00000000" w:csb0="0000009F" w:csb1="00000000"/>
  </w:font>
  <w:font w:name="汉鼎简书宋">
    <w:altName w:val="宋体"/>
    <w:panose1 w:val="00000000000000000000"/>
    <w:charset w:val="86"/>
    <w:family w:val="modern"/>
    <w:pitch w:val="default"/>
    <w:sig w:usb0="00000000" w:usb1="00000000" w:usb2="00000010" w:usb3="00000000" w:csb0="00040001" w:csb1="00000000"/>
  </w:font>
  <w:font w:name="Century">
    <w:panose1 w:val="02040604050505020304"/>
    <w:charset w:val="00"/>
    <w:family w:val="roman"/>
    <w:pitch w:val="default"/>
    <w:sig w:usb0="00000287" w:usb1="00000000" w:usb2="00000000" w:usb3="00000000" w:csb0="2000009F" w:csb1="DFD70000"/>
  </w:font>
  <w:font w:name="Cambria Math">
    <w:panose1 w:val="02040503050406030204"/>
    <w:charset w:val="00"/>
    <w:family w:val="roman"/>
    <w:pitch w:val="default"/>
    <w:sig w:usb0="E00006FF" w:usb1="420024FF" w:usb2="02000000" w:usb3="00000000" w:csb0="2000019F" w:csb1="00000000"/>
  </w:font>
  <w:font w:name="&amp;Euml">
    <w:altName w:val="Times New Roman"/>
    <w:panose1 w:val="00000000000000000000"/>
    <w:charset w:val="00"/>
    <w:family w:val="roman"/>
    <w:pitch w:val="default"/>
    <w:sig w:usb0="00000000" w:usb1="00000000" w:usb2="00000000" w:usb3="00000000" w:csb0="00040001"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DC5457">
    <w:pPr>
      <w:pStyle w:val="2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13277B">
    <w:pPr>
      <w:pStyle w:val="22"/>
      <w:framePr w:wrap="around" w:vAnchor="text" w:hAnchor="margin" w:xAlign="outside" w:y="1"/>
      <w:rPr>
        <w:rStyle w:val="33"/>
      </w:rPr>
    </w:pPr>
    <w:r>
      <w:rPr>
        <w:rStyle w:val="33"/>
      </w:rPr>
      <w:fldChar w:fldCharType="begin"/>
    </w:r>
    <w:r>
      <w:rPr>
        <w:rStyle w:val="33"/>
      </w:rPr>
      <w:instrText xml:space="preserve">PAGE  </w:instrText>
    </w:r>
    <w:r>
      <w:rPr>
        <w:rStyle w:val="33"/>
      </w:rPr>
      <w:fldChar w:fldCharType="end"/>
    </w:r>
  </w:p>
  <w:p w14:paraId="212D9238">
    <w:pPr>
      <w:pStyle w:val="22"/>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DF5E31">
    <w:pPr>
      <w:pStyle w:val="22"/>
      <w:ind w:right="360" w:firstLine="360"/>
      <w:jc w:val="center"/>
    </w:pPr>
    <w:r>
      <w:pict>
        <v:shape id="_x0000_s2049" o:spid="_x0000_s2049"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path/>
          <v:fill on="f" focussize="0,0"/>
          <v:stroke on="f" weight="0.5pt" joinstyle="miter"/>
          <v:imagedata o:title=""/>
          <o:lock v:ext="edit"/>
          <v:textbox inset="0mm,0mm,0mm,0mm" style="mso-fit-shape-to-text:t;">
            <w:txbxContent>
              <w:p w14:paraId="2BF05EBF">
                <w:pPr>
                  <w:pStyle w:val="22"/>
                  <w:jc w:val="center"/>
                </w:pPr>
                <w:r>
                  <w:fldChar w:fldCharType="begin"/>
                </w:r>
                <w:r>
                  <w:instrText xml:space="preserve"> PAGE  \* MERGEFORMAT </w:instrText>
                </w:r>
                <w:r>
                  <w:fldChar w:fldCharType="separate"/>
                </w:r>
                <w:r>
                  <w:t>- 39 -</w:t>
                </w:r>
                <w: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A7D97D">
    <w:pPr>
      <w:pStyle w:val="22"/>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A78A2E">
    <w:pPr>
      <w:pStyle w:val="22"/>
      <w:ind w:right="360" w:firstLine="360"/>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8F546C">
    <w:pPr>
      <w:pStyle w:val="22"/>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750D8E">
    <w:pPr>
      <w:pStyle w:val="2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8FCC36"/>
    <w:multiLevelType w:val="singleLevel"/>
    <w:tmpl w:val="CF8FCC36"/>
    <w:lvl w:ilvl="0" w:tentative="0">
      <w:start w:val="1"/>
      <w:numFmt w:val="decimal"/>
      <w:suff w:val="nothing"/>
      <w:lvlText w:val="%1"/>
      <w:lvlJc w:val="left"/>
      <w:pPr>
        <w:ind w:left="0" w:firstLine="0"/>
      </w:pPr>
      <w:rPr>
        <w:rFonts w:hint="default"/>
      </w:rPr>
    </w:lvl>
  </w:abstractNum>
  <w:abstractNum w:abstractNumId="1">
    <w:nsid w:val="EDE2AEC5"/>
    <w:multiLevelType w:val="singleLevel"/>
    <w:tmpl w:val="EDE2AEC5"/>
    <w:lvl w:ilvl="0" w:tentative="0">
      <w:start w:val="1"/>
      <w:numFmt w:val="bullet"/>
      <w:pStyle w:val="19"/>
      <w:lvlText w:val=""/>
      <w:lvlJc w:val="left"/>
      <w:pPr>
        <w:tabs>
          <w:tab w:val="left" w:pos="2040"/>
        </w:tabs>
        <w:ind w:left="2040" w:hanging="360"/>
      </w:pPr>
      <w:rPr>
        <w:rFonts w:hint="default" w:ascii="Wingdings" w:hAnsi="Wingding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M2M1MzQ5YjJjYTY4ZmZjN2I1YmFhNzM4MjFjYTdlY2IifQ=="/>
  </w:docVars>
  <w:rsids>
    <w:rsidRoot w:val="517544A6"/>
    <w:rsid w:val="00054EC9"/>
    <w:rsid w:val="000831D3"/>
    <w:rsid w:val="000F4261"/>
    <w:rsid w:val="0014682A"/>
    <w:rsid w:val="003109FF"/>
    <w:rsid w:val="003532FE"/>
    <w:rsid w:val="003F2B09"/>
    <w:rsid w:val="003F3E69"/>
    <w:rsid w:val="004A1496"/>
    <w:rsid w:val="005319D6"/>
    <w:rsid w:val="00581926"/>
    <w:rsid w:val="00613F06"/>
    <w:rsid w:val="00721A8A"/>
    <w:rsid w:val="0097593A"/>
    <w:rsid w:val="009C337D"/>
    <w:rsid w:val="00AD4B7B"/>
    <w:rsid w:val="00BD249E"/>
    <w:rsid w:val="00C10BC2"/>
    <w:rsid w:val="00C113A3"/>
    <w:rsid w:val="00C82916"/>
    <w:rsid w:val="00CD442B"/>
    <w:rsid w:val="00D273D9"/>
    <w:rsid w:val="00DE7E03"/>
    <w:rsid w:val="00ED7C44"/>
    <w:rsid w:val="00F21F23"/>
    <w:rsid w:val="00F52FE8"/>
    <w:rsid w:val="00F81A0A"/>
    <w:rsid w:val="00F97326"/>
    <w:rsid w:val="01172A03"/>
    <w:rsid w:val="0145478B"/>
    <w:rsid w:val="01561CE3"/>
    <w:rsid w:val="01885C73"/>
    <w:rsid w:val="018E53BB"/>
    <w:rsid w:val="0196601E"/>
    <w:rsid w:val="01A52705"/>
    <w:rsid w:val="01B262FE"/>
    <w:rsid w:val="01BD35AB"/>
    <w:rsid w:val="01C10F82"/>
    <w:rsid w:val="01CA216C"/>
    <w:rsid w:val="01E0373D"/>
    <w:rsid w:val="01E66FA5"/>
    <w:rsid w:val="01E7687A"/>
    <w:rsid w:val="020471A6"/>
    <w:rsid w:val="02154FA0"/>
    <w:rsid w:val="022655F4"/>
    <w:rsid w:val="02353A89"/>
    <w:rsid w:val="02355837"/>
    <w:rsid w:val="023C2B54"/>
    <w:rsid w:val="023D293E"/>
    <w:rsid w:val="024119BF"/>
    <w:rsid w:val="02457A2C"/>
    <w:rsid w:val="0250441F"/>
    <w:rsid w:val="025F4662"/>
    <w:rsid w:val="02753E85"/>
    <w:rsid w:val="027C5040"/>
    <w:rsid w:val="028969D5"/>
    <w:rsid w:val="02B074B6"/>
    <w:rsid w:val="02BA3F8E"/>
    <w:rsid w:val="02C07E7A"/>
    <w:rsid w:val="02CE3596"/>
    <w:rsid w:val="03027722"/>
    <w:rsid w:val="030806B1"/>
    <w:rsid w:val="03123DCA"/>
    <w:rsid w:val="03242FC9"/>
    <w:rsid w:val="03373831"/>
    <w:rsid w:val="034A5312"/>
    <w:rsid w:val="03600692"/>
    <w:rsid w:val="037178A7"/>
    <w:rsid w:val="0373691E"/>
    <w:rsid w:val="038A42AE"/>
    <w:rsid w:val="039C43AB"/>
    <w:rsid w:val="03AF0951"/>
    <w:rsid w:val="03C43707"/>
    <w:rsid w:val="03E77005"/>
    <w:rsid w:val="041B650A"/>
    <w:rsid w:val="04367644"/>
    <w:rsid w:val="043D6C25"/>
    <w:rsid w:val="04475814"/>
    <w:rsid w:val="047D5105"/>
    <w:rsid w:val="04877EA0"/>
    <w:rsid w:val="049051E5"/>
    <w:rsid w:val="04A3117E"/>
    <w:rsid w:val="04A62A1C"/>
    <w:rsid w:val="04B50EB1"/>
    <w:rsid w:val="04E050DE"/>
    <w:rsid w:val="04FC403D"/>
    <w:rsid w:val="05171224"/>
    <w:rsid w:val="052A3623"/>
    <w:rsid w:val="052F4A50"/>
    <w:rsid w:val="05370C0F"/>
    <w:rsid w:val="054F6C10"/>
    <w:rsid w:val="05551283"/>
    <w:rsid w:val="0563346C"/>
    <w:rsid w:val="0586370B"/>
    <w:rsid w:val="05946D18"/>
    <w:rsid w:val="059C7FFC"/>
    <w:rsid w:val="059D4CDE"/>
    <w:rsid w:val="05B84C19"/>
    <w:rsid w:val="05CB200E"/>
    <w:rsid w:val="05D71B18"/>
    <w:rsid w:val="05DA4ABC"/>
    <w:rsid w:val="05E25CD6"/>
    <w:rsid w:val="05EC0902"/>
    <w:rsid w:val="061A2272"/>
    <w:rsid w:val="06527FC6"/>
    <w:rsid w:val="066E0546"/>
    <w:rsid w:val="06817174"/>
    <w:rsid w:val="06C47DA6"/>
    <w:rsid w:val="06CB0518"/>
    <w:rsid w:val="06D976A1"/>
    <w:rsid w:val="06FC31AA"/>
    <w:rsid w:val="06FE6B3F"/>
    <w:rsid w:val="070954E4"/>
    <w:rsid w:val="071568AB"/>
    <w:rsid w:val="071D79A9"/>
    <w:rsid w:val="071E1F77"/>
    <w:rsid w:val="07331E42"/>
    <w:rsid w:val="073B0BC6"/>
    <w:rsid w:val="0750560A"/>
    <w:rsid w:val="07644509"/>
    <w:rsid w:val="07A86AAB"/>
    <w:rsid w:val="07B11FAD"/>
    <w:rsid w:val="07B23486"/>
    <w:rsid w:val="07B553F3"/>
    <w:rsid w:val="07EC1174"/>
    <w:rsid w:val="07EC19EA"/>
    <w:rsid w:val="07F63E15"/>
    <w:rsid w:val="08032104"/>
    <w:rsid w:val="080E5335"/>
    <w:rsid w:val="08337E2C"/>
    <w:rsid w:val="08430582"/>
    <w:rsid w:val="087C6918"/>
    <w:rsid w:val="08892439"/>
    <w:rsid w:val="08C01BD2"/>
    <w:rsid w:val="08D42534"/>
    <w:rsid w:val="08DC174E"/>
    <w:rsid w:val="09673BFD"/>
    <w:rsid w:val="09694018"/>
    <w:rsid w:val="098B3F8E"/>
    <w:rsid w:val="09A777B0"/>
    <w:rsid w:val="09AB2883"/>
    <w:rsid w:val="09D973F0"/>
    <w:rsid w:val="0A032A1B"/>
    <w:rsid w:val="0A682522"/>
    <w:rsid w:val="0A792F51"/>
    <w:rsid w:val="0AA16587"/>
    <w:rsid w:val="0AB4001B"/>
    <w:rsid w:val="0AB80291"/>
    <w:rsid w:val="0ABE495C"/>
    <w:rsid w:val="0AC2532D"/>
    <w:rsid w:val="0AD344B5"/>
    <w:rsid w:val="0B5155A0"/>
    <w:rsid w:val="0B6574A7"/>
    <w:rsid w:val="0B6E778B"/>
    <w:rsid w:val="0B9F6D1F"/>
    <w:rsid w:val="0BB06CD5"/>
    <w:rsid w:val="0BC014FA"/>
    <w:rsid w:val="0BC1638D"/>
    <w:rsid w:val="0BE562FD"/>
    <w:rsid w:val="0BEF690E"/>
    <w:rsid w:val="0C27068D"/>
    <w:rsid w:val="0C434FF4"/>
    <w:rsid w:val="0C4843B9"/>
    <w:rsid w:val="0C490294"/>
    <w:rsid w:val="0C623983"/>
    <w:rsid w:val="0C8C0749"/>
    <w:rsid w:val="0C9C373F"/>
    <w:rsid w:val="0CAA69BB"/>
    <w:rsid w:val="0CAE0F5E"/>
    <w:rsid w:val="0CB7251D"/>
    <w:rsid w:val="0CC61477"/>
    <w:rsid w:val="0CCA74C4"/>
    <w:rsid w:val="0CD8573D"/>
    <w:rsid w:val="0D2210AE"/>
    <w:rsid w:val="0D231D86"/>
    <w:rsid w:val="0D2E1801"/>
    <w:rsid w:val="0D3C19AE"/>
    <w:rsid w:val="0D4903E8"/>
    <w:rsid w:val="0D531267"/>
    <w:rsid w:val="0D5E4D07"/>
    <w:rsid w:val="0D6E4A7D"/>
    <w:rsid w:val="0D7D2ECC"/>
    <w:rsid w:val="0D8C6527"/>
    <w:rsid w:val="0D8E6743"/>
    <w:rsid w:val="0D935B07"/>
    <w:rsid w:val="0D9D0734"/>
    <w:rsid w:val="0D9E5887"/>
    <w:rsid w:val="0DD9599C"/>
    <w:rsid w:val="0DF2626F"/>
    <w:rsid w:val="0DFC545B"/>
    <w:rsid w:val="0DFE5677"/>
    <w:rsid w:val="0E032C8D"/>
    <w:rsid w:val="0E286250"/>
    <w:rsid w:val="0E38469E"/>
    <w:rsid w:val="0E3F42E4"/>
    <w:rsid w:val="0E4137B5"/>
    <w:rsid w:val="0E460DCC"/>
    <w:rsid w:val="0E472D55"/>
    <w:rsid w:val="0E4D4AA5"/>
    <w:rsid w:val="0E611C6E"/>
    <w:rsid w:val="0E7F19A8"/>
    <w:rsid w:val="0E8E5690"/>
    <w:rsid w:val="0E924011"/>
    <w:rsid w:val="0EA45BCE"/>
    <w:rsid w:val="0EB72584"/>
    <w:rsid w:val="0EF60644"/>
    <w:rsid w:val="0F0E3698"/>
    <w:rsid w:val="0F264E85"/>
    <w:rsid w:val="0F346E76"/>
    <w:rsid w:val="0F517218"/>
    <w:rsid w:val="0F706100"/>
    <w:rsid w:val="0F7D25CB"/>
    <w:rsid w:val="0FA9329A"/>
    <w:rsid w:val="0FAB4D82"/>
    <w:rsid w:val="0FC30926"/>
    <w:rsid w:val="0FC93A62"/>
    <w:rsid w:val="0FFF2388"/>
    <w:rsid w:val="1018371F"/>
    <w:rsid w:val="10240C99"/>
    <w:rsid w:val="1038173E"/>
    <w:rsid w:val="104E60CE"/>
    <w:rsid w:val="107514F4"/>
    <w:rsid w:val="107C2F3D"/>
    <w:rsid w:val="108045E0"/>
    <w:rsid w:val="109D6F15"/>
    <w:rsid w:val="10AC1E68"/>
    <w:rsid w:val="10B1608A"/>
    <w:rsid w:val="10C77FA2"/>
    <w:rsid w:val="1109296B"/>
    <w:rsid w:val="113A4C18"/>
    <w:rsid w:val="11513438"/>
    <w:rsid w:val="115832F0"/>
    <w:rsid w:val="115B3953"/>
    <w:rsid w:val="11AD138D"/>
    <w:rsid w:val="12236F11"/>
    <w:rsid w:val="122917B6"/>
    <w:rsid w:val="12353631"/>
    <w:rsid w:val="123B1977"/>
    <w:rsid w:val="123E190B"/>
    <w:rsid w:val="123F1DBA"/>
    <w:rsid w:val="12516798"/>
    <w:rsid w:val="1255711F"/>
    <w:rsid w:val="12691182"/>
    <w:rsid w:val="1281041C"/>
    <w:rsid w:val="12984A5A"/>
    <w:rsid w:val="12B1564C"/>
    <w:rsid w:val="12D60169"/>
    <w:rsid w:val="12D841CE"/>
    <w:rsid w:val="12E45AEB"/>
    <w:rsid w:val="13044F14"/>
    <w:rsid w:val="130C6140"/>
    <w:rsid w:val="13160D6D"/>
    <w:rsid w:val="1333260E"/>
    <w:rsid w:val="133E63BF"/>
    <w:rsid w:val="13992FE6"/>
    <w:rsid w:val="13B80076"/>
    <w:rsid w:val="13C133CE"/>
    <w:rsid w:val="13E31F29"/>
    <w:rsid w:val="13F007CA"/>
    <w:rsid w:val="13F51BF9"/>
    <w:rsid w:val="13F866C4"/>
    <w:rsid w:val="14005579"/>
    <w:rsid w:val="14241552"/>
    <w:rsid w:val="144B713C"/>
    <w:rsid w:val="144C328F"/>
    <w:rsid w:val="14522278"/>
    <w:rsid w:val="14755F67"/>
    <w:rsid w:val="14A47914"/>
    <w:rsid w:val="14AB3737"/>
    <w:rsid w:val="14CA0061"/>
    <w:rsid w:val="14D80741"/>
    <w:rsid w:val="14F10473"/>
    <w:rsid w:val="14F10A6A"/>
    <w:rsid w:val="14F73B5F"/>
    <w:rsid w:val="150222E5"/>
    <w:rsid w:val="1517011C"/>
    <w:rsid w:val="157F0C8A"/>
    <w:rsid w:val="157F6B8A"/>
    <w:rsid w:val="157F6D3F"/>
    <w:rsid w:val="15891CCA"/>
    <w:rsid w:val="15A00DC2"/>
    <w:rsid w:val="15BA6327"/>
    <w:rsid w:val="15DF5D8E"/>
    <w:rsid w:val="15F121B2"/>
    <w:rsid w:val="16027CCE"/>
    <w:rsid w:val="1618304E"/>
    <w:rsid w:val="161C0D90"/>
    <w:rsid w:val="16321169"/>
    <w:rsid w:val="169C3C7F"/>
    <w:rsid w:val="16C3745D"/>
    <w:rsid w:val="16CC1E75"/>
    <w:rsid w:val="16D6713E"/>
    <w:rsid w:val="16DE6045"/>
    <w:rsid w:val="16DF6DDB"/>
    <w:rsid w:val="16E66CA8"/>
    <w:rsid w:val="17023AC3"/>
    <w:rsid w:val="1706559C"/>
    <w:rsid w:val="17097232"/>
    <w:rsid w:val="17251655"/>
    <w:rsid w:val="172F064F"/>
    <w:rsid w:val="17435EA8"/>
    <w:rsid w:val="174F484D"/>
    <w:rsid w:val="17687AF5"/>
    <w:rsid w:val="17740758"/>
    <w:rsid w:val="17797B1C"/>
    <w:rsid w:val="17966F3F"/>
    <w:rsid w:val="179B7A92"/>
    <w:rsid w:val="17A52B43"/>
    <w:rsid w:val="17AC7AAE"/>
    <w:rsid w:val="17B15508"/>
    <w:rsid w:val="17BA0860"/>
    <w:rsid w:val="17C916FD"/>
    <w:rsid w:val="180C0990"/>
    <w:rsid w:val="186B1B5B"/>
    <w:rsid w:val="18775734"/>
    <w:rsid w:val="188123C3"/>
    <w:rsid w:val="1890336F"/>
    <w:rsid w:val="189270E7"/>
    <w:rsid w:val="18934C0E"/>
    <w:rsid w:val="189B3AC2"/>
    <w:rsid w:val="18B45502"/>
    <w:rsid w:val="18B623EC"/>
    <w:rsid w:val="18BB10A8"/>
    <w:rsid w:val="18BC31EC"/>
    <w:rsid w:val="18BC4BA4"/>
    <w:rsid w:val="18E90CD1"/>
    <w:rsid w:val="18F20563"/>
    <w:rsid w:val="1902223E"/>
    <w:rsid w:val="19023C3F"/>
    <w:rsid w:val="190A3122"/>
    <w:rsid w:val="19120228"/>
    <w:rsid w:val="19297C67"/>
    <w:rsid w:val="197131A1"/>
    <w:rsid w:val="19A23135"/>
    <w:rsid w:val="19AC41D9"/>
    <w:rsid w:val="1A1928E2"/>
    <w:rsid w:val="1A345F7C"/>
    <w:rsid w:val="1A587EBD"/>
    <w:rsid w:val="1A7D50B4"/>
    <w:rsid w:val="1AAD1AD0"/>
    <w:rsid w:val="1AD335A1"/>
    <w:rsid w:val="1ADC0AEE"/>
    <w:rsid w:val="1AE479A2"/>
    <w:rsid w:val="1B371A34"/>
    <w:rsid w:val="1B4548E5"/>
    <w:rsid w:val="1B4641B9"/>
    <w:rsid w:val="1B6805D3"/>
    <w:rsid w:val="1BFD0D1C"/>
    <w:rsid w:val="1C151423"/>
    <w:rsid w:val="1C2A1F48"/>
    <w:rsid w:val="1C33298F"/>
    <w:rsid w:val="1C4032FE"/>
    <w:rsid w:val="1C512C50"/>
    <w:rsid w:val="1C654B13"/>
    <w:rsid w:val="1CAE64BA"/>
    <w:rsid w:val="1CD008A6"/>
    <w:rsid w:val="1CDA763F"/>
    <w:rsid w:val="1CE24590"/>
    <w:rsid w:val="1CF739BD"/>
    <w:rsid w:val="1CFF2C03"/>
    <w:rsid w:val="1D063C00"/>
    <w:rsid w:val="1D24677C"/>
    <w:rsid w:val="1D512FF0"/>
    <w:rsid w:val="1D572BE1"/>
    <w:rsid w:val="1D901103"/>
    <w:rsid w:val="1DBF41B3"/>
    <w:rsid w:val="1DC87348"/>
    <w:rsid w:val="1DCC6FA7"/>
    <w:rsid w:val="1DD43CFE"/>
    <w:rsid w:val="1DD65CC8"/>
    <w:rsid w:val="1DE226F6"/>
    <w:rsid w:val="1E043040"/>
    <w:rsid w:val="1E544E3F"/>
    <w:rsid w:val="1E5905ED"/>
    <w:rsid w:val="1E943EE3"/>
    <w:rsid w:val="1EA732A6"/>
    <w:rsid w:val="1EB37DB8"/>
    <w:rsid w:val="1EBC0E1A"/>
    <w:rsid w:val="1EE53CE9"/>
    <w:rsid w:val="1F0D396C"/>
    <w:rsid w:val="1F1A4A51"/>
    <w:rsid w:val="1F220A99"/>
    <w:rsid w:val="1F372797"/>
    <w:rsid w:val="1F3D1928"/>
    <w:rsid w:val="1F536EA5"/>
    <w:rsid w:val="1FB71E9F"/>
    <w:rsid w:val="1FD72E25"/>
    <w:rsid w:val="20155089"/>
    <w:rsid w:val="201834D8"/>
    <w:rsid w:val="201E5705"/>
    <w:rsid w:val="203E7571"/>
    <w:rsid w:val="20476A09"/>
    <w:rsid w:val="20716766"/>
    <w:rsid w:val="208A0FEC"/>
    <w:rsid w:val="208A48B4"/>
    <w:rsid w:val="209165D3"/>
    <w:rsid w:val="20D4311C"/>
    <w:rsid w:val="20E6069B"/>
    <w:rsid w:val="2107473E"/>
    <w:rsid w:val="210E78A5"/>
    <w:rsid w:val="211865F8"/>
    <w:rsid w:val="21405125"/>
    <w:rsid w:val="215544BD"/>
    <w:rsid w:val="21661111"/>
    <w:rsid w:val="21692A51"/>
    <w:rsid w:val="216C787B"/>
    <w:rsid w:val="217C1266"/>
    <w:rsid w:val="217D0DB4"/>
    <w:rsid w:val="21B815F7"/>
    <w:rsid w:val="21CF5E82"/>
    <w:rsid w:val="21D30729"/>
    <w:rsid w:val="21FD6A0F"/>
    <w:rsid w:val="221C5C74"/>
    <w:rsid w:val="221F15F1"/>
    <w:rsid w:val="22347461"/>
    <w:rsid w:val="223517D8"/>
    <w:rsid w:val="22421B7E"/>
    <w:rsid w:val="2260049A"/>
    <w:rsid w:val="22715FC0"/>
    <w:rsid w:val="22835CF3"/>
    <w:rsid w:val="22984103"/>
    <w:rsid w:val="22B673C3"/>
    <w:rsid w:val="22C04851"/>
    <w:rsid w:val="22CA3770"/>
    <w:rsid w:val="22E73A08"/>
    <w:rsid w:val="230B2F77"/>
    <w:rsid w:val="231228C4"/>
    <w:rsid w:val="233D4315"/>
    <w:rsid w:val="23492A98"/>
    <w:rsid w:val="234939F4"/>
    <w:rsid w:val="236C180A"/>
    <w:rsid w:val="237C16B0"/>
    <w:rsid w:val="23C2284B"/>
    <w:rsid w:val="23DA1943"/>
    <w:rsid w:val="23E9602A"/>
    <w:rsid w:val="23F73DB0"/>
    <w:rsid w:val="240312C0"/>
    <w:rsid w:val="24066BDB"/>
    <w:rsid w:val="240D6BCE"/>
    <w:rsid w:val="243A0633"/>
    <w:rsid w:val="2444710E"/>
    <w:rsid w:val="24561911"/>
    <w:rsid w:val="2480073C"/>
    <w:rsid w:val="24861ACA"/>
    <w:rsid w:val="24872217"/>
    <w:rsid w:val="248D10AB"/>
    <w:rsid w:val="24AA1CEC"/>
    <w:rsid w:val="24AE34FB"/>
    <w:rsid w:val="24B228BF"/>
    <w:rsid w:val="24BC0CFB"/>
    <w:rsid w:val="24E11F9F"/>
    <w:rsid w:val="24FE03C2"/>
    <w:rsid w:val="25055842"/>
    <w:rsid w:val="251903EC"/>
    <w:rsid w:val="252A663B"/>
    <w:rsid w:val="25707715"/>
    <w:rsid w:val="25862F9E"/>
    <w:rsid w:val="258C5B68"/>
    <w:rsid w:val="25AF37D8"/>
    <w:rsid w:val="25C94365"/>
    <w:rsid w:val="25DB75F5"/>
    <w:rsid w:val="25DF6207"/>
    <w:rsid w:val="2604714B"/>
    <w:rsid w:val="262C5424"/>
    <w:rsid w:val="26404FD5"/>
    <w:rsid w:val="266B541C"/>
    <w:rsid w:val="26A54AE1"/>
    <w:rsid w:val="26BB5599"/>
    <w:rsid w:val="26C66A5A"/>
    <w:rsid w:val="27343DE2"/>
    <w:rsid w:val="2758490A"/>
    <w:rsid w:val="27710810"/>
    <w:rsid w:val="277B57A8"/>
    <w:rsid w:val="279202C9"/>
    <w:rsid w:val="279A6992"/>
    <w:rsid w:val="27A1608A"/>
    <w:rsid w:val="27A6345A"/>
    <w:rsid w:val="27B66DC9"/>
    <w:rsid w:val="27F4193C"/>
    <w:rsid w:val="28060F58"/>
    <w:rsid w:val="28066922"/>
    <w:rsid w:val="28074CD0"/>
    <w:rsid w:val="282B45DC"/>
    <w:rsid w:val="286E06FC"/>
    <w:rsid w:val="28904E90"/>
    <w:rsid w:val="28A279B8"/>
    <w:rsid w:val="28C67243"/>
    <w:rsid w:val="28F01C66"/>
    <w:rsid w:val="28F6721F"/>
    <w:rsid w:val="2901669B"/>
    <w:rsid w:val="29022526"/>
    <w:rsid w:val="290A167D"/>
    <w:rsid w:val="290A5ABA"/>
    <w:rsid w:val="29A44ECD"/>
    <w:rsid w:val="29A84CE7"/>
    <w:rsid w:val="29AD4EB0"/>
    <w:rsid w:val="29E31C2B"/>
    <w:rsid w:val="2A0F77B2"/>
    <w:rsid w:val="2A16744D"/>
    <w:rsid w:val="2A2D4EC2"/>
    <w:rsid w:val="2A3049B2"/>
    <w:rsid w:val="2A500BB0"/>
    <w:rsid w:val="2A5568FB"/>
    <w:rsid w:val="2A794DC8"/>
    <w:rsid w:val="2A7A79DE"/>
    <w:rsid w:val="2A8B3997"/>
    <w:rsid w:val="2A9036A3"/>
    <w:rsid w:val="2A946CEF"/>
    <w:rsid w:val="2AB078A1"/>
    <w:rsid w:val="2AD640D4"/>
    <w:rsid w:val="2AE449EF"/>
    <w:rsid w:val="2AF552B4"/>
    <w:rsid w:val="2B060108"/>
    <w:rsid w:val="2B0B2D29"/>
    <w:rsid w:val="2B2A1401"/>
    <w:rsid w:val="2B2B1B0B"/>
    <w:rsid w:val="2B434271"/>
    <w:rsid w:val="2B4F105E"/>
    <w:rsid w:val="2B4F1836"/>
    <w:rsid w:val="2B560448"/>
    <w:rsid w:val="2B6F32B8"/>
    <w:rsid w:val="2B9B5E5B"/>
    <w:rsid w:val="2BBB64FD"/>
    <w:rsid w:val="2BC10A67"/>
    <w:rsid w:val="2BFFF226"/>
    <w:rsid w:val="2C22657D"/>
    <w:rsid w:val="2C4E6853"/>
    <w:rsid w:val="2C602C01"/>
    <w:rsid w:val="2C7227C3"/>
    <w:rsid w:val="2C724328"/>
    <w:rsid w:val="2CBD3F75"/>
    <w:rsid w:val="2CBF201D"/>
    <w:rsid w:val="2CC80A91"/>
    <w:rsid w:val="2D097103"/>
    <w:rsid w:val="2D1934DC"/>
    <w:rsid w:val="2D1A012D"/>
    <w:rsid w:val="2D21376E"/>
    <w:rsid w:val="2D2B555B"/>
    <w:rsid w:val="2D3A675D"/>
    <w:rsid w:val="2D4338CF"/>
    <w:rsid w:val="2D546C0A"/>
    <w:rsid w:val="2D7B17C0"/>
    <w:rsid w:val="2D853E99"/>
    <w:rsid w:val="2D934409"/>
    <w:rsid w:val="2DDC694B"/>
    <w:rsid w:val="2DDF57D9"/>
    <w:rsid w:val="2E0E3E7A"/>
    <w:rsid w:val="2E33112D"/>
    <w:rsid w:val="2E5A0372"/>
    <w:rsid w:val="2E6C262B"/>
    <w:rsid w:val="2E782484"/>
    <w:rsid w:val="2E993A04"/>
    <w:rsid w:val="2E9F2106"/>
    <w:rsid w:val="2EDC2A13"/>
    <w:rsid w:val="2EE45757"/>
    <w:rsid w:val="2EEA15D4"/>
    <w:rsid w:val="2F191EB9"/>
    <w:rsid w:val="2F373384"/>
    <w:rsid w:val="2F374C5A"/>
    <w:rsid w:val="2F4F212F"/>
    <w:rsid w:val="2F633D0C"/>
    <w:rsid w:val="2F96182A"/>
    <w:rsid w:val="2FA10FC4"/>
    <w:rsid w:val="2FA379D4"/>
    <w:rsid w:val="2FC8743B"/>
    <w:rsid w:val="2FF62D3D"/>
    <w:rsid w:val="2FF722FC"/>
    <w:rsid w:val="303F6DB8"/>
    <w:rsid w:val="30416508"/>
    <w:rsid w:val="304F7BF1"/>
    <w:rsid w:val="306A65B9"/>
    <w:rsid w:val="30C30C93"/>
    <w:rsid w:val="30EE4C7F"/>
    <w:rsid w:val="30F3371F"/>
    <w:rsid w:val="30F77FD8"/>
    <w:rsid w:val="312863E3"/>
    <w:rsid w:val="313C59EB"/>
    <w:rsid w:val="31457D10"/>
    <w:rsid w:val="314F5092"/>
    <w:rsid w:val="31586F6B"/>
    <w:rsid w:val="31722E39"/>
    <w:rsid w:val="317A4765"/>
    <w:rsid w:val="31897D10"/>
    <w:rsid w:val="31921AAF"/>
    <w:rsid w:val="31A31F0E"/>
    <w:rsid w:val="31B00595"/>
    <w:rsid w:val="31C30439"/>
    <w:rsid w:val="31F33F08"/>
    <w:rsid w:val="3207424B"/>
    <w:rsid w:val="32B05ACE"/>
    <w:rsid w:val="32BF45CF"/>
    <w:rsid w:val="32CF2F48"/>
    <w:rsid w:val="32E620B2"/>
    <w:rsid w:val="32FC18D5"/>
    <w:rsid w:val="3300373A"/>
    <w:rsid w:val="33095DA0"/>
    <w:rsid w:val="333A19F2"/>
    <w:rsid w:val="334B0167"/>
    <w:rsid w:val="337413A2"/>
    <w:rsid w:val="337917E5"/>
    <w:rsid w:val="33834057"/>
    <w:rsid w:val="33C1667B"/>
    <w:rsid w:val="33D65933"/>
    <w:rsid w:val="33F374F1"/>
    <w:rsid w:val="34166891"/>
    <w:rsid w:val="342728EE"/>
    <w:rsid w:val="342C142B"/>
    <w:rsid w:val="34337579"/>
    <w:rsid w:val="343C2AF9"/>
    <w:rsid w:val="34561A0A"/>
    <w:rsid w:val="34B3484C"/>
    <w:rsid w:val="34B53459"/>
    <w:rsid w:val="34BD3731"/>
    <w:rsid w:val="34E645EB"/>
    <w:rsid w:val="34E73EBF"/>
    <w:rsid w:val="353F3CFB"/>
    <w:rsid w:val="356C2617"/>
    <w:rsid w:val="358110D5"/>
    <w:rsid w:val="35843E04"/>
    <w:rsid w:val="359A03B9"/>
    <w:rsid w:val="35BC534C"/>
    <w:rsid w:val="35BC70FA"/>
    <w:rsid w:val="35C12962"/>
    <w:rsid w:val="35D80965"/>
    <w:rsid w:val="35D837A5"/>
    <w:rsid w:val="35F1149A"/>
    <w:rsid w:val="35FB2D2C"/>
    <w:rsid w:val="36162CAE"/>
    <w:rsid w:val="361A26D3"/>
    <w:rsid w:val="361C228F"/>
    <w:rsid w:val="36284421"/>
    <w:rsid w:val="362B4280"/>
    <w:rsid w:val="363D6078"/>
    <w:rsid w:val="363E0998"/>
    <w:rsid w:val="364C0923"/>
    <w:rsid w:val="366A7ED3"/>
    <w:rsid w:val="368049F0"/>
    <w:rsid w:val="368A5943"/>
    <w:rsid w:val="369B3F26"/>
    <w:rsid w:val="36BD312A"/>
    <w:rsid w:val="36FA4EBE"/>
    <w:rsid w:val="3701395E"/>
    <w:rsid w:val="372B2789"/>
    <w:rsid w:val="373830F8"/>
    <w:rsid w:val="376E647C"/>
    <w:rsid w:val="37783C57"/>
    <w:rsid w:val="38064FA4"/>
    <w:rsid w:val="3811655F"/>
    <w:rsid w:val="38157BC2"/>
    <w:rsid w:val="381B0A50"/>
    <w:rsid w:val="38276E1B"/>
    <w:rsid w:val="382E3860"/>
    <w:rsid w:val="386C12AB"/>
    <w:rsid w:val="38765C86"/>
    <w:rsid w:val="38A26A7B"/>
    <w:rsid w:val="38B23B0C"/>
    <w:rsid w:val="38B43C74"/>
    <w:rsid w:val="38BB18EB"/>
    <w:rsid w:val="38CD7870"/>
    <w:rsid w:val="39012572"/>
    <w:rsid w:val="391334D5"/>
    <w:rsid w:val="3948248C"/>
    <w:rsid w:val="39544D20"/>
    <w:rsid w:val="39765034"/>
    <w:rsid w:val="39961BE7"/>
    <w:rsid w:val="39AA3E12"/>
    <w:rsid w:val="39B527DE"/>
    <w:rsid w:val="39BB29F6"/>
    <w:rsid w:val="39C13B7F"/>
    <w:rsid w:val="39C80BDA"/>
    <w:rsid w:val="39CC6DF4"/>
    <w:rsid w:val="39CE38A0"/>
    <w:rsid w:val="3A0078FA"/>
    <w:rsid w:val="3A073E4C"/>
    <w:rsid w:val="3A30455A"/>
    <w:rsid w:val="3A475949"/>
    <w:rsid w:val="3A4A1178"/>
    <w:rsid w:val="3A4B4EF0"/>
    <w:rsid w:val="3AD16E8E"/>
    <w:rsid w:val="3AFFBCAC"/>
    <w:rsid w:val="3B0E664A"/>
    <w:rsid w:val="3B18433F"/>
    <w:rsid w:val="3B22235D"/>
    <w:rsid w:val="3B273268"/>
    <w:rsid w:val="3B2C6AD0"/>
    <w:rsid w:val="3B375866"/>
    <w:rsid w:val="3B6A5D88"/>
    <w:rsid w:val="3B820DE6"/>
    <w:rsid w:val="3B9D508F"/>
    <w:rsid w:val="3BA40D5C"/>
    <w:rsid w:val="3BA451C7"/>
    <w:rsid w:val="3BAB20EB"/>
    <w:rsid w:val="3BCC04D8"/>
    <w:rsid w:val="3BDD7DCA"/>
    <w:rsid w:val="3BE57C6E"/>
    <w:rsid w:val="3BFD1F22"/>
    <w:rsid w:val="3BFF26C5"/>
    <w:rsid w:val="3C011D0B"/>
    <w:rsid w:val="3C040A12"/>
    <w:rsid w:val="3C283A82"/>
    <w:rsid w:val="3C5067EE"/>
    <w:rsid w:val="3C597D99"/>
    <w:rsid w:val="3C5A766D"/>
    <w:rsid w:val="3C6669DF"/>
    <w:rsid w:val="3C862210"/>
    <w:rsid w:val="3C940DD1"/>
    <w:rsid w:val="3C983125"/>
    <w:rsid w:val="3CB21257"/>
    <w:rsid w:val="3CB7686D"/>
    <w:rsid w:val="3CCE36D3"/>
    <w:rsid w:val="3CDB50AA"/>
    <w:rsid w:val="3CFC24D2"/>
    <w:rsid w:val="3CFE65DA"/>
    <w:rsid w:val="3D324146"/>
    <w:rsid w:val="3D5440BC"/>
    <w:rsid w:val="3D5577B1"/>
    <w:rsid w:val="3D5928AA"/>
    <w:rsid w:val="3D5BC4B8"/>
    <w:rsid w:val="3D931088"/>
    <w:rsid w:val="3D9F17DB"/>
    <w:rsid w:val="3DA420A1"/>
    <w:rsid w:val="3DB378A7"/>
    <w:rsid w:val="3DC41242"/>
    <w:rsid w:val="3DD403A2"/>
    <w:rsid w:val="3DD82F3F"/>
    <w:rsid w:val="3DEC5CC6"/>
    <w:rsid w:val="3DF16870"/>
    <w:rsid w:val="3DFF7B39"/>
    <w:rsid w:val="3E23240C"/>
    <w:rsid w:val="3E427218"/>
    <w:rsid w:val="3E595E2E"/>
    <w:rsid w:val="3E761888"/>
    <w:rsid w:val="3EAD4A34"/>
    <w:rsid w:val="3EC126C5"/>
    <w:rsid w:val="3EE651E8"/>
    <w:rsid w:val="3F0A35CC"/>
    <w:rsid w:val="3F2F4DE1"/>
    <w:rsid w:val="3F406FEE"/>
    <w:rsid w:val="3F5E60C6"/>
    <w:rsid w:val="3FB734BF"/>
    <w:rsid w:val="3FB778B9"/>
    <w:rsid w:val="4013200C"/>
    <w:rsid w:val="401E041B"/>
    <w:rsid w:val="403703F1"/>
    <w:rsid w:val="404A2EC7"/>
    <w:rsid w:val="405D1A2A"/>
    <w:rsid w:val="40624D42"/>
    <w:rsid w:val="407C03C3"/>
    <w:rsid w:val="40B70C98"/>
    <w:rsid w:val="40DC0B92"/>
    <w:rsid w:val="40EF2A79"/>
    <w:rsid w:val="40F70AD4"/>
    <w:rsid w:val="411E335F"/>
    <w:rsid w:val="41517290"/>
    <w:rsid w:val="415428DD"/>
    <w:rsid w:val="41C45CB4"/>
    <w:rsid w:val="424264A7"/>
    <w:rsid w:val="424961B9"/>
    <w:rsid w:val="42576000"/>
    <w:rsid w:val="425A6618"/>
    <w:rsid w:val="42602158"/>
    <w:rsid w:val="42B61086"/>
    <w:rsid w:val="42B75819"/>
    <w:rsid w:val="42BC3382"/>
    <w:rsid w:val="42BF647C"/>
    <w:rsid w:val="42C6780A"/>
    <w:rsid w:val="42DA1507"/>
    <w:rsid w:val="42F11D2D"/>
    <w:rsid w:val="43003087"/>
    <w:rsid w:val="431D0717"/>
    <w:rsid w:val="4337270C"/>
    <w:rsid w:val="433B57B2"/>
    <w:rsid w:val="4355648A"/>
    <w:rsid w:val="43996CCD"/>
    <w:rsid w:val="43BC29BB"/>
    <w:rsid w:val="43E20674"/>
    <w:rsid w:val="43FF1389"/>
    <w:rsid w:val="443E022D"/>
    <w:rsid w:val="445D5F4C"/>
    <w:rsid w:val="447C536B"/>
    <w:rsid w:val="44986F84"/>
    <w:rsid w:val="449E23DD"/>
    <w:rsid w:val="44AC7022"/>
    <w:rsid w:val="44B41139"/>
    <w:rsid w:val="44CC0C37"/>
    <w:rsid w:val="44D64101"/>
    <w:rsid w:val="45154297"/>
    <w:rsid w:val="453A1538"/>
    <w:rsid w:val="456F43A5"/>
    <w:rsid w:val="458D0AB3"/>
    <w:rsid w:val="45986F93"/>
    <w:rsid w:val="45A55DFD"/>
    <w:rsid w:val="45B53AFF"/>
    <w:rsid w:val="45B93567"/>
    <w:rsid w:val="45DE303C"/>
    <w:rsid w:val="45E702E2"/>
    <w:rsid w:val="4613358E"/>
    <w:rsid w:val="461C409C"/>
    <w:rsid w:val="461F45F4"/>
    <w:rsid w:val="46362EF9"/>
    <w:rsid w:val="4642189D"/>
    <w:rsid w:val="46440EAB"/>
    <w:rsid w:val="46790A87"/>
    <w:rsid w:val="468C2B19"/>
    <w:rsid w:val="46D0155D"/>
    <w:rsid w:val="46D62E35"/>
    <w:rsid w:val="46DC369B"/>
    <w:rsid w:val="46FA2178"/>
    <w:rsid w:val="46FC37FA"/>
    <w:rsid w:val="47424128"/>
    <w:rsid w:val="479E0D55"/>
    <w:rsid w:val="47F15C97"/>
    <w:rsid w:val="47F44E19"/>
    <w:rsid w:val="48261B1E"/>
    <w:rsid w:val="48335942"/>
    <w:rsid w:val="48343468"/>
    <w:rsid w:val="487B35EF"/>
    <w:rsid w:val="488717E9"/>
    <w:rsid w:val="48922976"/>
    <w:rsid w:val="48B325DE"/>
    <w:rsid w:val="48C77E38"/>
    <w:rsid w:val="48CC36A0"/>
    <w:rsid w:val="48D21F07"/>
    <w:rsid w:val="491A08B0"/>
    <w:rsid w:val="492029CB"/>
    <w:rsid w:val="492359B6"/>
    <w:rsid w:val="49287116"/>
    <w:rsid w:val="49420D9E"/>
    <w:rsid w:val="495D254A"/>
    <w:rsid w:val="497E69F4"/>
    <w:rsid w:val="49AB2384"/>
    <w:rsid w:val="49B06B1E"/>
    <w:rsid w:val="49B72AE5"/>
    <w:rsid w:val="49C600F0"/>
    <w:rsid w:val="4A0C3094"/>
    <w:rsid w:val="4A2A4B22"/>
    <w:rsid w:val="4A566FE4"/>
    <w:rsid w:val="4A712751"/>
    <w:rsid w:val="4A7F81BA"/>
    <w:rsid w:val="4A8561FD"/>
    <w:rsid w:val="4AA246B9"/>
    <w:rsid w:val="4AEA15BC"/>
    <w:rsid w:val="4AFC29FE"/>
    <w:rsid w:val="4B0215FB"/>
    <w:rsid w:val="4B15132F"/>
    <w:rsid w:val="4B223A4B"/>
    <w:rsid w:val="4B2C5164"/>
    <w:rsid w:val="4B5C3AD0"/>
    <w:rsid w:val="4B5C3BD5"/>
    <w:rsid w:val="4B706B53"/>
    <w:rsid w:val="4B7A104D"/>
    <w:rsid w:val="4B892032"/>
    <w:rsid w:val="4B8F3B84"/>
    <w:rsid w:val="4B9A1834"/>
    <w:rsid w:val="4BA803F5"/>
    <w:rsid w:val="4BB5666E"/>
    <w:rsid w:val="4BC44B03"/>
    <w:rsid w:val="4BD91196"/>
    <w:rsid w:val="4BEA31CF"/>
    <w:rsid w:val="4BEF7DD1"/>
    <w:rsid w:val="4BFC3821"/>
    <w:rsid w:val="4BFF5B3B"/>
    <w:rsid w:val="4C3C319E"/>
    <w:rsid w:val="4C806C7C"/>
    <w:rsid w:val="4C871DB8"/>
    <w:rsid w:val="4C895A5A"/>
    <w:rsid w:val="4C984B4D"/>
    <w:rsid w:val="4CD36635"/>
    <w:rsid w:val="4D1B0752"/>
    <w:rsid w:val="4D3116D4"/>
    <w:rsid w:val="4D37002D"/>
    <w:rsid w:val="4D3B0DF4"/>
    <w:rsid w:val="4D497A62"/>
    <w:rsid w:val="4D626381"/>
    <w:rsid w:val="4DB214EE"/>
    <w:rsid w:val="4DBC0187"/>
    <w:rsid w:val="4DD76D6F"/>
    <w:rsid w:val="4DEF230B"/>
    <w:rsid w:val="4E1870B9"/>
    <w:rsid w:val="4E1B4E0F"/>
    <w:rsid w:val="4E3008AC"/>
    <w:rsid w:val="4E451F2B"/>
    <w:rsid w:val="4E7B4F3A"/>
    <w:rsid w:val="4EC217CD"/>
    <w:rsid w:val="4ECC61A8"/>
    <w:rsid w:val="4EDE02EF"/>
    <w:rsid w:val="4F324243"/>
    <w:rsid w:val="4F35288F"/>
    <w:rsid w:val="4F495A4B"/>
    <w:rsid w:val="4F587A3C"/>
    <w:rsid w:val="4F650DE3"/>
    <w:rsid w:val="4F7505EE"/>
    <w:rsid w:val="4FC13833"/>
    <w:rsid w:val="4FFC0D47"/>
    <w:rsid w:val="50597CA2"/>
    <w:rsid w:val="50764560"/>
    <w:rsid w:val="50AB003F"/>
    <w:rsid w:val="50BA5D8C"/>
    <w:rsid w:val="50BF4786"/>
    <w:rsid w:val="50D13F4A"/>
    <w:rsid w:val="50D2381E"/>
    <w:rsid w:val="50FD6AED"/>
    <w:rsid w:val="51071719"/>
    <w:rsid w:val="510A3759"/>
    <w:rsid w:val="510C4F82"/>
    <w:rsid w:val="512D6CA6"/>
    <w:rsid w:val="513444D8"/>
    <w:rsid w:val="514F30C0"/>
    <w:rsid w:val="517544A6"/>
    <w:rsid w:val="51850890"/>
    <w:rsid w:val="51991247"/>
    <w:rsid w:val="519E175D"/>
    <w:rsid w:val="51A93B81"/>
    <w:rsid w:val="51CD2963"/>
    <w:rsid w:val="51D6733E"/>
    <w:rsid w:val="51E32E74"/>
    <w:rsid w:val="51E87F8E"/>
    <w:rsid w:val="51F77D06"/>
    <w:rsid w:val="52181704"/>
    <w:rsid w:val="521D4F6D"/>
    <w:rsid w:val="522A286E"/>
    <w:rsid w:val="524713AC"/>
    <w:rsid w:val="5268268C"/>
    <w:rsid w:val="526B3D4D"/>
    <w:rsid w:val="528D316F"/>
    <w:rsid w:val="52994922"/>
    <w:rsid w:val="529D0143"/>
    <w:rsid w:val="52D27B05"/>
    <w:rsid w:val="52D93700"/>
    <w:rsid w:val="52E57838"/>
    <w:rsid w:val="52F95C05"/>
    <w:rsid w:val="530879CB"/>
    <w:rsid w:val="530971A6"/>
    <w:rsid w:val="530F1502"/>
    <w:rsid w:val="533F3520"/>
    <w:rsid w:val="53806847"/>
    <w:rsid w:val="53945E8E"/>
    <w:rsid w:val="539D0113"/>
    <w:rsid w:val="53B1488E"/>
    <w:rsid w:val="53B35B89"/>
    <w:rsid w:val="53BF4E06"/>
    <w:rsid w:val="53C8084A"/>
    <w:rsid w:val="53C90F08"/>
    <w:rsid w:val="53CF453C"/>
    <w:rsid w:val="53D004E8"/>
    <w:rsid w:val="53DB6E8D"/>
    <w:rsid w:val="54013DDF"/>
    <w:rsid w:val="541D74A6"/>
    <w:rsid w:val="541E7226"/>
    <w:rsid w:val="542072D7"/>
    <w:rsid w:val="54324CFF"/>
    <w:rsid w:val="543A1E06"/>
    <w:rsid w:val="5440050C"/>
    <w:rsid w:val="54614638"/>
    <w:rsid w:val="546155E5"/>
    <w:rsid w:val="546F5CF7"/>
    <w:rsid w:val="546F6F25"/>
    <w:rsid w:val="54B24092"/>
    <w:rsid w:val="54B716A8"/>
    <w:rsid w:val="54D91D10"/>
    <w:rsid w:val="5512068D"/>
    <w:rsid w:val="551268DF"/>
    <w:rsid w:val="55134256"/>
    <w:rsid w:val="552A7B27"/>
    <w:rsid w:val="553A3451"/>
    <w:rsid w:val="553B7BE4"/>
    <w:rsid w:val="556F5ADF"/>
    <w:rsid w:val="55767AF9"/>
    <w:rsid w:val="558053C1"/>
    <w:rsid w:val="558B2B87"/>
    <w:rsid w:val="55A90FF1"/>
    <w:rsid w:val="55B300C2"/>
    <w:rsid w:val="56092D10"/>
    <w:rsid w:val="56286BBA"/>
    <w:rsid w:val="56474D13"/>
    <w:rsid w:val="564822B6"/>
    <w:rsid w:val="56520719"/>
    <w:rsid w:val="565D1DDC"/>
    <w:rsid w:val="566954DC"/>
    <w:rsid w:val="56BB686A"/>
    <w:rsid w:val="56BD3B57"/>
    <w:rsid w:val="56C1680E"/>
    <w:rsid w:val="56D37483"/>
    <w:rsid w:val="56F42740"/>
    <w:rsid w:val="56F52014"/>
    <w:rsid w:val="570F6B24"/>
    <w:rsid w:val="57143949"/>
    <w:rsid w:val="5745349D"/>
    <w:rsid w:val="57575742"/>
    <w:rsid w:val="57810B57"/>
    <w:rsid w:val="57964D51"/>
    <w:rsid w:val="57AC6B77"/>
    <w:rsid w:val="57D81264"/>
    <w:rsid w:val="57E05008"/>
    <w:rsid w:val="57EC7962"/>
    <w:rsid w:val="58276B45"/>
    <w:rsid w:val="582F2AD7"/>
    <w:rsid w:val="583077A8"/>
    <w:rsid w:val="58340E9D"/>
    <w:rsid w:val="583F3E8F"/>
    <w:rsid w:val="584E5E80"/>
    <w:rsid w:val="585E06F3"/>
    <w:rsid w:val="587C0C3F"/>
    <w:rsid w:val="587F6098"/>
    <w:rsid w:val="588D1034"/>
    <w:rsid w:val="5891082B"/>
    <w:rsid w:val="589917F1"/>
    <w:rsid w:val="58A921CB"/>
    <w:rsid w:val="58B34115"/>
    <w:rsid w:val="58D02D39"/>
    <w:rsid w:val="58D803A9"/>
    <w:rsid w:val="58DF4D2A"/>
    <w:rsid w:val="59101387"/>
    <w:rsid w:val="592B7F6F"/>
    <w:rsid w:val="59380C52"/>
    <w:rsid w:val="594A55D4"/>
    <w:rsid w:val="598D656A"/>
    <w:rsid w:val="59B92E3F"/>
    <w:rsid w:val="59FE7D67"/>
    <w:rsid w:val="5A025174"/>
    <w:rsid w:val="5A12021A"/>
    <w:rsid w:val="5A5453FD"/>
    <w:rsid w:val="5A800572"/>
    <w:rsid w:val="5A843DDB"/>
    <w:rsid w:val="5A8C2C8F"/>
    <w:rsid w:val="5A985AD8"/>
    <w:rsid w:val="5AA24261"/>
    <w:rsid w:val="5AA25F8B"/>
    <w:rsid w:val="5AB04526"/>
    <w:rsid w:val="5AB31059"/>
    <w:rsid w:val="5AD33626"/>
    <w:rsid w:val="5AF0321E"/>
    <w:rsid w:val="5AF2343A"/>
    <w:rsid w:val="5B0675EF"/>
    <w:rsid w:val="5B3C4628"/>
    <w:rsid w:val="5B6A221C"/>
    <w:rsid w:val="5B6C2D6A"/>
    <w:rsid w:val="5B757E56"/>
    <w:rsid w:val="5BA31A66"/>
    <w:rsid w:val="5BB73D3C"/>
    <w:rsid w:val="5BB97AB4"/>
    <w:rsid w:val="5BCA4716"/>
    <w:rsid w:val="5C221798"/>
    <w:rsid w:val="5C272C70"/>
    <w:rsid w:val="5C2A09B2"/>
    <w:rsid w:val="5C4557EC"/>
    <w:rsid w:val="5C4A09A4"/>
    <w:rsid w:val="5C515082"/>
    <w:rsid w:val="5C69009F"/>
    <w:rsid w:val="5C6C4B26"/>
    <w:rsid w:val="5C73325C"/>
    <w:rsid w:val="5C961BA3"/>
    <w:rsid w:val="5CA7614E"/>
    <w:rsid w:val="5CBF10FA"/>
    <w:rsid w:val="5CCD6BA5"/>
    <w:rsid w:val="5CF70654"/>
    <w:rsid w:val="5D0165A1"/>
    <w:rsid w:val="5D041203"/>
    <w:rsid w:val="5D4705D7"/>
    <w:rsid w:val="5D6B422A"/>
    <w:rsid w:val="5D9C4CE4"/>
    <w:rsid w:val="5DB03139"/>
    <w:rsid w:val="5DB26EB1"/>
    <w:rsid w:val="5DC7796E"/>
    <w:rsid w:val="5DCE1DE2"/>
    <w:rsid w:val="5DD51469"/>
    <w:rsid w:val="5DF179D9"/>
    <w:rsid w:val="5E1B32D4"/>
    <w:rsid w:val="5E2D78A3"/>
    <w:rsid w:val="5E2F5EF2"/>
    <w:rsid w:val="5E341674"/>
    <w:rsid w:val="5E3650C8"/>
    <w:rsid w:val="5E471DC7"/>
    <w:rsid w:val="5E895E64"/>
    <w:rsid w:val="5E9F11E3"/>
    <w:rsid w:val="5EB016E9"/>
    <w:rsid w:val="5EC0115A"/>
    <w:rsid w:val="5F047DE2"/>
    <w:rsid w:val="5F107065"/>
    <w:rsid w:val="5F1871E8"/>
    <w:rsid w:val="5F304EF5"/>
    <w:rsid w:val="5F486AB7"/>
    <w:rsid w:val="5F667D08"/>
    <w:rsid w:val="5FA865CC"/>
    <w:rsid w:val="5FBC4017"/>
    <w:rsid w:val="5FC5111D"/>
    <w:rsid w:val="5FDF31B3"/>
    <w:rsid w:val="5FE01AB3"/>
    <w:rsid w:val="5FF6E5F7"/>
    <w:rsid w:val="5FFE63DD"/>
    <w:rsid w:val="60023FC9"/>
    <w:rsid w:val="60067040"/>
    <w:rsid w:val="600D03CE"/>
    <w:rsid w:val="605C4EB2"/>
    <w:rsid w:val="60636240"/>
    <w:rsid w:val="6065020A"/>
    <w:rsid w:val="608763D3"/>
    <w:rsid w:val="60B3541A"/>
    <w:rsid w:val="60BD2BEB"/>
    <w:rsid w:val="60C74A21"/>
    <w:rsid w:val="60D515C9"/>
    <w:rsid w:val="60E2555E"/>
    <w:rsid w:val="60F667AC"/>
    <w:rsid w:val="61616707"/>
    <w:rsid w:val="61700C15"/>
    <w:rsid w:val="61831064"/>
    <w:rsid w:val="619223E3"/>
    <w:rsid w:val="61A62889"/>
    <w:rsid w:val="61AF3E33"/>
    <w:rsid w:val="61C13B66"/>
    <w:rsid w:val="61C87213"/>
    <w:rsid w:val="61F555BE"/>
    <w:rsid w:val="62005D46"/>
    <w:rsid w:val="62083956"/>
    <w:rsid w:val="62142C74"/>
    <w:rsid w:val="622F3096"/>
    <w:rsid w:val="627604AD"/>
    <w:rsid w:val="62765A2F"/>
    <w:rsid w:val="6277565D"/>
    <w:rsid w:val="627925D2"/>
    <w:rsid w:val="62816E52"/>
    <w:rsid w:val="62947AA1"/>
    <w:rsid w:val="629B6165"/>
    <w:rsid w:val="62E01C64"/>
    <w:rsid w:val="62E775FD"/>
    <w:rsid w:val="630F445E"/>
    <w:rsid w:val="63316ACA"/>
    <w:rsid w:val="63343EC4"/>
    <w:rsid w:val="633640E0"/>
    <w:rsid w:val="63387E58"/>
    <w:rsid w:val="633B34A5"/>
    <w:rsid w:val="636B1FDC"/>
    <w:rsid w:val="636B3D8A"/>
    <w:rsid w:val="63A1155A"/>
    <w:rsid w:val="63C82F8A"/>
    <w:rsid w:val="63D24729"/>
    <w:rsid w:val="63D86F45"/>
    <w:rsid w:val="63E47698"/>
    <w:rsid w:val="64095351"/>
    <w:rsid w:val="64524F4A"/>
    <w:rsid w:val="645E569D"/>
    <w:rsid w:val="647D689B"/>
    <w:rsid w:val="64804373"/>
    <w:rsid w:val="64B4350F"/>
    <w:rsid w:val="64C73242"/>
    <w:rsid w:val="64CE2822"/>
    <w:rsid w:val="64DA2ADC"/>
    <w:rsid w:val="64DC4BF4"/>
    <w:rsid w:val="64EC300F"/>
    <w:rsid w:val="64F61A81"/>
    <w:rsid w:val="65030C16"/>
    <w:rsid w:val="651D10B4"/>
    <w:rsid w:val="653308D7"/>
    <w:rsid w:val="65366619"/>
    <w:rsid w:val="654D4A40"/>
    <w:rsid w:val="65554CF2"/>
    <w:rsid w:val="65881026"/>
    <w:rsid w:val="65962C14"/>
    <w:rsid w:val="659713CB"/>
    <w:rsid w:val="65B5753E"/>
    <w:rsid w:val="65B86A3A"/>
    <w:rsid w:val="65DB21EC"/>
    <w:rsid w:val="65FA69A9"/>
    <w:rsid w:val="661A3845"/>
    <w:rsid w:val="662F6AF7"/>
    <w:rsid w:val="666F3B91"/>
    <w:rsid w:val="667C5506"/>
    <w:rsid w:val="66A575B3"/>
    <w:rsid w:val="66B613D6"/>
    <w:rsid w:val="66E6F108"/>
    <w:rsid w:val="66F127F8"/>
    <w:rsid w:val="66F35AF0"/>
    <w:rsid w:val="66F422E8"/>
    <w:rsid w:val="670C5884"/>
    <w:rsid w:val="673615F3"/>
    <w:rsid w:val="673C0BC0"/>
    <w:rsid w:val="675B5AF4"/>
    <w:rsid w:val="67636BC9"/>
    <w:rsid w:val="67885F96"/>
    <w:rsid w:val="678C10F9"/>
    <w:rsid w:val="678E0DF1"/>
    <w:rsid w:val="67E114F7"/>
    <w:rsid w:val="67EC2FBF"/>
    <w:rsid w:val="68024591"/>
    <w:rsid w:val="683E5EB1"/>
    <w:rsid w:val="6853303E"/>
    <w:rsid w:val="685A261F"/>
    <w:rsid w:val="68667CF9"/>
    <w:rsid w:val="68706575"/>
    <w:rsid w:val="687108B8"/>
    <w:rsid w:val="6873723D"/>
    <w:rsid w:val="68792AA5"/>
    <w:rsid w:val="689618A9"/>
    <w:rsid w:val="68EC14C9"/>
    <w:rsid w:val="691E53FA"/>
    <w:rsid w:val="692C5D69"/>
    <w:rsid w:val="6931512E"/>
    <w:rsid w:val="693B3D95"/>
    <w:rsid w:val="6942733B"/>
    <w:rsid w:val="694926E6"/>
    <w:rsid w:val="696B77D6"/>
    <w:rsid w:val="696D1EDE"/>
    <w:rsid w:val="69D65C6C"/>
    <w:rsid w:val="69D87E75"/>
    <w:rsid w:val="69DC0241"/>
    <w:rsid w:val="69FA7C16"/>
    <w:rsid w:val="6A0670C4"/>
    <w:rsid w:val="6A2904FB"/>
    <w:rsid w:val="6A4315BC"/>
    <w:rsid w:val="6A470981"/>
    <w:rsid w:val="6A4D41E9"/>
    <w:rsid w:val="6A505A87"/>
    <w:rsid w:val="6A7A6FA8"/>
    <w:rsid w:val="6A9218A3"/>
    <w:rsid w:val="6AB11D9A"/>
    <w:rsid w:val="6AD04A15"/>
    <w:rsid w:val="6ADF6E0B"/>
    <w:rsid w:val="6AEE063A"/>
    <w:rsid w:val="6AF940E0"/>
    <w:rsid w:val="6AFD2718"/>
    <w:rsid w:val="6B105217"/>
    <w:rsid w:val="6B3E7EF2"/>
    <w:rsid w:val="6B3E7FD6"/>
    <w:rsid w:val="6B647ABE"/>
    <w:rsid w:val="6B7B05AA"/>
    <w:rsid w:val="6B802775"/>
    <w:rsid w:val="6B863912"/>
    <w:rsid w:val="6B923E7E"/>
    <w:rsid w:val="6BA6156F"/>
    <w:rsid w:val="6BAE6CB9"/>
    <w:rsid w:val="6BD00456"/>
    <w:rsid w:val="6BD9192D"/>
    <w:rsid w:val="6BE0108D"/>
    <w:rsid w:val="6BEC17E0"/>
    <w:rsid w:val="6C3A079D"/>
    <w:rsid w:val="6C6E48EB"/>
    <w:rsid w:val="6C856090"/>
    <w:rsid w:val="6CA43E69"/>
    <w:rsid w:val="6CCB2DC7"/>
    <w:rsid w:val="6CDA3D2E"/>
    <w:rsid w:val="6CDC42EF"/>
    <w:rsid w:val="6CF91317"/>
    <w:rsid w:val="6CFD0035"/>
    <w:rsid w:val="6D3E606B"/>
    <w:rsid w:val="6D6D5995"/>
    <w:rsid w:val="6D77157D"/>
    <w:rsid w:val="6D77344D"/>
    <w:rsid w:val="6D836337"/>
    <w:rsid w:val="6D8A3AF6"/>
    <w:rsid w:val="6DCD28C7"/>
    <w:rsid w:val="6DDF784E"/>
    <w:rsid w:val="6DEF229A"/>
    <w:rsid w:val="6E00474B"/>
    <w:rsid w:val="6E0C7F17"/>
    <w:rsid w:val="6E280F9B"/>
    <w:rsid w:val="6E3B07FD"/>
    <w:rsid w:val="6E5042C4"/>
    <w:rsid w:val="6E6A2423"/>
    <w:rsid w:val="6E777A87"/>
    <w:rsid w:val="6E7A1325"/>
    <w:rsid w:val="6E7E1C21"/>
    <w:rsid w:val="6E91041D"/>
    <w:rsid w:val="6EA6211A"/>
    <w:rsid w:val="6EBE3907"/>
    <w:rsid w:val="6EBF7216"/>
    <w:rsid w:val="6EDE7E0F"/>
    <w:rsid w:val="6EF7327B"/>
    <w:rsid w:val="6F2303C2"/>
    <w:rsid w:val="6F2D6397"/>
    <w:rsid w:val="6F484F7F"/>
    <w:rsid w:val="6F583B84"/>
    <w:rsid w:val="6F637447"/>
    <w:rsid w:val="6F75727E"/>
    <w:rsid w:val="6F827C30"/>
    <w:rsid w:val="6F984159"/>
    <w:rsid w:val="6FA36659"/>
    <w:rsid w:val="6FA523D2"/>
    <w:rsid w:val="6FA83C70"/>
    <w:rsid w:val="6FB21EFB"/>
    <w:rsid w:val="6FB4197D"/>
    <w:rsid w:val="6FB865A9"/>
    <w:rsid w:val="6FF84A37"/>
    <w:rsid w:val="6FFE1769"/>
    <w:rsid w:val="700215D2"/>
    <w:rsid w:val="70111815"/>
    <w:rsid w:val="704A28B1"/>
    <w:rsid w:val="704F139A"/>
    <w:rsid w:val="707A560C"/>
    <w:rsid w:val="708741CD"/>
    <w:rsid w:val="70B0102E"/>
    <w:rsid w:val="70FA73B1"/>
    <w:rsid w:val="7100559D"/>
    <w:rsid w:val="711C501E"/>
    <w:rsid w:val="71211E57"/>
    <w:rsid w:val="712A2806"/>
    <w:rsid w:val="715D15A2"/>
    <w:rsid w:val="71606507"/>
    <w:rsid w:val="719721EE"/>
    <w:rsid w:val="71A22EB7"/>
    <w:rsid w:val="71AA5D09"/>
    <w:rsid w:val="71BB2380"/>
    <w:rsid w:val="71BC1C54"/>
    <w:rsid w:val="71D04A0D"/>
    <w:rsid w:val="71ED62B2"/>
    <w:rsid w:val="721101F2"/>
    <w:rsid w:val="722332C6"/>
    <w:rsid w:val="724F2AC9"/>
    <w:rsid w:val="72594BA8"/>
    <w:rsid w:val="72677E12"/>
    <w:rsid w:val="7276104D"/>
    <w:rsid w:val="7280599F"/>
    <w:rsid w:val="72846232"/>
    <w:rsid w:val="72C07DA8"/>
    <w:rsid w:val="72D20FEF"/>
    <w:rsid w:val="73013DC3"/>
    <w:rsid w:val="730C2768"/>
    <w:rsid w:val="731004AA"/>
    <w:rsid w:val="73114212"/>
    <w:rsid w:val="73140212"/>
    <w:rsid w:val="73640D17"/>
    <w:rsid w:val="736425A4"/>
    <w:rsid w:val="736A5E0C"/>
    <w:rsid w:val="7372081D"/>
    <w:rsid w:val="737E5413"/>
    <w:rsid w:val="73927111"/>
    <w:rsid w:val="73936FCF"/>
    <w:rsid w:val="73EB10C8"/>
    <w:rsid w:val="73FC32EF"/>
    <w:rsid w:val="740A6D83"/>
    <w:rsid w:val="7418622C"/>
    <w:rsid w:val="742C74EB"/>
    <w:rsid w:val="74566BED"/>
    <w:rsid w:val="7467234B"/>
    <w:rsid w:val="74762BCD"/>
    <w:rsid w:val="74890514"/>
    <w:rsid w:val="749705E3"/>
    <w:rsid w:val="749D5D6D"/>
    <w:rsid w:val="74B3733F"/>
    <w:rsid w:val="74FF3282"/>
    <w:rsid w:val="752C0E9F"/>
    <w:rsid w:val="754937FF"/>
    <w:rsid w:val="7553580B"/>
    <w:rsid w:val="75652C02"/>
    <w:rsid w:val="756A4739"/>
    <w:rsid w:val="757E5B9F"/>
    <w:rsid w:val="75843EDF"/>
    <w:rsid w:val="75874774"/>
    <w:rsid w:val="75A3600B"/>
    <w:rsid w:val="75B07D22"/>
    <w:rsid w:val="75B6202C"/>
    <w:rsid w:val="75B91E65"/>
    <w:rsid w:val="75BA399C"/>
    <w:rsid w:val="75C07A78"/>
    <w:rsid w:val="7625601A"/>
    <w:rsid w:val="76373F9F"/>
    <w:rsid w:val="76463CCB"/>
    <w:rsid w:val="7656207F"/>
    <w:rsid w:val="7671300D"/>
    <w:rsid w:val="76A43A24"/>
    <w:rsid w:val="7714428A"/>
    <w:rsid w:val="7715608F"/>
    <w:rsid w:val="77316C41"/>
    <w:rsid w:val="774150D6"/>
    <w:rsid w:val="77436BAC"/>
    <w:rsid w:val="774768D0"/>
    <w:rsid w:val="774B7D02"/>
    <w:rsid w:val="77651BE7"/>
    <w:rsid w:val="777E0FB0"/>
    <w:rsid w:val="778B6351"/>
    <w:rsid w:val="77921962"/>
    <w:rsid w:val="77A63DBF"/>
    <w:rsid w:val="77AD4877"/>
    <w:rsid w:val="77AD4FDD"/>
    <w:rsid w:val="77F013E7"/>
    <w:rsid w:val="77F2017E"/>
    <w:rsid w:val="77F531EC"/>
    <w:rsid w:val="780A3970"/>
    <w:rsid w:val="781F539A"/>
    <w:rsid w:val="78830507"/>
    <w:rsid w:val="789E5569"/>
    <w:rsid w:val="78C50714"/>
    <w:rsid w:val="78CE65B7"/>
    <w:rsid w:val="78D569ED"/>
    <w:rsid w:val="78D775F8"/>
    <w:rsid w:val="78D81BBF"/>
    <w:rsid w:val="78D87374"/>
    <w:rsid w:val="78DB5C48"/>
    <w:rsid w:val="79102FB2"/>
    <w:rsid w:val="792516D5"/>
    <w:rsid w:val="796C24C6"/>
    <w:rsid w:val="79892101"/>
    <w:rsid w:val="79A11E5C"/>
    <w:rsid w:val="79AD3FFF"/>
    <w:rsid w:val="79AF5CD0"/>
    <w:rsid w:val="79B6781E"/>
    <w:rsid w:val="79B85F2C"/>
    <w:rsid w:val="79E85CDC"/>
    <w:rsid w:val="79EB224B"/>
    <w:rsid w:val="79F24F42"/>
    <w:rsid w:val="7A0B27BF"/>
    <w:rsid w:val="7A1E16FE"/>
    <w:rsid w:val="7A2B3E1B"/>
    <w:rsid w:val="7A3176E5"/>
    <w:rsid w:val="7A41363F"/>
    <w:rsid w:val="7A543372"/>
    <w:rsid w:val="7A943D7D"/>
    <w:rsid w:val="7AA30CA1"/>
    <w:rsid w:val="7AA86C05"/>
    <w:rsid w:val="7AC83418"/>
    <w:rsid w:val="7B0207E5"/>
    <w:rsid w:val="7B0501C8"/>
    <w:rsid w:val="7B054DBB"/>
    <w:rsid w:val="7B292961"/>
    <w:rsid w:val="7B587A97"/>
    <w:rsid w:val="7B652283"/>
    <w:rsid w:val="7B8332A3"/>
    <w:rsid w:val="7BD328B6"/>
    <w:rsid w:val="7BE14791"/>
    <w:rsid w:val="7BF00B62"/>
    <w:rsid w:val="7BF2699E"/>
    <w:rsid w:val="7C0D6250"/>
    <w:rsid w:val="7C280AA5"/>
    <w:rsid w:val="7C3206D2"/>
    <w:rsid w:val="7C4405EC"/>
    <w:rsid w:val="7C715C38"/>
    <w:rsid w:val="7C8778F1"/>
    <w:rsid w:val="7CC36CEE"/>
    <w:rsid w:val="7CD75B94"/>
    <w:rsid w:val="7D162B61"/>
    <w:rsid w:val="7D2A6A4D"/>
    <w:rsid w:val="7D383C22"/>
    <w:rsid w:val="7D395681"/>
    <w:rsid w:val="7D3B4375"/>
    <w:rsid w:val="7D4F1BCF"/>
    <w:rsid w:val="7D5B3637"/>
    <w:rsid w:val="7D676F18"/>
    <w:rsid w:val="7D677327"/>
    <w:rsid w:val="7D831878"/>
    <w:rsid w:val="7DBF45B6"/>
    <w:rsid w:val="7DF75E7F"/>
    <w:rsid w:val="7E3808B5"/>
    <w:rsid w:val="7E582D05"/>
    <w:rsid w:val="7E584AB3"/>
    <w:rsid w:val="7E5E6C64"/>
    <w:rsid w:val="7EBB2B98"/>
    <w:rsid w:val="7EBB2BD6"/>
    <w:rsid w:val="7EBD2391"/>
    <w:rsid w:val="7EC46EEC"/>
    <w:rsid w:val="7ECA3C03"/>
    <w:rsid w:val="7EF1161D"/>
    <w:rsid w:val="7EF65E9C"/>
    <w:rsid w:val="7F315A30"/>
    <w:rsid w:val="7F392B36"/>
    <w:rsid w:val="7F470C50"/>
    <w:rsid w:val="7F587460"/>
    <w:rsid w:val="7F630F33"/>
    <w:rsid w:val="7F631454"/>
    <w:rsid w:val="7F7D6EC7"/>
    <w:rsid w:val="7FB23D9D"/>
    <w:rsid w:val="7FDD34C2"/>
    <w:rsid w:val="7FEC212C"/>
    <w:rsid w:val="8F594BF4"/>
    <w:rsid w:val="8FAFBB59"/>
    <w:rsid w:val="B7FB717C"/>
    <w:rsid w:val="C5B38584"/>
    <w:rsid w:val="DD7F0D8F"/>
    <w:rsid w:val="DFA72F52"/>
    <w:rsid w:val="ECE51686"/>
    <w:rsid w:val="EDDA383C"/>
    <w:rsid w:val="F2FDCF80"/>
    <w:rsid w:val="F6FD011D"/>
    <w:rsid w:val="FB55CFB7"/>
    <w:rsid w:val="FB5726C7"/>
    <w:rsid w:val="FECFDF8F"/>
    <w:rsid w:val="FFF711BD"/>
    <w:rsid w:val="FFFF82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_x0000_s1033"/>
        <o:r id="V:Rule2" type="connector" idref="#_x0000_s1057"/>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iPriority="9"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8">
    <w:name w:val="heading 1"/>
    <w:basedOn w:val="1"/>
    <w:next w:val="1"/>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9">
    <w:name w:val="heading 2"/>
    <w:basedOn w:val="1"/>
    <w:next w:val="1"/>
    <w:unhideWhenUsed/>
    <w:qFormat/>
    <w:uiPriority w:val="0"/>
    <w:pPr>
      <w:keepNext/>
      <w:keepLines/>
      <w:spacing w:before="260" w:after="260" w:line="416" w:lineRule="auto"/>
      <w:outlineLvl w:val="1"/>
    </w:pPr>
    <w:rPr>
      <w:rFonts w:ascii="等线 Light" w:hAnsi="等线 Light" w:eastAsia="等线 Light"/>
      <w:b/>
      <w:bCs/>
      <w:sz w:val="32"/>
      <w:szCs w:val="32"/>
    </w:rPr>
  </w:style>
  <w:style w:type="paragraph" w:styleId="10">
    <w:name w:val="heading 3"/>
    <w:basedOn w:val="1"/>
    <w:next w:val="11"/>
    <w:qFormat/>
    <w:uiPriority w:val="0"/>
    <w:pPr>
      <w:keepNext/>
      <w:keepLines/>
      <w:spacing w:before="20" w:after="20" w:line="360" w:lineRule="auto"/>
      <w:outlineLvl w:val="2"/>
    </w:pPr>
    <w:rPr>
      <w:rFonts w:ascii="宋体"/>
      <w:b/>
      <w:kern w:val="0"/>
      <w:sz w:val="28"/>
      <w:szCs w:val="20"/>
    </w:rPr>
  </w:style>
  <w:style w:type="paragraph" w:styleId="12">
    <w:name w:val="heading 4"/>
    <w:basedOn w:val="1"/>
    <w:next w:val="1"/>
    <w:unhideWhenUsed/>
    <w:qFormat/>
    <w:uiPriority w:val="9"/>
    <w:pPr>
      <w:keepNext/>
      <w:keepLines/>
      <w:spacing w:before="120" w:after="120"/>
      <w:outlineLvl w:val="3"/>
    </w:pPr>
    <w:rPr>
      <w:rFonts w:ascii="Cambria" w:hAnsi="Cambria" w:eastAsia="黑体"/>
      <w:bCs/>
      <w:szCs w:val="28"/>
    </w:rPr>
  </w:style>
  <w:style w:type="paragraph" w:styleId="13">
    <w:name w:val="heading 6"/>
    <w:basedOn w:val="1"/>
    <w:next w:val="1"/>
    <w:qFormat/>
    <w:uiPriority w:val="0"/>
    <w:pPr>
      <w:keepNext/>
      <w:keepLines/>
      <w:adjustRightInd w:val="0"/>
      <w:spacing w:line="320" w:lineRule="atLeast"/>
      <w:jc w:val="left"/>
      <w:textAlignment w:val="baseline"/>
      <w:outlineLvl w:val="5"/>
    </w:pPr>
    <w:rPr>
      <w:rFonts w:ascii="Arial" w:hAnsi="Arial" w:eastAsia="黑体"/>
      <w:b/>
      <w:sz w:val="24"/>
    </w:r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customStyle="1" w:styleId="2">
    <w:name w:val="Default"/>
    <w:basedOn w:val="3"/>
    <w:next w:val="4"/>
    <w:qFormat/>
    <w:uiPriority w:val="0"/>
    <w:pPr>
      <w:adjustRightInd w:val="0"/>
    </w:pPr>
    <w:rPr>
      <w:rFonts w:ascii="宋体" w:cs="宋体"/>
      <w:color w:val="000000"/>
      <w:sz w:val="24"/>
      <w:lang w:val="en-US"/>
    </w:rPr>
  </w:style>
  <w:style w:type="paragraph" w:customStyle="1" w:styleId="3">
    <w:name w:val="文本"/>
    <w:basedOn w:val="1"/>
    <w:next w:val="1"/>
    <w:qFormat/>
    <w:uiPriority w:val="0"/>
    <w:pPr>
      <w:autoSpaceDE w:val="0"/>
      <w:autoSpaceDN w:val="0"/>
      <w:ind w:firstLine="480"/>
    </w:pPr>
    <w:rPr>
      <w:lang w:val="zh-CN"/>
    </w:rPr>
  </w:style>
  <w:style w:type="paragraph" w:customStyle="1" w:styleId="4">
    <w:name w:val="表格文字"/>
    <w:basedOn w:val="5"/>
    <w:next w:val="1"/>
    <w:qFormat/>
    <w:uiPriority w:val="0"/>
    <w:pPr>
      <w:jc w:val="center"/>
    </w:pPr>
    <w:rPr>
      <w:rFonts w:ascii="Arial Narrow" w:hAnsi="Arial Narrow" w:eastAsia="汉鼎简书宋"/>
    </w:rPr>
  </w:style>
  <w:style w:type="paragraph" w:styleId="5">
    <w:name w:val="Body Text"/>
    <w:basedOn w:val="1"/>
    <w:next w:val="6"/>
    <w:qFormat/>
    <w:uiPriority w:val="0"/>
    <w:pPr>
      <w:widowControl/>
      <w:snapToGrid w:val="0"/>
      <w:spacing w:before="60" w:after="160" w:line="259" w:lineRule="auto"/>
      <w:ind w:right="113"/>
    </w:pPr>
    <w:rPr>
      <w:kern w:val="0"/>
      <w:szCs w:val="18"/>
    </w:rPr>
  </w:style>
  <w:style w:type="paragraph" w:customStyle="1" w:styleId="6">
    <w:name w:val="xl27"/>
    <w:basedOn w:val="1"/>
    <w:next w:val="7"/>
    <w:qFormat/>
    <w:uiPriority w:val="0"/>
    <w:pPr>
      <w:widowControl/>
      <w:spacing w:before="280" w:after="280"/>
      <w:jc w:val="center"/>
    </w:pPr>
    <w:rPr>
      <w:rFonts w:hAnsi="宋体" w:cs="宋体"/>
    </w:rPr>
  </w:style>
  <w:style w:type="paragraph" w:styleId="7">
    <w:name w:val="annotation text"/>
    <w:basedOn w:val="1"/>
    <w:next w:val="1"/>
    <w:link w:val="71"/>
    <w:semiHidden/>
    <w:qFormat/>
    <w:uiPriority w:val="0"/>
    <w:pPr>
      <w:jc w:val="left"/>
    </w:pPr>
    <w:rPr>
      <w:kern w:val="0"/>
      <w:sz w:val="20"/>
    </w:rPr>
  </w:style>
  <w:style w:type="paragraph" w:customStyle="1" w:styleId="11">
    <w:name w:val="正文中文"/>
    <w:qFormat/>
    <w:uiPriority w:val="4"/>
    <w:pPr>
      <w:spacing w:line="360" w:lineRule="auto"/>
      <w:ind w:firstLine="200" w:firstLineChars="200"/>
      <w:jc w:val="both"/>
    </w:pPr>
    <w:rPr>
      <w:rFonts w:ascii="Times New Roman" w:hAnsi="Times New Roman" w:eastAsia="宋体" w:cs="Times New Roman"/>
      <w:kern w:val="2"/>
      <w:sz w:val="24"/>
      <w:szCs w:val="28"/>
      <w:lang w:val="en-US" w:eastAsia="zh-CN" w:bidi="ar-SA"/>
    </w:rPr>
  </w:style>
  <w:style w:type="paragraph" w:styleId="14">
    <w:name w:val="Normal Indent"/>
    <w:basedOn w:val="1"/>
    <w:next w:val="1"/>
    <w:unhideWhenUsed/>
    <w:qFormat/>
    <w:uiPriority w:val="99"/>
    <w:pPr>
      <w:ind w:firstLine="420" w:firstLineChars="200"/>
    </w:pPr>
  </w:style>
  <w:style w:type="paragraph" w:styleId="15">
    <w:name w:val="caption"/>
    <w:basedOn w:val="1"/>
    <w:next w:val="1"/>
    <w:qFormat/>
    <w:uiPriority w:val="0"/>
    <w:pPr>
      <w:spacing w:beforeLines="50" w:afterLines="50" w:line="360" w:lineRule="auto"/>
      <w:ind w:firstLine="200" w:firstLineChars="200"/>
      <w:jc w:val="center"/>
    </w:pPr>
    <w:rPr>
      <w:rFonts w:ascii="Cambria" w:hAnsi="Cambria" w:eastAsia="黑体" w:cstheme="majorBidi"/>
      <w:bCs/>
      <w:sz w:val="20"/>
      <w:szCs w:val="20"/>
    </w:rPr>
  </w:style>
  <w:style w:type="paragraph" w:styleId="16">
    <w:name w:val="Body Text Indent"/>
    <w:basedOn w:val="1"/>
    <w:next w:val="1"/>
    <w:semiHidden/>
    <w:qFormat/>
    <w:uiPriority w:val="0"/>
    <w:pPr>
      <w:spacing w:after="120"/>
      <w:ind w:left="420" w:leftChars="200"/>
    </w:pPr>
  </w:style>
  <w:style w:type="paragraph" w:styleId="17">
    <w:name w:val="Block Text"/>
    <w:basedOn w:val="1"/>
    <w:qFormat/>
    <w:uiPriority w:val="0"/>
    <w:pPr>
      <w:spacing w:after="120"/>
      <w:ind w:left="1440" w:leftChars="700" w:right="1440" w:rightChars="700"/>
    </w:pPr>
  </w:style>
  <w:style w:type="paragraph" w:styleId="18">
    <w:name w:val="Plain Text"/>
    <w:basedOn w:val="1"/>
    <w:link w:val="63"/>
    <w:qFormat/>
    <w:uiPriority w:val="0"/>
    <w:rPr>
      <w:rFonts w:ascii="宋体" w:hAnsi="Courier New" w:cs="Century"/>
      <w:szCs w:val="21"/>
    </w:rPr>
  </w:style>
  <w:style w:type="paragraph" w:styleId="19">
    <w:name w:val="List Bullet 5"/>
    <w:basedOn w:val="1"/>
    <w:qFormat/>
    <w:uiPriority w:val="0"/>
    <w:pPr>
      <w:numPr>
        <w:ilvl w:val="0"/>
        <w:numId w:val="1"/>
      </w:numPr>
    </w:pPr>
  </w:style>
  <w:style w:type="paragraph" w:styleId="20">
    <w:name w:val="Body Text Indent 2"/>
    <w:basedOn w:val="1"/>
    <w:next w:val="1"/>
    <w:qFormat/>
    <w:uiPriority w:val="0"/>
    <w:pPr>
      <w:spacing w:line="360" w:lineRule="auto"/>
      <w:ind w:firstLine="624"/>
    </w:pPr>
    <w:rPr>
      <w:sz w:val="28"/>
    </w:rPr>
  </w:style>
  <w:style w:type="paragraph" w:styleId="21">
    <w:name w:val="Balloon Text"/>
    <w:basedOn w:val="1"/>
    <w:link w:val="73"/>
    <w:qFormat/>
    <w:uiPriority w:val="0"/>
    <w:rPr>
      <w:sz w:val="18"/>
      <w:szCs w:val="18"/>
    </w:rPr>
  </w:style>
  <w:style w:type="paragraph" w:styleId="22">
    <w:name w:val="footer"/>
    <w:basedOn w:val="1"/>
    <w:qFormat/>
    <w:uiPriority w:val="0"/>
    <w:pPr>
      <w:tabs>
        <w:tab w:val="center" w:pos="4153"/>
        <w:tab w:val="right" w:pos="8306"/>
      </w:tabs>
      <w:snapToGrid w:val="0"/>
      <w:jc w:val="left"/>
    </w:pPr>
    <w:rPr>
      <w:sz w:val="18"/>
      <w:szCs w:val="18"/>
    </w:rPr>
  </w:style>
  <w:style w:type="paragraph" w:styleId="23">
    <w:name w:val="header"/>
    <w:basedOn w:val="1"/>
    <w:next w:val="1"/>
    <w:qFormat/>
    <w:uiPriority w:val="0"/>
    <w:pPr>
      <w:pBdr>
        <w:bottom w:val="single" w:color="auto" w:sz="6" w:space="1"/>
      </w:pBdr>
      <w:tabs>
        <w:tab w:val="center" w:pos="4153"/>
        <w:tab w:val="right" w:pos="8306"/>
      </w:tabs>
      <w:snapToGrid w:val="0"/>
      <w:jc w:val="center"/>
    </w:pPr>
    <w:rPr>
      <w:sz w:val="18"/>
      <w:szCs w:val="18"/>
    </w:rPr>
  </w:style>
  <w:style w:type="paragraph" w:styleId="24">
    <w:name w:val="Body Text 2"/>
    <w:basedOn w:val="1"/>
    <w:qFormat/>
    <w:uiPriority w:val="0"/>
    <w:pPr>
      <w:jc w:val="center"/>
    </w:pPr>
    <w:rPr>
      <w:rFonts w:ascii="宋体"/>
    </w:rPr>
  </w:style>
  <w:style w:type="paragraph" w:styleId="25">
    <w:name w:val="Normal (Web)"/>
    <w:basedOn w:val="1"/>
    <w:qFormat/>
    <w:uiPriority w:val="0"/>
    <w:pPr>
      <w:widowControl/>
      <w:spacing w:before="100" w:beforeAutospacing="1" w:after="100" w:afterAutospacing="1"/>
      <w:jc w:val="left"/>
    </w:pPr>
    <w:rPr>
      <w:rFonts w:ascii="宋体" w:hAnsi="宋体"/>
      <w:kern w:val="0"/>
      <w:sz w:val="24"/>
    </w:rPr>
  </w:style>
  <w:style w:type="paragraph" w:styleId="26">
    <w:name w:val="annotation subject"/>
    <w:basedOn w:val="7"/>
    <w:next w:val="7"/>
    <w:link w:val="72"/>
    <w:qFormat/>
    <w:uiPriority w:val="0"/>
    <w:rPr>
      <w:b/>
      <w:bCs/>
      <w:kern w:val="2"/>
      <w:sz w:val="21"/>
    </w:rPr>
  </w:style>
  <w:style w:type="paragraph" w:styleId="27">
    <w:name w:val="Body Text First Indent"/>
    <w:basedOn w:val="5"/>
    <w:next w:val="1"/>
    <w:qFormat/>
    <w:uiPriority w:val="0"/>
    <w:pPr>
      <w:ind w:firstLine="420" w:firstLineChars="100"/>
    </w:pPr>
  </w:style>
  <w:style w:type="paragraph" w:styleId="28">
    <w:name w:val="Body Text First Indent 2"/>
    <w:basedOn w:val="16"/>
    <w:next w:val="2"/>
    <w:unhideWhenUsed/>
    <w:qFormat/>
    <w:uiPriority w:val="0"/>
    <w:pPr>
      <w:tabs>
        <w:tab w:val="left" w:pos="360"/>
        <w:tab w:val="left" w:pos="900"/>
      </w:tabs>
      <w:ind w:firstLine="420"/>
    </w:p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2">
    <w:name w:val="Strong"/>
    <w:basedOn w:val="31"/>
    <w:qFormat/>
    <w:uiPriority w:val="0"/>
    <w:rPr>
      <w:b/>
    </w:rPr>
  </w:style>
  <w:style w:type="character" w:styleId="33">
    <w:name w:val="page number"/>
    <w:basedOn w:val="31"/>
    <w:qFormat/>
    <w:uiPriority w:val="0"/>
  </w:style>
  <w:style w:type="character" w:styleId="34">
    <w:name w:val="annotation reference"/>
    <w:basedOn w:val="31"/>
    <w:semiHidden/>
    <w:qFormat/>
    <w:uiPriority w:val="0"/>
    <w:rPr>
      <w:sz w:val="21"/>
    </w:rPr>
  </w:style>
  <w:style w:type="paragraph" w:customStyle="1" w:styleId="35">
    <w:name w:val="[1]正文"/>
    <w:basedOn w:val="1"/>
    <w:qFormat/>
    <w:uiPriority w:val="0"/>
    <w:pPr>
      <w:snapToGrid w:val="0"/>
      <w:spacing w:line="360" w:lineRule="auto"/>
      <w:ind w:firstLine="200" w:firstLineChars="200"/>
    </w:pPr>
    <w:rPr>
      <w:rFonts w:cs="Calibri"/>
      <w:kern w:val="0"/>
      <w:sz w:val="24"/>
      <w:szCs w:val="28"/>
    </w:rPr>
  </w:style>
  <w:style w:type="paragraph" w:customStyle="1" w:styleId="36">
    <w:name w:val="样式5"/>
    <w:basedOn w:val="1"/>
    <w:qFormat/>
    <w:uiPriority w:val="0"/>
    <w:pPr>
      <w:snapToGrid w:val="0"/>
      <w:spacing w:line="360" w:lineRule="auto"/>
      <w:ind w:firstLine="480" w:firstLineChars="200"/>
    </w:pPr>
  </w:style>
  <w:style w:type="paragraph" w:customStyle="1" w:styleId="37">
    <w:name w:val="样式6"/>
    <w:basedOn w:val="38"/>
    <w:qFormat/>
    <w:uiPriority w:val="0"/>
    <w:pPr>
      <w:spacing w:line="240" w:lineRule="auto"/>
      <w:ind w:firstLine="0" w:firstLineChars="0"/>
      <w:jc w:val="center"/>
    </w:pPr>
    <w:rPr>
      <w:rFonts w:ascii="黑体" w:eastAsia="黑体"/>
      <w:szCs w:val="21"/>
    </w:rPr>
  </w:style>
  <w:style w:type="paragraph" w:customStyle="1" w:styleId="38">
    <w:name w:val="样式9"/>
    <w:basedOn w:val="1"/>
    <w:qFormat/>
    <w:uiPriority w:val="0"/>
    <w:pPr>
      <w:snapToGrid w:val="0"/>
      <w:spacing w:line="336" w:lineRule="auto"/>
      <w:ind w:firstLine="480" w:firstLineChars="200"/>
    </w:pPr>
  </w:style>
  <w:style w:type="paragraph" w:customStyle="1" w:styleId="39">
    <w:name w:val="表头"/>
    <w:basedOn w:val="1"/>
    <w:qFormat/>
    <w:uiPriority w:val="0"/>
    <w:pPr>
      <w:adjustRightInd w:val="0"/>
      <w:spacing w:line="360" w:lineRule="auto"/>
      <w:textAlignment w:val="baseline"/>
    </w:pPr>
    <w:rPr>
      <w:rFonts w:eastAsia="黑体"/>
      <w:color w:val="000000"/>
      <w:szCs w:val="20"/>
    </w:rPr>
  </w:style>
  <w:style w:type="paragraph" w:styleId="40">
    <w:name w:val="No Spacing"/>
    <w:basedOn w:val="1"/>
    <w:qFormat/>
    <w:uiPriority w:val="1"/>
    <w:pPr>
      <w:jc w:val="center"/>
    </w:pPr>
    <w:rPr>
      <w:rFonts w:ascii="Calibri" w:hAnsi="Calibri"/>
      <w:b/>
      <w:szCs w:val="32"/>
    </w:rPr>
  </w:style>
  <w:style w:type="paragraph" w:customStyle="1" w:styleId="41">
    <w:name w:val="报告表样式"/>
    <w:basedOn w:val="1"/>
    <w:qFormat/>
    <w:uiPriority w:val="0"/>
    <w:pPr>
      <w:adjustRightInd w:val="0"/>
      <w:snapToGrid w:val="0"/>
      <w:spacing w:line="360" w:lineRule="auto"/>
      <w:ind w:firstLine="200" w:firstLineChars="200"/>
    </w:pPr>
    <w:rPr>
      <w:sz w:val="28"/>
      <w:szCs w:val="28"/>
    </w:rPr>
  </w:style>
  <w:style w:type="paragraph" w:customStyle="1" w:styleId="42">
    <w:name w:val="正文1"/>
    <w:qFormat/>
    <w:uiPriority w:val="0"/>
    <w:pPr>
      <w:jc w:val="both"/>
    </w:pPr>
    <w:rPr>
      <w:rFonts w:ascii="Times New Roman" w:hAnsi="Times New Roman" w:eastAsia="宋体" w:cs="Times New Roman"/>
      <w:kern w:val="2"/>
      <w:sz w:val="21"/>
      <w:szCs w:val="21"/>
      <w:lang w:val="en-US" w:eastAsia="zh-CN" w:bidi="ar-SA"/>
    </w:rPr>
  </w:style>
  <w:style w:type="paragraph" w:customStyle="1" w:styleId="43">
    <w:name w:val="HP 表格内容"/>
    <w:qFormat/>
    <w:uiPriority w:val="0"/>
    <w:pPr>
      <w:jc w:val="center"/>
    </w:pPr>
    <w:rPr>
      <w:rFonts w:ascii="Calibri" w:hAnsi="Calibri" w:eastAsia="宋体" w:cs="Times New Roman"/>
      <w:sz w:val="21"/>
      <w:szCs w:val="21"/>
      <w:lang w:val="en-US" w:eastAsia="zh-CN" w:bidi="ar-SA"/>
    </w:rPr>
  </w:style>
  <w:style w:type="paragraph" w:customStyle="1" w:styleId="44">
    <w:name w:val="文章正文"/>
    <w:basedOn w:val="1"/>
    <w:qFormat/>
    <w:uiPriority w:val="0"/>
    <w:pPr>
      <w:spacing w:line="440" w:lineRule="exact"/>
      <w:ind w:firstLine="600" w:firstLineChars="200"/>
    </w:pPr>
    <w:rPr>
      <w:kern w:val="0"/>
      <w:sz w:val="24"/>
      <w:szCs w:val="20"/>
    </w:rPr>
  </w:style>
  <w:style w:type="paragraph" w:customStyle="1" w:styleId="45">
    <w:name w:val="样式1"/>
    <w:basedOn w:val="1"/>
    <w:qFormat/>
    <w:uiPriority w:val="0"/>
    <w:pPr>
      <w:spacing w:line="360" w:lineRule="auto"/>
      <w:ind w:firstLine="200" w:firstLineChars="200"/>
    </w:pPr>
    <w:rPr>
      <w:b/>
      <w:sz w:val="24"/>
    </w:rPr>
  </w:style>
  <w:style w:type="table" w:customStyle="1" w:styleId="46">
    <w:name w:val="Table Normal"/>
    <w:semiHidden/>
    <w:unhideWhenUsed/>
    <w:qFormat/>
    <w:uiPriority w:val="0"/>
    <w:tblPr>
      <w:tblCellMar>
        <w:top w:w="0" w:type="dxa"/>
        <w:left w:w="0" w:type="dxa"/>
        <w:bottom w:w="0" w:type="dxa"/>
        <w:right w:w="0" w:type="dxa"/>
      </w:tblCellMar>
    </w:tblPr>
  </w:style>
  <w:style w:type="paragraph" w:customStyle="1" w:styleId="47">
    <w:name w:val="Table Text"/>
    <w:basedOn w:val="1"/>
    <w:semiHidden/>
    <w:qFormat/>
    <w:uiPriority w:val="0"/>
    <w:rPr>
      <w:rFonts w:ascii="宋体" w:hAnsi="宋体" w:cs="宋体"/>
      <w:sz w:val="20"/>
      <w:szCs w:val="20"/>
      <w:lang w:eastAsia="en-US"/>
    </w:rPr>
  </w:style>
  <w:style w:type="paragraph" w:customStyle="1" w:styleId="48">
    <w:name w:val="M表头"/>
    <w:basedOn w:val="1"/>
    <w:next w:val="1"/>
    <w:qFormat/>
    <w:uiPriority w:val="0"/>
    <w:pPr>
      <w:ind w:firstLine="200" w:firstLineChars="200"/>
      <w:jc w:val="center"/>
    </w:pPr>
    <w:rPr>
      <w:rFonts w:eastAsia="黑体"/>
      <w:bCs/>
      <w:szCs w:val="21"/>
    </w:rPr>
  </w:style>
  <w:style w:type="paragraph" w:customStyle="1" w:styleId="49">
    <w:name w:val="Other|1"/>
    <w:basedOn w:val="1"/>
    <w:qFormat/>
    <w:uiPriority w:val="0"/>
    <w:rPr>
      <w:rFonts w:ascii="Cambria Math" w:hAnsi="Cambria Math" w:eastAsia="Cambria Math" w:cs="Cambria Math"/>
      <w:sz w:val="30"/>
      <w:szCs w:val="30"/>
      <w:lang w:val="zh-TW" w:eastAsia="zh-TW" w:bidi="zh-TW"/>
    </w:rPr>
  </w:style>
  <w:style w:type="paragraph" w:customStyle="1" w:styleId="50">
    <w:name w:val="样式4"/>
    <w:basedOn w:val="18"/>
    <w:qFormat/>
    <w:uiPriority w:val="0"/>
    <w:pPr>
      <w:snapToGrid w:val="0"/>
      <w:spacing w:line="360" w:lineRule="auto"/>
    </w:pPr>
    <w:rPr>
      <w:rFonts w:ascii="黑体" w:hAnsi="宋体" w:eastAsia="黑体" w:cs="Times New Roman"/>
      <w:sz w:val="24"/>
      <w:szCs w:val="24"/>
    </w:rPr>
  </w:style>
  <w:style w:type="paragraph" w:customStyle="1" w:styleId="51">
    <w:name w:val="表头-格式"/>
    <w:basedOn w:val="1"/>
    <w:qFormat/>
    <w:uiPriority w:val="0"/>
    <w:pPr>
      <w:widowControl/>
      <w:adjustRightInd w:val="0"/>
      <w:snapToGrid w:val="0"/>
      <w:spacing w:line="288" w:lineRule="auto"/>
      <w:jc w:val="center"/>
    </w:pPr>
    <w:rPr>
      <w:rFonts w:eastAsia="黑体"/>
      <w:kern w:val="0"/>
      <w:szCs w:val="21"/>
      <w:lang w:val="zh-CN" w:bidi="en-US"/>
    </w:rPr>
  </w:style>
  <w:style w:type="paragraph" w:customStyle="1" w:styleId="52">
    <w:name w:val="表内容"/>
    <w:basedOn w:val="1"/>
    <w:next w:val="1"/>
    <w:qFormat/>
    <w:uiPriority w:val="0"/>
    <w:pPr>
      <w:spacing w:line="320" w:lineRule="exact"/>
      <w:jc w:val="center"/>
    </w:pPr>
    <w:rPr>
      <w:szCs w:val="21"/>
    </w:rPr>
  </w:style>
  <w:style w:type="paragraph" w:customStyle="1" w:styleId="53">
    <w:name w:val="p0"/>
    <w:basedOn w:val="1"/>
    <w:qFormat/>
    <w:uiPriority w:val="0"/>
    <w:pPr>
      <w:widowControl/>
      <w:spacing w:line="480" w:lineRule="atLeast"/>
    </w:pPr>
    <w:rPr>
      <w:rFonts w:ascii="Arial" w:hAnsi="Arial" w:cs="Arial"/>
      <w:kern w:val="0"/>
      <w:sz w:val="28"/>
      <w:szCs w:val="28"/>
    </w:rPr>
  </w:style>
  <w:style w:type="paragraph" w:customStyle="1" w:styleId="54">
    <w:name w:val="正文（BYN）"/>
    <w:basedOn w:val="18"/>
    <w:qFormat/>
    <w:uiPriority w:val="0"/>
    <w:pPr>
      <w:spacing w:line="500" w:lineRule="exact"/>
      <w:ind w:firstLine="200" w:firstLineChars="200"/>
    </w:pPr>
    <w:rPr>
      <w:rFonts w:ascii="Arial Narrow" w:hAnsi="Arial Narrow" w:eastAsia="汉鼎简书宋"/>
      <w:bCs/>
      <w:sz w:val="24"/>
    </w:rPr>
  </w:style>
  <w:style w:type="paragraph" w:customStyle="1" w:styleId="55">
    <w:name w:val="正文（HY）"/>
    <w:basedOn w:val="18"/>
    <w:link w:val="62"/>
    <w:qFormat/>
    <w:uiPriority w:val="0"/>
    <w:pPr>
      <w:adjustRightInd w:val="0"/>
      <w:spacing w:line="500" w:lineRule="exact"/>
      <w:ind w:firstLine="554" w:firstLineChars="200"/>
    </w:pPr>
    <w:rPr>
      <w:rFonts w:ascii="Arial Narrow" w:hAnsi="Arial Narrow" w:eastAsia="汉鼎简书宋"/>
      <w:bCs/>
      <w:sz w:val="24"/>
    </w:rPr>
  </w:style>
  <w:style w:type="paragraph" w:customStyle="1" w:styleId="56">
    <w:name w:val="表格正文"/>
    <w:basedOn w:val="1"/>
    <w:qFormat/>
    <w:uiPriority w:val="0"/>
    <w:pPr>
      <w:spacing w:line="300" w:lineRule="exact"/>
      <w:jc w:val="center"/>
    </w:pPr>
    <w:rPr>
      <w:rFonts w:ascii="Arial Narrow" w:hAnsi="Arial Narrow" w:eastAsia="汉鼎简书宋"/>
      <w:szCs w:val="18"/>
    </w:rPr>
  </w:style>
  <w:style w:type="paragraph" w:customStyle="1" w:styleId="57">
    <w:name w:val="四级（HY）"/>
    <w:basedOn w:val="1"/>
    <w:qFormat/>
    <w:uiPriority w:val="0"/>
    <w:pPr>
      <w:spacing w:line="500" w:lineRule="exact"/>
      <w:outlineLvl w:val="3"/>
    </w:pPr>
    <w:rPr>
      <w:rFonts w:ascii="Arial Narrow" w:hAnsi="Arial Narrow" w:eastAsia="汉鼎简书宋" w:cstheme="minorBidi"/>
      <w:b/>
      <w:sz w:val="24"/>
      <w:szCs w:val="22"/>
    </w:rPr>
  </w:style>
  <w:style w:type="paragraph" w:customStyle="1" w:styleId="58">
    <w:name w:val="样式 标题 2节标题 1.11.1标题2Majorb2标题 2 Char Char Char标题 2 Char3号..."/>
    <w:basedOn w:val="9"/>
    <w:qFormat/>
    <w:uiPriority w:val="0"/>
    <w:pPr>
      <w:tabs>
        <w:tab w:val="left" w:pos="567"/>
      </w:tabs>
    </w:pPr>
    <w:rPr>
      <w:rFonts w:cs="宋体"/>
      <w:color w:val="008000"/>
    </w:rPr>
  </w:style>
  <w:style w:type="character" w:customStyle="1" w:styleId="59">
    <w:name w:val="特点标题 Char"/>
    <w:qFormat/>
    <w:uiPriority w:val="0"/>
    <w:rPr>
      <w:rFonts w:ascii="宋体" w:hAnsi="宋体" w:eastAsia="宋体"/>
      <w:kern w:val="2"/>
      <w:sz w:val="24"/>
      <w:szCs w:val="24"/>
      <w:lang w:val="en-US" w:eastAsia="zh-CN" w:bidi="ar-SA"/>
    </w:rPr>
  </w:style>
  <w:style w:type="paragraph" w:styleId="60">
    <w:name w:val="List Paragraph"/>
    <w:basedOn w:val="1"/>
    <w:qFormat/>
    <w:uiPriority w:val="1"/>
    <w:pPr>
      <w:ind w:left="1271" w:hanging="615"/>
    </w:pPr>
    <w:rPr>
      <w:rFonts w:ascii="宋体" w:hAnsi="宋体" w:cs="宋体"/>
      <w:lang w:val="zh-CN" w:bidi="zh-CN"/>
    </w:rPr>
  </w:style>
  <w:style w:type="paragraph" w:customStyle="1" w:styleId="61">
    <w:name w:val="Table Paragraph"/>
    <w:basedOn w:val="1"/>
    <w:qFormat/>
    <w:uiPriority w:val="1"/>
    <w:pPr>
      <w:jc w:val="center"/>
    </w:pPr>
    <w:rPr>
      <w:rFonts w:ascii="宋体" w:hAnsi="宋体" w:cs="宋体"/>
      <w:lang w:val="zh-CN" w:bidi="zh-CN"/>
    </w:rPr>
  </w:style>
  <w:style w:type="character" w:customStyle="1" w:styleId="62">
    <w:name w:val="正文（HY） 字符"/>
    <w:basedOn w:val="63"/>
    <w:link w:val="55"/>
    <w:qFormat/>
    <w:uiPriority w:val="0"/>
    <w:rPr>
      <w:rFonts w:ascii="Arial Narrow" w:hAnsi="Arial Narrow" w:eastAsia="汉鼎简书宋"/>
      <w:bCs/>
      <w:sz w:val="24"/>
    </w:rPr>
  </w:style>
  <w:style w:type="character" w:customStyle="1" w:styleId="63">
    <w:name w:val="纯文本 Char"/>
    <w:link w:val="18"/>
    <w:qFormat/>
    <w:uiPriority w:val="0"/>
    <w:rPr>
      <w:rFonts w:ascii="宋体" w:hAnsi="Courier New" w:cs="Century"/>
      <w:szCs w:val="21"/>
    </w:rPr>
  </w:style>
  <w:style w:type="paragraph" w:customStyle="1" w:styleId="64">
    <w:name w:val="正式文本"/>
    <w:basedOn w:val="1"/>
    <w:qFormat/>
    <w:uiPriority w:val="0"/>
    <w:pPr>
      <w:spacing w:line="500" w:lineRule="exact"/>
      <w:ind w:firstLine="200" w:firstLineChars="200"/>
    </w:pPr>
    <w:rPr>
      <w:rFonts w:ascii="Arial Narrow" w:hAnsi="Arial Narrow" w:eastAsia="汉鼎简书宋"/>
      <w:sz w:val="24"/>
    </w:rPr>
  </w:style>
  <w:style w:type="paragraph" w:customStyle="1" w:styleId="65">
    <w:name w:val="F表格"/>
    <w:basedOn w:val="1"/>
    <w:qFormat/>
    <w:uiPriority w:val="0"/>
    <w:pPr>
      <w:snapToGrid w:val="0"/>
      <w:jc w:val="center"/>
    </w:pPr>
    <w:rPr>
      <w:rFonts w:ascii="宋体"/>
      <w:b/>
      <w:snapToGrid w:val="0"/>
    </w:rPr>
  </w:style>
  <w:style w:type="paragraph" w:customStyle="1" w:styleId="66">
    <w:name w:val="正文3"/>
    <w:basedOn w:val="1"/>
    <w:next w:val="1"/>
    <w:qFormat/>
    <w:uiPriority w:val="0"/>
    <w:pPr>
      <w:spacing w:line="529" w:lineRule="exact"/>
      <w:ind w:firstLine="200" w:firstLineChars="200"/>
    </w:pPr>
    <w:rPr>
      <w:rFonts w:ascii="&amp;Euml" w:hAnsi="&amp;Euml" w:eastAsia="&amp;Euml"/>
    </w:rPr>
  </w:style>
  <w:style w:type="paragraph" w:customStyle="1" w:styleId="67">
    <w:name w:val="样式3"/>
    <w:basedOn w:val="68"/>
    <w:qFormat/>
    <w:uiPriority w:val="0"/>
    <w:rPr>
      <w:rFonts w:eastAsia="仿宋_GB2312"/>
    </w:rPr>
  </w:style>
  <w:style w:type="paragraph" w:customStyle="1" w:styleId="68">
    <w:name w:val="样式2"/>
    <w:basedOn w:val="1"/>
    <w:qFormat/>
    <w:uiPriority w:val="0"/>
    <w:pPr>
      <w:jc w:val="center"/>
    </w:pPr>
    <w:rPr>
      <w:sz w:val="24"/>
      <w:szCs w:val="20"/>
    </w:rPr>
  </w:style>
  <w:style w:type="character" w:customStyle="1" w:styleId="69">
    <w:name w:val="font01"/>
    <w:basedOn w:val="31"/>
    <w:qFormat/>
    <w:uiPriority w:val="0"/>
    <w:rPr>
      <w:rFonts w:hint="eastAsia" w:ascii="宋体" w:hAnsi="宋体" w:eastAsia="宋体" w:cs="宋体"/>
      <w:color w:val="000000"/>
      <w:sz w:val="24"/>
      <w:szCs w:val="24"/>
      <w:u w:val="none"/>
    </w:rPr>
  </w:style>
  <w:style w:type="character" w:customStyle="1" w:styleId="70">
    <w:name w:val="font11"/>
    <w:basedOn w:val="31"/>
    <w:qFormat/>
    <w:uiPriority w:val="0"/>
    <w:rPr>
      <w:rFonts w:hint="default" w:ascii="Times New Roman" w:hAnsi="Times New Roman" w:cs="Times New Roman"/>
      <w:color w:val="000000"/>
      <w:sz w:val="24"/>
      <w:szCs w:val="24"/>
      <w:u w:val="none"/>
    </w:rPr>
  </w:style>
  <w:style w:type="character" w:customStyle="1" w:styleId="71">
    <w:name w:val="批注文字 Char"/>
    <w:basedOn w:val="31"/>
    <w:link w:val="7"/>
    <w:semiHidden/>
    <w:qFormat/>
    <w:uiPriority w:val="0"/>
    <w:rPr>
      <w:szCs w:val="24"/>
    </w:rPr>
  </w:style>
  <w:style w:type="character" w:customStyle="1" w:styleId="72">
    <w:name w:val="批注主题 Char"/>
    <w:basedOn w:val="71"/>
    <w:link w:val="26"/>
    <w:qFormat/>
    <w:uiPriority w:val="0"/>
  </w:style>
  <w:style w:type="character" w:customStyle="1" w:styleId="73">
    <w:name w:val="批注框文本 Char"/>
    <w:basedOn w:val="31"/>
    <w:link w:val="21"/>
    <w:qFormat/>
    <w:uiPriority w:val="0"/>
    <w:rPr>
      <w:kern w:val="2"/>
      <w:sz w:val="18"/>
      <w:szCs w:val="18"/>
    </w:rPr>
  </w:style>
  <w:style w:type="character" w:customStyle="1" w:styleId="74">
    <w:name w:val="font21"/>
    <w:basedOn w:val="31"/>
    <w:qFormat/>
    <w:uiPriority w:val="0"/>
    <w:rPr>
      <w:rFonts w:hint="default" w:ascii="Times New Roman" w:hAnsi="Times New Roman" w:cs="Times New Roman"/>
      <w:color w:val="FF0000"/>
      <w:sz w:val="24"/>
      <w:szCs w:val="24"/>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6.xml"/><Relationship Id="rId89" Type="http://schemas.openxmlformats.org/officeDocument/2006/relationships/image" Target="media/image78.jpe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5.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png"/><Relationship Id="rId70" Type="http://schemas.openxmlformats.org/officeDocument/2006/relationships/image" Target="media/image59.png"/><Relationship Id="rId7" Type="http://schemas.openxmlformats.org/officeDocument/2006/relationships/footer" Target="footer4.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footer" Target="footer3.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2.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1.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jpeg"/><Relationship Id="rId17" Type="http://schemas.openxmlformats.org/officeDocument/2006/relationships/image" Target="media/image6.wmf"/><Relationship Id="rId16" Type="http://schemas.openxmlformats.org/officeDocument/2006/relationships/image" Target="media/image5.wmf"/><Relationship Id="rId15" Type="http://schemas.openxmlformats.org/officeDocument/2006/relationships/oleObject" Target="embeddings/oleObject1.bin"/><Relationship Id="rId148" Type="http://schemas.openxmlformats.org/officeDocument/2006/relationships/fontTable" Target="fontTable.xml"/><Relationship Id="rId147" Type="http://schemas.openxmlformats.org/officeDocument/2006/relationships/numbering" Target="numbering.xml"/><Relationship Id="rId146" Type="http://schemas.openxmlformats.org/officeDocument/2006/relationships/customXml" Target="../customXml/item1.xml"/><Relationship Id="rId145" Type="http://schemas.openxmlformats.org/officeDocument/2006/relationships/image" Target="media/image134.jpeg"/><Relationship Id="rId144" Type="http://schemas.openxmlformats.org/officeDocument/2006/relationships/image" Target="media/image133.jpeg"/><Relationship Id="rId143" Type="http://schemas.openxmlformats.org/officeDocument/2006/relationships/image" Target="media/image132.jpeg"/><Relationship Id="rId142" Type="http://schemas.openxmlformats.org/officeDocument/2006/relationships/image" Target="media/image131.jpeg"/><Relationship Id="rId141" Type="http://schemas.openxmlformats.org/officeDocument/2006/relationships/image" Target="media/image130.jpeg"/><Relationship Id="rId140" Type="http://schemas.openxmlformats.org/officeDocument/2006/relationships/image" Target="media/image129.jpeg"/><Relationship Id="rId14" Type="http://schemas.openxmlformats.org/officeDocument/2006/relationships/image" Target="media/image4.png"/><Relationship Id="rId139" Type="http://schemas.openxmlformats.org/officeDocument/2006/relationships/image" Target="media/image128.jpeg"/><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3.pn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2.jpeg"/><Relationship Id="rId119" Type="http://schemas.openxmlformats.org/officeDocument/2006/relationships/image" Target="media/image108.jpeg"/><Relationship Id="rId118" Type="http://schemas.openxmlformats.org/officeDocument/2006/relationships/image" Target="media/image107.jpe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image" Target="media/image1.jpeg"/><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1057"/>
    <customShpInfo spid="_x0000_s1038"/>
    <customShpInfo spid="_x0000_s1037"/>
    <customShpInfo spid="_x0000_s1036"/>
    <customShpInfo spid="_x0000_s1035"/>
    <customShpInfo spid="_x0000_s1034"/>
    <customShpInfo spid="_x0000_s1033"/>
    <customShpInfo spid="_x0000_s1032"/>
    <customShpInfo spid="_x0000_s1031"/>
    <customShpInfo spid="_x0000_s1030"/>
    <customShpInfo spid="_x0000_s1029"/>
    <customShpInfo spid="_x0000_s1028"/>
    <customShpInfo spid="_x0000_s102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181</Pages>
  <Words>117</Words>
  <Characters>143</Characters>
  <Lines>284</Lines>
  <Paragraphs>79</Paragraphs>
  <TotalTime>15</TotalTime>
  <ScaleCrop>false</ScaleCrop>
  <LinksUpToDate>false</LinksUpToDate>
  <CharactersWithSpaces>185</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2025-04-09T07:42:00Z</dcterms:created>
  <dc:creator>平生我自知</dc:creator>
  <cp:lastModifiedBy>丫丫</cp:lastModifiedBy>
  <cp:lastPrinted>2022-06-23T01:41:00Z</cp:lastPrinted>
  <dcterms:modified xsi:type="dcterms:W3CDTF">2025-05-16T03:34:03Z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AF0AC21C402F440F92A6956B864257B5</vt:lpwstr>
  </property>
  <property fmtid="{D5CDD505-2E9C-101B-9397-08002B2CF9AE}" pid="4" name="KSOTemplateDocerSaveRecord">
    <vt:lpwstr>eyJoZGlkIjoiNGExYjg2YzIwZGU0YjFjODQxYWE0NTEzZmVkOGMzZmMiLCJ1c2VySWQiOiI1ODY0OTg3NzQifQ==</vt:lpwstr>
  </property>
</Properties>
</file>