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b/>
          <w:sz w:val="48"/>
          <w:szCs w:val="48"/>
        </w:rPr>
      </w:pPr>
    </w:p>
    <w:p>
      <w:pPr>
        <w:spacing w:line="560" w:lineRule="exact"/>
        <w:jc w:val="center"/>
        <w:rPr>
          <w:rFonts w:ascii="Times New Roman" w:hAnsi="Times New Roman" w:eastAsia="华文中宋"/>
          <w:b/>
          <w:sz w:val="48"/>
          <w:szCs w:val="48"/>
        </w:rPr>
      </w:pPr>
    </w:p>
    <w:p>
      <w:pPr>
        <w:spacing w:line="560" w:lineRule="exact"/>
        <w:jc w:val="center"/>
        <w:rPr>
          <w:rFonts w:ascii="Times New Roman" w:hAnsi="Times New Roman" w:eastAsia="华文中宋"/>
          <w:b/>
          <w:sz w:val="48"/>
          <w:szCs w:val="48"/>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r>
        <w:rPr>
          <w:rFonts w:ascii="Times New Roman" w:hAnsi="Times New Roman" w:eastAsia="华文中宋"/>
          <w:b/>
          <w:color w:val="000000" w:themeColor="text1"/>
          <w:sz w:val="48"/>
          <w:szCs w:val="48"/>
          <w14:textFill>
            <w14:solidFill>
              <w14:schemeClr w14:val="tx1"/>
            </w14:solidFill>
          </w14:textFill>
        </w:rPr>
        <w:t>鄂尔多斯市东胜区服务业发展</w:t>
      </w: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r>
        <w:rPr>
          <w:rFonts w:hint="eastAsia" w:ascii="Times New Roman" w:hAnsi="Times New Roman" w:eastAsia="华文中宋"/>
          <w:b/>
          <w:color w:val="000000" w:themeColor="text1"/>
          <w:sz w:val="48"/>
          <w:szCs w:val="48"/>
          <w14:textFill>
            <w14:solidFill>
              <w14:schemeClr w14:val="tx1"/>
            </w14:solidFill>
          </w14:textFill>
        </w:rPr>
        <w:t>第十四个五年</w:t>
      </w:r>
      <w:r>
        <w:rPr>
          <w:rFonts w:ascii="Times New Roman" w:hAnsi="Times New Roman" w:eastAsia="华文中宋"/>
          <w:b/>
          <w:color w:val="000000" w:themeColor="text1"/>
          <w:sz w:val="48"/>
          <w:szCs w:val="48"/>
          <w14:textFill>
            <w14:solidFill>
              <w14:schemeClr w14:val="tx1"/>
            </w14:solidFill>
          </w14:textFill>
        </w:rPr>
        <w:t>规划</w:t>
      </w:r>
    </w:p>
    <w:p>
      <w:pPr>
        <w:spacing w:line="560" w:lineRule="exact"/>
        <w:jc w:val="center"/>
        <w:rPr>
          <w:rFonts w:ascii="Times New Roman" w:hAnsi="Times New Roman" w:eastAsia="华文中宋"/>
          <w:color w:val="000000" w:themeColor="text1"/>
          <w:sz w:val="48"/>
          <w:szCs w:val="48"/>
          <w14:textFill>
            <w14:solidFill>
              <w14:schemeClr w14:val="tx1"/>
            </w14:solidFill>
          </w14:textFill>
        </w:rPr>
      </w:pPr>
    </w:p>
    <w:p>
      <w:pPr>
        <w:spacing w:line="560" w:lineRule="exact"/>
        <w:jc w:val="center"/>
        <w:rPr>
          <w:rFonts w:hint="eastAsia" w:ascii="Times New Roman" w:hAnsi="Times New Roman" w:eastAsia="华文中宋"/>
          <w:b w:val="0"/>
          <w:bCs/>
          <w:color w:val="000000" w:themeColor="text1"/>
          <w:sz w:val="48"/>
          <w:szCs w:val="48"/>
          <w:lang w:eastAsia="zh-CN"/>
          <w14:textFill>
            <w14:solidFill>
              <w14:schemeClr w14:val="tx1"/>
            </w14:solidFill>
          </w14:textFill>
        </w:rPr>
      </w:pPr>
      <w:r>
        <w:rPr>
          <w:rFonts w:hint="eastAsia" w:ascii="Times New Roman" w:hAnsi="Times New Roman" w:eastAsia="华文中宋"/>
          <w:b w:val="0"/>
          <w:bCs/>
          <w:color w:val="000000" w:themeColor="text1"/>
          <w:sz w:val="48"/>
          <w:szCs w:val="48"/>
          <w:lang w:eastAsia="zh-CN"/>
          <w14:textFill>
            <w14:solidFill>
              <w14:schemeClr w14:val="tx1"/>
            </w14:solidFill>
          </w14:textFill>
        </w:rPr>
        <w:t>（征求意见稿）</w:t>
      </w:r>
    </w:p>
    <w:p>
      <w:pPr>
        <w:pStyle w:val="2"/>
        <w:rPr>
          <w:color w:val="000000" w:themeColor="text1"/>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pStyle w:val="2"/>
        <w:rPr>
          <w:color w:val="000000" w:themeColor="text1"/>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p>
      <w:pPr>
        <w:spacing w:line="560" w:lineRule="exact"/>
        <w:jc w:val="center"/>
        <w:rPr>
          <w:rFonts w:ascii="Times New Roman" w:hAnsi="Times New Roman" w:eastAsia="华文中宋"/>
          <w:b/>
          <w:color w:val="000000" w:themeColor="text1"/>
          <w:sz w:val="48"/>
          <w:szCs w:val="48"/>
          <w14:textFill>
            <w14:solidFill>
              <w14:schemeClr w14:val="tx1"/>
            </w14:solidFill>
          </w14:textFill>
        </w:rPr>
      </w:pPr>
    </w:p>
    <w:tbl>
      <w:tblPr>
        <w:tblStyle w:val="17"/>
        <w:tblW w:w="5200" w:type="dxa"/>
        <w:jc w:val="center"/>
        <w:tblLayout w:type="fixed"/>
        <w:tblCellMar>
          <w:top w:w="0" w:type="dxa"/>
          <w:left w:w="108" w:type="dxa"/>
          <w:bottom w:w="0" w:type="dxa"/>
          <w:right w:w="108" w:type="dxa"/>
        </w:tblCellMar>
      </w:tblPr>
      <w:tblGrid>
        <w:gridCol w:w="5200"/>
      </w:tblGrid>
      <w:tr>
        <w:tblPrEx>
          <w:tblCellMar>
            <w:top w:w="0" w:type="dxa"/>
            <w:left w:w="108" w:type="dxa"/>
            <w:bottom w:w="0" w:type="dxa"/>
            <w:right w:w="108" w:type="dxa"/>
          </w:tblCellMar>
        </w:tblPrEx>
        <w:trPr>
          <w:trHeight w:val="543" w:hRule="atLeast"/>
          <w:jc w:val="center"/>
        </w:trPr>
        <w:tc>
          <w:tcPr>
            <w:tcW w:w="5200" w:type="dxa"/>
          </w:tcPr>
          <w:p>
            <w:pPr>
              <w:spacing w:line="560" w:lineRule="exact"/>
              <w:jc w:val="distribute"/>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pacing w:val="-20"/>
                <w:sz w:val="32"/>
                <w:szCs w:val="32"/>
                <w14:textFill>
                  <w14:solidFill>
                    <w14:schemeClr w14:val="tx1"/>
                  </w14:solidFill>
                </w14:textFill>
              </w:rPr>
              <w:t>鄂尔多斯市东胜区</w:t>
            </w:r>
            <w:r>
              <w:rPr>
                <w:rFonts w:hint="eastAsia" w:ascii="Times New Roman" w:hAnsi="Times New Roman" w:eastAsia="楷体_GB2312"/>
                <w:color w:val="000000" w:themeColor="text1"/>
                <w:spacing w:val="-20"/>
                <w:sz w:val="32"/>
                <w:szCs w:val="32"/>
                <w14:textFill>
                  <w14:solidFill>
                    <w14:schemeClr w14:val="tx1"/>
                  </w14:solidFill>
                </w14:textFill>
              </w:rPr>
              <w:t>商务</w:t>
            </w:r>
            <w:r>
              <w:rPr>
                <w:rFonts w:ascii="Times New Roman" w:hAnsi="Times New Roman" w:eastAsia="楷体_GB2312"/>
                <w:color w:val="000000" w:themeColor="text1"/>
                <w:spacing w:val="-20"/>
                <w:sz w:val="32"/>
                <w:szCs w:val="32"/>
                <w14:textFill>
                  <w14:solidFill>
                    <w14:schemeClr w14:val="tx1"/>
                  </w14:solidFill>
                </w14:textFill>
              </w:rPr>
              <w:t>局</w:t>
            </w:r>
          </w:p>
        </w:tc>
      </w:tr>
      <w:tr>
        <w:tblPrEx>
          <w:tblCellMar>
            <w:top w:w="0" w:type="dxa"/>
            <w:left w:w="108" w:type="dxa"/>
            <w:bottom w:w="0" w:type="dxa"/>
            <w:right w:w="108" w:type="dxa"/>
          </w:tblCellMar>
        </w:tblPrEx>
        <w:trPr>
          <w:trHeight w:val="579" w:hRule="atLeast"/>
          <w:jc w:val="center"/>
        </w:trPr>
        <w:tc>
          <w:tcPr>
            <w:tcW w:w="5200" w:type="dxa"/>
          </w:tcPr>
          <w:p>
            <w:pPr>
              <w:spacing w:line="560" w:lineRule="exact"/>
              <w:jc w:val="center"/>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二〇</w:t>
            </w:r>
            <w:r>
              <w:rPr>
                <w:rFonts w:hint="eastAsia" w:ascii="Times New Roman" w:hAnsi="Times New Roman" w:eastAsia="楷体_GB2312"/>
                <w:color w:val="000000" w:themeColor="text1"/>
                <w:sz w:val="32"/>
                <w:szCs w:val="32"/>
                <w14:textFill>
                  <w14:solidFill>
                    <w14:schemeClr w14:val="tx1"/>
                  </w14:solidFill>
                </w14:textFill>
              </w:rPr>
              <w:t>二</w:t>
            </w:r>
            <w:r>
              <w:rPr>
                <w:rFonts w:ascii="Times New Roman" w:hAnsi="Times New Roman" w:eastAsia="楷体_GB2312"/>
                <w:color w:val="000000" w:themeColor="text1"/>
                <w:sz w:val="32"/>
                <w:szCs w:val="32"/>
                <w14:textFill>
                  <w14:solidFill>
                    <w14:schemeClr w14:val="tx1"/>
                  </w14:solidFill>
                </w14:textFill>
              </w:rPr>
              <w:t>一年</w:t>
            </w:r>
            <w:r>
              <w:rPr>
                <w:rFonts w:hint="eastAsia" w:ascii="Times New Roman" w:hAnsi="Times New Roman" w:eastAsia="楷体_GB2312"/>
                <w:color w:val="000000" w:themeColor="text1"/>
                <w:sz w:val="32"/>
                <w:szCs w:val="32"/>
                <w14:textFill>
                  <w14:solidFill>
                    <w14:schemeClr w14:val="tx1"/>
                  </w14:solidFill>
                </w14:textFill>
              </w:rPr>
              <w:t>三</w:t>
            </w:r>
            <w:r>
              <w:rPr>
                <w:rFonts w:ascii="Times New Roman" w:hAnsi="Times New Roman" w:eastAsia="楷体_GB2312"/>
                <w:color w:val="000000" w:themeColor="text1"/>
                <w:sz w:val="32"/>
                <w:szCs w:val="32"/>
                <w14:textFill>
                  <w14:solidFill>
                    <w14:schemeClr w14:val="tx1"/>
                  </w14:solidFill>
                </w14:textFill>
              </w:rPr>
              <w:t>月</w:t>
            </w:r>
          </w:p>
          <w:p>
            <w:pPr>
              <w:spacing w:line="560" w:lineRule="exact"/>
              <w:jc w:val="distribute"/>
              <w:rPr>
                <w:rFonts w:ascii="Times New Roman" w:hAnsi="Times New Roman" w:eastAsia="楷体_GB2312"/>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5200" w:type="dxa"/>
          </w:tcPr>
          <w:p>
            <w:pPr>
              <w:pStyle w:val="2"/>
              <w:rPr>
                <w:color w:val="000000" w:themeColor="text1"/>
                <w14:textFill>
                  <w14:solidFill>
                    <w14:schemeClr w14:val="tx1"/>
                  </w14:solidFill>
                </w14:textFill>
              </w:rPr>
            </w:pPr>
          </w:p>
        </w:tc>
      </w:tr>
    </w:tbl>
    <w:p>
      <w:pPr>
        <w:spacing w:line="560" w:lineRule="exact"/>
        <w:jc w:val="center"/>
        <w:rPr>
          <w:rFonts w:ascii="Times New Roman" w:hAnsi="Times New Roman" w:eastAsia="华文中宋"/>
          <w:b/>
          <w:color w:val="000000" w:themeColor="text1"/>
          <w:sz w:val="48"/>
          <w:szCs w:val="48"/>
          <w14:textFill>
            <w14:solidFill>
              <w14:schemeClr w14:val="tx1"/>
            </w14:solidFill>
          </w14:textFill>
        </w:rPr>
        <w:sectPr>
          <w:footerReference r:id="rId3" w:type="even"/>
          <w:type w:val="continuous"/>
          <w:pgSz w:w="11906" w:h="16838"/>
          <w:pgMar w:top="1440" w:right="1800" w:bottom="1440" w:left="1800" w:header="851" w:footer="992" w:gutter="0"/>
          <w:cols w:space="720" w:num="1"/>
          <w:docGrid w:type="lines" w:linePitch="312" w:charSpace="0"/>
        </w:sectPr>
      </w:pPr>
    </w:p>
    <w:p>
      <w:pPr>
        <w:spacing w:line="560" w:lineRule="exact"/>
        <w:jc w:val="center"/>
        <w:rPr>
          <w:rFonts w:ascii="Times New Roman" w:hAnsi="Times New Roman" w:eastAsia="华文中宋"/>
          <w:b/>
          <w:color w:val="000000" w:themeColor="text1"/>
          <w:sz w:val="32"/>
          <w:szCs w:val="32"/>
          <w14:textFill>
            <w14:solidFill>
              <w14:schemeClr w14:val="tx1"/>
            </w14:solidFill>
          </w14:textFill>
        </w:rPr>
      </w:pPr>
    </w:p>
    <w:p>
      <w:pPr>
        <w:spacing w:line="560" w:lineRule="exact"/>
        <w:jc w:val="center"/>
        <w:rPr>
          <w:rFonts w:ascii="Times New Roman" w:hAnsi="Times New Roman" w:eastAsia="华文中宋"/>
          <w:b/>
          <w:color w:val="000000" w:themeColor="text1"/>
          <w:sz w:val="32"/>
          <w:szCs w:val="32"/>
          <w14:textFill>
            <w14:solidFill>
              <w14:schemeClr w14:val="tx1"/>
            </w14:solidFill>
          </w14:textFill>
        </w:rPr>
      </w:pPr>
    </w:p>
    <w:p>
      <w:pPr>
        <w:spacing w:line="560" w:lineRule="exact"/>
        <w:jc w:val="center"/>
        <w:rPr>
          <w:rFonts w:ascii="Times New Roman" w:hAnsi="Times New Roman" w:eastAsia="华文中宋"/>
          <w:b/>
          <w:color w:val="000000" w:themeColor="text1"/>
          <w:sz w:val="32"/>
          <w:szCs w:val="32"/>
          <w14:textFill>
            <w14:solidFill>
              <w14:schemeClr w14:val="tx1"/>
            </w14:solidFill>
          </w14:textFill>
        </w:rPr>
      </w:pPr>
      <w:r>
        <w:rPr>
          <w:rFonts w:ascii="Times New Roman" w:hAnsi="Times New Roman" w:eastAsia="华文中宋"/>
          <w:b/>
          <w:color w:val="000000" w:themeColor="text1"/>
          <w:sz w:val="32"/>
          <w:szCs w:val="32"/>
          <w14:textFill>
            <w14:solidFill>
              <w14:schemeClr w14:val="tx1"/>
            </w14:solidFill>
          </w14:textFill>
        </w:rPr>
        <w:t>目 录</w:t>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rFonts w:ascii="黑体" w:hAnsi="黑体" w:eastAsia="华文中宋"/>
          <w:b/>
          <w:color w:val="000000" w:themeColor="text1"/>
          <w:sz w:val="32"/>
          <w:szCs w:val="32"/>
          <w14:textFill>
            <w14:solidFill>
              <w14:schemeClr w14:val="tx1"/>
            </w14:solidFill>
          </w14:textFill>
        </w:rPr>
        <w:fldChar w:fldCharType="begin"/>
      </w:r>
      <w:r>
        <w:rPr>
          <w:rFonts w:eastAsia="华文中宋"/>
          <w:b/>
          <w:color w:val="000000" w:themeColor="text1"/>
          <w:sz w:val="32"/>
          <w:szCs w:val="32"/>
          <w14:textFill>
            <w14:solidFill>
              <w14:schemeClr w14:val="tx1"/>
            </w14:solidFill>
          </w14:textFill>
        </w:rPr>
        <w:instrText xml:space="preserve"> TOC \o "1-2" \h \z \u </w:instrText>
      </w:r>
      <w:r>
        <w:rPr>
          <w:rFonts w:ascii="黑体" w:hAnsi="黑体" w:eastAsia="华文中宋"/>
          <w:b/>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"_Toc3745" </w:instrText>
      </w:r>
      <w:r>
        <w:rPr>
          <w:color w:val="000000" w:themeColor="text1"/>
          <w14:textFill>
            <w14:solidFill>
              <w14:schemeClr w14:val="tx1"/>
            </w14:solidFill>
          </w14:textFill>
        </w:rPr>
        <w:fldChar w:fldCharType="separate"/>
      </w:r>
      <w:r>
        <w:rPr>
          <w:rFonts w:ascii="Calibri" w:hAnsi="Calibri"/>
          <w:color w:val="000000" w:themeColor="text1"/>
          <w:szCs w:val="32"/>
          <w14:textFill>
            <w14:solidFill>
              <w14:schemeClr w14:val="tx1"/>
            </w14:solidFill>
          </w14:textFill>
        </w:rPr>
        <w:t>前  言</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_Toc3745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1</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"_Toc8359" </w:instrText>
      </w:r>
      <w:r>
        <w:rPr>
          <w:color w:val="000000" w:themeColor="text1"/>
          <w14:textFill>
            <w14:solidFill>
              <w14:schemeClr w14:val="tx1"/>
            </w14:solidFill>
          </w14:textFill>
        </w:rPr>
        <w:fldChar w:fldCharType="separate"/>
      </w:r>
      <w:r>
        <w:rPr>
          <w:rFonts w:hint="eastAsia" w:ascii="Calibri" w:hAnsi="Calibri"/>
          <w:color w:val="000000" w:themeColor="text1"/>
          <w:szCs w:val="32"/>
          <w14:textFill>
            <w14:solidFill>
              <w14:schemeClr w14:val="tx1"/>
            </w14:solidFill>
          </w14:textFill>
        </w:rPr>
        <w:t xml:space="preserve">第一章 </w:t>
      </w:r>
      <w:r>
        <w:rPr>
          <w:rFonts w:ascii="Calibri" w:hAnsi="Calibri"/>
          <w:color w:val="000000" w:themeColor="text1"/>
          <w:szCs w:val="32"/>
          <w14:textFill>
            <w14:solidFill>
              <w14:schemeClr w14:val="tx1"/>
            </w14:solidFill>
          </w14:textFill>
        </w:rPr>
        <w:t>发展基础</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_Toc8359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2</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"_Toc13166"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第一节 </w:t>
      </w:r>
      <w:r>
        <w:rPr>
          <w:rFonts w:ascii="Times New Roman" w:hAnsi="Times New Roman"/>
          <w:color w:val="000000" w:themeColor="text1"/>
          <w14:textFill>
            <w14:solidFill>
              <w14:schemeClr w14:val="tx1"/>
            </w14:solidFill>
          </w14:textFill>
        </w:rPr>
        <w:t>发展背景</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_Toc13166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"_Toc6847"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第二节 </w:t>
      </w:r>
      <w:r>
        <w:rPr>
          <w:rFonts w:ascii="Times New Roman" w:hAnsi="Times New Roman"/>
          <w:color w:val="000000" w:themeColor="text1"/>
          <w14:textFill>
            <w14:solidFill>
              <w14:schemeClr w14:val="tx1"/>
            </w14:solidFill>
          </w14:textFill>
        </w:rPr>
        <w:t>发展现状</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_Toc6847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4</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"_Toc22349"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第三节 </w:t>
      </w:r>
      <w:r>
        <w:rPr>
          <w:rFonts w:ascii="Times New Roman" w:hAnsi="Times New Roman"/>
          <w:color w:val="000000" w:themeColor="text1"/>
          <w14:textFill>
            <w14:solidFill>
              <w14:schemeClr w14:val="tx1"/>
            </w14:solidFill>
          </w14:textFill>
        </w:rPr>
        <w:t>存在问题</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_Toc22349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5</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"_Toc5589"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 xml:space="preserve">第二章 </w:t>
      </w:r>
      <w:r>
        <w:rPr>
          <w:color w:val="000000" w:themeColor="text1"/>
          <w:szCs w:val="32"/>
          <w14:textFill>
            <w14:solidFill>
              <w14:schemeClr w14:val="tx1"/>
            </w14:solidFill>
          </w14:textFill>
        </w:rPr>
        <w:t>总体</w:t>
      </w:r>
      <w:r>
        <w:rPr>
          <w:rFonts w:hint="eastAsia"/>
          <w:color w:val="000000" w:themeColor="text1"/>
          <w:szCs w:val="32"/>
          <w14:textFill>
            <w14:solidFill>
              <w14:schemeClr w14:val="tx1"/>
            </w14:solidFill>
          </w14:textFill>
        </w:rPr>
        <w:t>要求</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_Toc5589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7</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"_Toc23189"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第一节 </w:t>
      </w:r>
      <w:r>
        <w:rPr>
          <w:rFonts w:ascii="Times New Roman" w:hAnsi="Times New Roman"/>
          <w:color w:val="000000" w:themeColor="text1"/>
          <w14:textFill>
            <w14:solidFill>
              <w14:schemeClr w14:val="tx1"/>
            </w14:solidFill>
          </w14:textFill>
        </w:rPr>
        <w:t>指导思想</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_Toc23189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7</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"_Toc13436"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第二节 </w:t>
      </w:r>
      <w:r>
        <w:rPr>
          <w:rFonts w:ascii="Times New Roman" w:hAnsi="Times New Roman"/>
          <w:color w:val="000000" w:themeColor="text1"/>
          <w14:textFill>
            <w14:solidFill>
              <w14:schemeClr w14:val="tx1"/>
            </w14:solidFill>
          </w14:textFill>
        </w:rPr>
        <w:t>发展定位</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_Toc13436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7</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"_Toc29380"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第三节 </w:t>
      </w:r>
      <w:r>
        <w:rPr>
          <w:rFonts w:ascii="Times New Roman" w:hAnsi="Times New Roman"/>
          <w:color w:val="000000" w:themeColor="text1"/>
          <w14:textFill>
            <w14:solidFill>
              <w14:schemeClr w14:val="tx1"/>
            </w14:solidFill>
          </w14:textFill>
        </w:rPr>
        <w:t>基本原则</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_Toc29380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8</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"_Toc18086"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第四节 </w:t>
      </w:r>
      <w:r>
        <w:rPr>
          <w:rFonts w:ascii="Times New Roman" w:hAnsi="Times New Roman"/>
          <w:color w:val="000000" w:themeColor="text1"/>
          <w14:textFill>
            <w14:solidFill>
              <w14:schemeClr w14:val="tx1"/>
            </w14:solidFill>
          </w14:textFill>
        </w:rPr>
        <w:t>发展目标</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_Toc18086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"_Toc1730"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 xml:space="preserve">第三章 </w:t>
      </w:r>
      <w:r>
        <w:rPr>
          <w:color w:val="000000" w:themeColor="text1"/>
          <w:szCs w:val="32"/>
          <w14:textFill>
            <w14:solidFill>
              <w14:schemeClr w14:val="tx1"/>
            </w14:solidFill>
          </w14:textFill>
        </w:rPr>
        <w:t>做强</w:t>
      </w:r>
      <w:r>
        <w:rPr>
          <w:rFonts w:hint="eastAsia"/>
          <w:color w:val="000000" w:themeColor="text1"/>
          <w:szCs w:val="32"/>
          <w14:textFill>
            <w14:solidFill>
              <w14:schemeClr w14:val="tx1"/>
            </w14:solidFill>
          </w14:textFill>
        </w:rPr>
        <w:t>生产性服务业</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_Toc1730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12</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"_Toc6993"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第一节 科创服务业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_Toc6993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12</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"_Toc1645"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第二节 数字服务业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_Toc1645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14</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"_Toc5237"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第三节 现代能源综合服务业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_Toc5237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16</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"_Toc24375"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第四节 现代金融服务业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_Toc24375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17</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"_Toc14220"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第五节 现代物流服务业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_Toc14220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19</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"_Toc32554"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第六节 商务服务业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_Toc32554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22</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"_Toc1835"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 xml:space="preserve">第三章 </w:t>
      </w:r>
      <w:r>
        <w:rPr>
          <w:color w:val="000000" w:themeColor="text1"/>
          <w:szCs w:val="32"/>
          <w14:textFill>
            <w14:solidFill>
              <w14:schemeClr w14:val="tx1"/>
            </w14:solidFill>
          </w14:textFill>
        </w:rPr>
        <w:t>做</w:t>
      </w:r>
      <w:r>
        <w:rPr>
          <w:rFonts w:hint="eastAsia"/>
          <w:color w:val="000000" w:themeColor="text1"/>
          <w:szCs w:val="32"/>
          <w14:textFill>
            <w14:solidFill>
              <w14:schemeClr w14:val="tx1"/>
            </w14:solidFill>
          </w14:textFill>
        </w:rPr>
        <w:t>优生活性服务业</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_Toc1835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26</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"_Toc8329"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第一节 文化旅游产业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_Toc8329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26</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"_Toc5758"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第二节 商贸服务业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_Toc5758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29</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"_Toc11231"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第三节 电子商务产业</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_Toc11231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31</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"_Toc3506"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 xml:space="preserve">第四章 </w:t>
      </w:r>
      <w:r>
        <w:rPr>
          <w:color w:val="000000" w:themeColor="text1"/>
          <w:szCs w:val="32"/>
          <w14:textFill>
            <w14:solidFill>
              <w14:schemeClr w14:val="tx1"/>
            </w14:solidFill>
          </w14:textFill>
        </w:rPr>
        <w:t>做精</w:t>
      </w:r>
      <w:r>
        <w:rPr>
          <w:rFonts w:hint="eastAsia"/>
          <w:color w:val="000000" w:themeColor="text1"/>
          <w:szCs w:val="32"/>
          <w14:textFill>
            <w14:solidFill>
              <w14:schemeClr w14:val="tx1"/>
            </w14:solidFill>
          </w14:textFill>
        </w:rPr>
        <w:t>公共服务业</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_Toc3506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34</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"_Toc11079"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第一节 文教卫体服务</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_Toc11079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34</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"_Toc20106"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第二节 社会保障服务</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_Toc20106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35</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"_Toc24878"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第三节 社区家政服务</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_Toc24878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36</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"_Toc8877"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第四节 公共市政服务</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_Toc8877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37</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2"/>
        <w:tabs>
          <w:tab w:val="right" w:leader="dot" w:pos="8306"/>
          <w:tab w:val="clear" w:pos="8296"/>
        </w:tabs>
        <w:rPr>
          <w:rFonts w:ascii="Calibri" w:hAnsi="Calibri" w:eastAsia="宋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"_Toc26076"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第五章 保障措施</w:t>
      </w:r>
      <w:r>
        <w:rPr>
          <w:rFonts w:ascii="Calibri" w:hAnsi="Calibri" w:eastAsia="宋体"/>
          <w:color w:val="000000" w:themeColor="text1"/>
          <w:szCs w:val="22"/>
          <w14:textFill>
            <w14:solidFill>
              <w14:schemeClr w14:val="tx1"/>
            </w14:solidFill>
          </w14:textFill>
        </w:rPr>
        <w:tab/>
      </w:r>
      <w:r>
        <w:rPr>
          <w:rFonts w:ascii="Calibri" w:hAnsi="Calibri" w:eastAsia="宋体"/>
          <w:color w:val="000000" w:themeColor="text1"/>
          <w:szCs w:val="22"/>
          <w14:textFill>
            <w14:solidFill>
              <w14:schemeClr w14:val="tx1"/>
            </w14:solidFill>
          </w14:textFill>
        </w:rPr>
        <w:fldChar w:fldCharType="begin"/>
      </w:r>
      <w:r>
        <w:rPr>
          <w:rFonts w:ascii="Calibri" w:hAnsi="Calibri" w:eastAsia="宋体"/>
          <w:color w:val="000000" w:themeColor="text1"/>
          <w:szCs w:val="22"/>
          <w14:textFill>
            <w14:solidFill>
              <w14:schemeClr w14:val="tx1"/>
            </w14:solidFill>
          </w14:textFill>
        </w:rPr>
        <w:instrText xml:space="preserve"> PAGEREF _Toc26076 </w:instrText>
      </w:r>
      <w:r>
        <w:rPr>
          <w:rFonts w:ascii="Calibri" w:hAnsi="Calibri" w:eastAsia="宋体"/>
          <w:color w:val="000000" w:themeColor="text1"/>
          <w:szCs w:val="22"/>
          <w14:textFill>
            <w14:solidFill>
              <w14:schemeClr w14:val="tx1"/>
            </w14:solidFill>
          </w14:textFill>
        </w:rPr>
        <w:fldChar w:fldCharType="separate"/>
      </w:r>
      <w:r>
        <w:rPr>
          <w:rFonts w:ascii="Calibri" w:hAnsi="Calibri" w:eastAsia="宋体"/>
          <w:color w:val="000000" w:themeColor="text1"/>
          <w:szCs w:val="22"/>
          <w14:textFill>
            <w14:solidFill>
              <w14:schemeClr w14:val="tx1"/>
            </w14:solidFill>
          </w14:textFill>
        </w:rPr>
        <w:t>38</w:t>
      </w:r>
      <w:r>
        <w:rPr>
          <w:rFonts w:ascii="Calibri" w:hAnsi="Calibri" w:eastAsia="宋体"/>
          <w:color w:val="000000" w:themeColor="text1"/>
          <w:szCs w:val="22"/>
          <w14:textFill>
            <w14:solidFill>
              <w14:schemeClr w14:val="tx1"/>
            </w14:solidFill>
          </w14:textFill>
        </w:rPr>
        <w:fldChar w:fldCharType="end"/>
      </w:r>
      <w:r>
        <w:rPr>
          <w:rFonts w:ascii="Calibri" w:hAnsi="Calibri" w:eastAsia="宋体"/>
          <w:color w:val="000000" w:themeColor="text1"/>
          <w:szCs w:val="22"/>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"_Toc27003"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第一节 加大政策扶持力度</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_Toc27003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38</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"_Toc2693"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第二节 强化要素保障</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_Toc2693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39</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"_Toc10598"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第三节 加强组织考核</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_Toc10598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39</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"_Toc30135"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第四节 创新运营管理模式</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_Toc30135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40</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pStyle w:val="13"/>
        <w:tabs>
          <w:tab w:val="right" w:leader="dot" w:pos="8306"/>
        </w:tabs>
        <w:rPr>
          <w:rFonts w:eastAsia="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"_Toc18714"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第五节 健全统计体系</w:t>
      </w:r>
      <w:r>
        <w:rPr>
          <w:rFonts w:eastAsia="宋体"/>
          <w:color w:val="000000" w:themeColor="text1"/>
          <w14:textFill>
            <w14:solidFill>
              <w14:schemeClr w14:val="tx1"/>
            </w14:solidFill>
          </w14:textFill>
        </w:rPr>
        <w:tab/>
      </w: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PAGEREF _Toc18714 </w:instrText>
      </w:r>
      <w:r>
        <w:rPr>
          <w:rFonts w:eastAsia="宋体"/>
          <w:color w:val="000000" w:themeColor="text1"/>
          <w14:textFill>
            <w14:solidFill>
              <w14:schemeClr w14:val="tx1"/>
            </w14:solidFill>
          </w14:textFill>
        </w:rPr>
        <w:fldChar w:fldCharType="separate"/>
      </w:r>
      <w:r>
        <w:rPr>
          <w:rFonts w:eastAsia="宋体"/>
          <w:color w:val="000000" w:themeColor="text1"/>
          <w14:textFill>
            <w14:solidFill>
              <w14:schemeClr w14:val="tx1"/>
            </w14:solidFill>
          </w14:textFill>
        </w:rPr>
        <w:t>40</w:t>
      </w:r>
      <w:r>
        <w:rPr>
          <w:rFonts w:eastAsia="宋体"/>
          <w:color w:val="000000" w:themeColor="text1"/>
          <w14:textFill>
            <w14:solidFill>
              <w14:schemeClr w14:val="tx1"/>
            </w14:solidFill>
          </w14:textFill>
        </w:rPr>
        <w:fldChar w:fldCharType="end"/>
      </w:r>
      <w:r>
        <w:rPr>
          <w:rFonts w:eastAsia="宋体"/>
          <w:color w:val="000000" w:themeColor="text1"/>
          <w14:textFill>
            <w14:solidFill>
              <w14:schemeClr w14:val="tx1"/>
            </w14:solidFill>
          </w14:textFill>
        </w:rPr>
        <w:fldChar w:fldCharType="end"/>
      </w:r>
    </w:p>
    <w:p>
      <w:pPr>
        <w:widowControl/>
        <w:spacing w:line="560" w:lineRule="exact"/>
        <w:jc w:val="left"/>
        <w:rPr>
          <w:rFonts w:ascii="Times New Roman" w:hAnsi="Times New Roman" w:eastAsia="华文中宋"/>
          <w:color w:val="000000" w:themeColor="text1"/>
          <w:szCs w:val="32"/>
          <w14:textFill>
            <w14:solidFill>
              <w14:schemeClr w14:val="tx1"/>
            </w14:solidFill>
          </w14:textFill>
        </w:rPr>
      </w:pPr>
      <w:r>
        <w:rPr>
          <w:rFonts w:ascii="Times New Roman" w:hAnsi="Times New Roman" w:eastAsia="华文中宋"/>
          <w:color w:val="000000" w:themeColor="text1"/>
          <w:szCs w:val="32"/>
          <w14:textFill>
            <w14:solidFill>
              <w14:schemeClr w14:val="tx1"/>
            </w14:solidFill>
          </w14:textFill>
        </w:rPr>
        <w:fldChar w:fldCharType="end"/>
      </w:r>
    </w:p>
    <w:p>
      <w:pPr>
        <w:pStyle w:val="2"/>
        <w:rPr>
          <w:color w:val="000000" w:themeColor="text1"/>
          <w14:textFill>
            <w14:solidFill>
              <w14:schemeClr w14:val="tx1"/>
            </w14:solidFill>
          </w14:textFill>
        </w:rPr>
        <w:sectPr>
          <w:footerReference r:id="rId4" w:type="default"/>
          <w:footerReference r:id="rId5" w:type="even"/>
          <w:type w:val="continuous"/>
          <w:pgSz w:w="11906" w:h="16838"/>
          <w:pgMar w:top="1440" w:right="1800" w:bottom="1440" w:left="1800" w:header="851" w:footer="992" w:gutter="0"/>
          <w:cols w:space="720" w:num="1"/>
          <w:docGrid w:type="lines" w:linePitch="312" w:charSpace="0"/>
        </w:sectPr>
      </w:pPr>
    </w:p>
    <w:p>
      <w:pPr>
        <w:pStyle w:val="3"/>
        <w:spacing w:before="0" w:after="0" w:line="560" w:lineRule="exact"/>
        <w:jc w:val="center"/>
        <w:rPr>
          <w:rFonts w:eastAsia="黑体"/>
          <w:color w:val="000000" w:themeColor="text1"/>
          <w:sz w:val="32"/>
          <w:szCs w:val="32"/>
          <w14:textFill>
            <w14:solidFill>
              <w14:schemeClr w14:val="tx1"/>
            </w14:solidFill>
          </w14:textFill>
        </w:rPr>
      </w:pPr>
      <w:bookmarkStart w:id="0" w:name="_Toc3745"/>
      <w:r>
        <w:rPr>
          <w:rFonts w:eastAsia="黑体"/>
          <w:color w:val="000000" w:themeColor="text1"/>
          <w:sz w:val="32"/>
          <w:szCs w:val="32"/>
          <w14:textFill>
            <w14:solidFill>
              <w14:schemeClr w14:val="tx1"/>
            </w14:solidFill>
          </w14:textFill>
        </w:rPr>
        <w:t>前  言</w:t>
      </w:r>
      <w:bookmarkEnd w:id="0"/>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服务业是一个国家或地区现代化程度和社会发展水平的重要标志。</w:t>
      </w:r>
      <w:r>
        <w:rPr>
          <w:rFonts w:ascii="Times New Roman" w:hAnsi="Times New Roman" w:eastAsia="仿宋_GB2312"/>
          <w:color w:val="000000" w:themeColor="text1"/>
          <w:sz w:val="32"/>
          <w:szCs w:val="32"/>
          <w14:textFill>
            <w14:solidFill>
              <w14:schemeClr w14:val="tx1"/>
            </w14:solidFill>
          </w14:textFill>
        </w:rPr>
        <w:t>当前，鄂尔多斯市东胜区正处于</w:t>
      </w:r>
      <w:r>
        <w:rPr>
          <w:rFonts w:hint="eastAsia" w:ascii="Times New Roman" w:hAnsi="Times New Roman" w:eastAsia="仿宋_GB2312"/>
          <w:color w:val="000000" w:themeColor="text1"/>
          <w:sz w:val="32"/>
          <w:szCs w:val="32"/>
          <w14:textFill>
            <w14:solidFill>
              <w14:schemeClr w14:val="tx1"/>
            </w14:solidFill>
          </w14:textFill>
        </w:rPr>
        <w:t>经济结构的深入调整期</w:t>
      </w:r>
      <w:r>
        <w:rPr>
          <w:rFonts w:ascii="Times New Roman" w:hAnsi="Times New Roman" w:eastAsia="仿宋_GB2312"/>
          <w:color w:val="000000" w:themeColor="text1"/>
          <w:sz w:val="32"/>
          <w:szCs w:val="32"/>
          <w14:textFill>
            <w14:solidFill>
              <w14:schemeClr w14:val="tx1"/>
            </w14:solidFill>
          </w14:textFill>
        </w:rPr>
        <w:t>、建设区域性</w:t>
      </w:r>
      <w:r>
        <w:rPr>
          <w:rFonts w:hint="eastAsia" w:ascii="Times New Roman" w:hAnsi="Times New Roman" w:eastAsia="仿宋_GB2312"/>
          <w:color w:val="000000" w:themeColor="text1"/>
          <w:sz w:val="32"/>
          <w:szCs w:val="32"/>
          <w14:textFill>
            <w14:solidFill>
              <w14:schemeClr w14:val="tx1"/>
            </w14:solidFill>
          </w14:textFill>
        </w:rPr>
        <w:t>新兴经济中心</w:t>
      </w:r>
      <w:r>
        <w:rPr>
          <w:rFonts w:ascii="Times New Roman" w:hAnsi="Times New Roman" w:eastAsia="仿宋_GB2312"/>
          <w:color w:val="000000" w:themeColor="text1"/>
          <w:sz w:val="32"/>
          <w:szCs w:val="32"/>
          <w14:textFill>
            <w14:solidFill>
              <w14:schemeClr w14:val="tx1"/>
            </w14:solidFill>
          </w14:textFill>
        </w:rPr>
        <w:t>的关键时期。由此，大力发展服务业，形成完善的生产、生活与公共服务体系，已成为东胜区新一轮发展的重大战略抉择，对优化产业结构、提升生活品质、促进东胜区乃至全市经济快速协调发展具有重大意义。为明确东胜区服务业发展的思路和目标，优化总体空间布局，确立服务业各领域发展重点，健全政策措施体系，特编制《鄂尔多斯市东胜区服务业发展</w:t>
      </w:r>
      <w:r>
        <w:rPr>
          <w:rFonts w:hint="eastAsia" w:ascii="Times New Roman" w:hAnsi="Times New Roman" w:eastAsia="仿宋_GB2312"/>
          <w:color w:val="000000" w:themeColor="text1"/>
          <w:sz w:val="32"/>
          <w:szCs w:val="32"/>
          <w14:textFill>
            <w14:solidFill>
              <w14:schemeClr w14:val="tx1"/>
            </w14:solidFill>
          </w14:textFill>
        </w:rPr>
        <w:t>第十四个五年</w:t>
      </w:r>
      <w:r>
        <w:rPr>
          <w:rFonts w:ascii="Times New Roman" w:hAnsi="Times New Roman" w:eastAsia="仿宋_GB2312"/>
          <w:color w:val="000000" w:themeColor="text1"/>
          <w:sz w:val="32"/>
          <w:szCs w:val="32"/>
          <w14:textFill>
            <w14:solidFill>
              <w14:schemeClr w14:val="tx1"/>
            </w14:solidFill>
          </w14:textFill>
        </w:rPr>
        <w:t>规划》（以下简称“规划”）。</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规划依据：</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国务院办公厅关于以新业态新模式引领新型消费加快发展的意见</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《关于加快推动制造服务业高质量发展的意见》</w:t>
      </w:r>
      <w:r>
        <w:rPr>
          <w:rFonts w:ascii="Times New Roman" w:hAnsi="Times New Roman" w:eastAsia="仿宋_GB2312"/>
          <w:color w:val="000000" w:themeColor="text1"/>
          <w:sz w:val="32"/>
          <w:szCs w:val="32"/>
          <w14:textFill>
            <w14:solidFill>
              <w14:schemeClr w14:val="tx1"/>
            </w14:solidFill>
          </w14:textFill>
        </w:rPr>
        <w:t>《内蒙古自治区十</w:t>
      </w: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五规划</w:t>
      </w:r>
      <w:r>
        <w:rPr>
          <w:rFonts w:hint="eastAsia" w:ascii="Times New Roman" w:hAnsi="Times New Roman" w:eastAsia="仿宋_GB2312"/>
          <w:color w:val="000000" w:themeColor="text1"/>
          <w:sz w:val="32"/>
          <w:szCs w:val="32"/>
          <w14:textFill>
            <w14:solidFill>
              <w14:schemeClr w14:val="tx1"/>
            </w14:solidFill>
          </w14:textFill>
        </w:rPr>
        <w:t>纲要</w:t>
      </w:r>
      <w:r>
        <w:rPr>
          <w:rFonts w:ascii="Times New Roman" w:hAnsi="Times New Roman" w:eastAsia="仿宋_GB2312"/>
          <w:color w:val="000000" w:themeColor="text1"/>
          <w:sz w:val="32"/>
          <w:szCs w:val="32"/>
          <w14:textFill>
            <w14:solidFill>
              <w14:schemeClr w14:val="tx1"/>
            </w14:solidFill>
          </w14:textFill>
        </w:rPr>
        <w:t>》《鄂尔多斯市中心城区总体规划（2011-2030）》、《鄂尔多斯</w:t>
      </w:r>
      <w:r>
        <w:rPr>
          <w:rFonts w:hint="eastAsia" w:ascii="Times New Roman" w:hAnsi="Times New Roman" w:eastAsia="仿宋_GB2312"/>
          <w:color w:val="000000" w:themeColor="text1"/>
          <w:sz w:val="32"/>
          <w:szCs w:val="32"/>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十</w:t>
      </w: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五规划纲要》、《东胜区十</w:t>
      </w: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五规划纲要》、《东胜区</w:t>
      </w:r>
      <w:r>
        <w:rPr>
          <w:rFonts w:hint="eastAsia" w:ascii="Times New Roman" w:hAnsi="Times New Roman" w:eastAsia="仿宋_GB2312"/>
          <w:color w:val="000000" w:themeColor="text1"/>
          <w:sz w:val="32"/>
          <w:szCs w:val="32"/>
          <w14:textFill>
            <w14:solidFill>
              <w14:schemeClr w14:val="tx1"/>
            </w14:solidFill>
          </w14:textFill>
        </w:rPr>
        <w:t>服务业发展</w:t>
      </w:r>
      <w:r>
        <w:rPr>
          <w:rFonts w:ascii="Times New Roman" w:hAnsi="Times New Roman" w:eastAsia="仿宋_GB2312"/>
          <w:color w:val="000000" w:themeColor="text1"/>
          <w:sz w:val="32"/>
          <w:szCs w:val="32"/>
          <w14:textFill>
            <w14:solidFill>
              <w14:schemeClr w14:val="tx1"/>
            </w14:solidFill>
          </w14:textFill>
        </w:rPr>
        <w:t>三年行动计划》以及其它相关专项规划。</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规划范围：</w:t>
      </w:r>
      <w:r>
        <w:rPr>
          <w:rFonts w:ascii="Times New Roman" w:hAnsi="Times New Roman" w:eastAsia="仿宋_GB2312"/>
          <w:color w:val="000000" w:themeColor="text1"/>
          <w:sz w:val="32"/>
          <w:szCs w:val="32"/>
          <w14:textFill>
            <w14:solidFill>
              <w14:schemeClr w14:val="tx1"/>
            </w14:solidFill>
          </w14:textFill>
        </w:rPr>
        <w:t>东胜区全域，包括巴音门克、富兴、公园、诃额伦、交通、建设、天骄、林荫、兴胜、民族、纺织、幸福街道十二个街道，以及泊江海子、罕台、铜川三个镇，区域面积约2145平方公里。</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规划期限：</w:t>
      </w:r>
      <w:r>
        <w:rPr>
          <w:rFonts w:ascii="Times New Roman" w:hAnsi="Times New Roman" w:eastAsia="仿宋_GB2312"/>
          <w:color w:val="000000" w:themeColor="text1"/>
          <w:sz w:val="32"/>
          <w:szCs w:val="32"/>
          <w14:textFill>
            <w14:solidFill>
              <w14:schemeClr w14:val="tx1"/>
            </w14:solidFill>
          </w14:textFill>
        </w:rPr>
        <w:t xml:space="preserve"> 20</w:t>
      </w:r>
      <w:r>
        <w:rPr>
          <w:rFonts w:hint="eastAsia" w:ascii="Times New Roman" w:hAnsi="Times New Roman" w:eastAsia="仿宋_GB2312"/>
          <w:color w:val="000000" w:themeColor="text1"/>
          <w:sz w:val="32"/>
          <w:szCs w:val="32"/>
          <w14:textFill>
            <w14:solidFill>
              <w14:schemeClr w14:val="tx1"/>
            </w14:solidFill>
          </w14:textFill>
        </w:rPr>
        <w:t>21</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25</w:t>
      </w:r>
      <w:r>
        <w:rPr>
          <w:rFonts w:ascii="Times New Roman" w:hAnsi="Times New Roman" w:eastAsia="仿宋_GB2312"/>
          <w:color w:val="000000" w:themeColor="text1"/>
          <w:sz w:val="32"/>
          <w:szCs w:val="32"/>
          <w14:textFill>
            <w14:solidFill>
              <w14:schemeClr w14:val="tx1"/>
            </w14:solidFill>
          </w14:textFill>
        </w:rPr>
        <w:t>年。</w:t>
      </w:r>
    </w:p>
    <w:p>
      <w:pPr>
        <w:spacing w:line="560" w:lineRule="exact"/>
        <w:rPr>
          <w:rFonts w:ascii="Times New Roman" w:hAnsi="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olor w:val="000000" w:themeColor="text1"/>
          <w:sz w:val="32"/>
          <w:szCs w:val="32"/>
          <w14:textFill>
            <w14:solidFill>
              <w14:schemeClr w14:val="tx1"/>
            </w14:solidFill>
          </w14:textFill>
        </w:rPr>
      </w:pPr>
    </w:p>
    <w:p>
      <w:pPr>
        <w:pStyle w:val="3"/>
        <w:spacing w:before="0" w:after="0" w:line="560" w:lineRule="exact"/>
        <w:jc w:val="center"/>
        <w:rPr>
          <w:rFonts w:eastAsia="黑体"/>
          <w:color w:val="000000" w:themeColor="text1"/>
          <w:sz w:val="32"/>
          <w:szCs w:val="32"/>
          <w14:textFill>
            <w14:solidFill>
              <w14:schemeClr w14:val="tx1"/>
            </w14:solidFill>
          </w14:textFill>
        </w:rPr>
      </w:pPr>
      <w:bookmarkStart w:id="1" w:name="_Toc8359"/>
      <w:r>
        <w:rPr>
          <w:rFonts w:hint="eastAsia" w:eastAsia="黑体"/>
          <w:color w:val="000000" w:themeColor="text1"/>
          <w:sz w:val="32"/>
          <w:szCs w:val="32"/>
          <w14:textFill>
            <w14:solidFill>
              <w14:schemeClr w14:val="tx1"/>
            </w14:solidFill>
          </w14:textFill>
        </w:rPr>
        <w:t xml:space="preserve">第一章 </w:t>
      </w:r>
      <w:r>
        <w:rPr>
          <w:rFonts w:eastAsia="黑体"/>
          <w:color w:val="000000" w:themeColor="text1"/>
          <w:sz w:val="32"/>
          <w:szCs w:val="32"/>
          <w14:textFill>
            <w14:solidFill>
              <w14:schemeClr w14:val="tx1"/>
            </w14:solidFill>
          </w14:textFill>
        </w:rPr>
        <w:t>发展基础</w:t>
      </w:r>
      <w:bookmarkEnd w:id="1"/>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 w:name="_Toc13166"/>
      <w:r>
        <w:rPr>
          <w:rFonts w:hint="eastAsia" w:ascii="Times New Roman" w:hAnsi="Times New Roman" w:eastAsia="仿宋_GB2312"/>
          <w:color w:val="000000" w:themeColor="text1"/>
          <w14:textFill>
            <w14:solidFill>
              <w14:schemeClr w14:val="tx1"/>
            </w14:solidFill>
          </w14:textFill>
        </w:rPr>
        <w:t xml:space="preserve">第一节 </w:t>
      </w:r>
      <w:r>
        <w:rPr>
          <w:rFonts w:ascii="Times New Roman" w:hAnsi="Times New Roman" w:eastAsia="仿宋_GB2312"/>
          <w:color w:val="000000" w:themeColor="text1"/>
          <w14:textFill>
            <w14:solidFill>
              <w14:schemeClr w14:val="tx1"/>
            </w14:solidFill>
          </w14:textFill>
        </w:rPr>
        <w:t>发展背景</w:t>
      </w:r>
      <w:bookmarkEnd w:id="2"/>
    </w:p>
    <w:p>
      <w:pPr>
        <w:spacing w:line="560" w:lineRule="exact"/>
        <w:ind w:firstLine="630" w:firstLineChars="196"/>
        <w:rPr>
          <w:rFonts w:ascii="Times New Roman" w:hAnsi="Times New Roman" w:eastAsia="仿宋_GB2312"/>
          <w:b/>
          <w:bCs/>
          <w:color w:val="000000" w:themeColor="text1"/>
          <w:kern w:val="0"/>
          <w:sz w:val="32"/>
          <w:szCs w:val="32"/>
          <w14:textFill>
            <w14:solidFill>
              <w14:schemeClr w14:val="tx1"/>
            </w14:solidFill>
          </w14:textFill>
        </w:rPr>
      </w:pPr>
    </w:p>
    <w:p>
      <w:pPr>
        <w:spacing w:line="560" w:lineRule="exact"/>
        <w:ind w:firstLine="630" w:firstLineChars="196"/>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区位</w:t>
      </w:r>
      <w:r>
        <w:rPr>
          <w:rFonts w:hint="eastAsia" w:ascii="Times New Roman" w:hAnsi="Times New Roman" w:eastAsia="仿宋_GB2312"/>
          <w:b/>
          <w:bCs/>
          <w:color w:val="000000" w:themeColor="text1"/>
          <w:kern w:val="0"/>
          <w:sz w:val="32"/>
          <w:szCs w:val="32"/>
          <w14:textFill>
            <w14:solidFill>
              <w14:schemeClr w14:val="tx1"/>
            </w14:solidFill>
          </w14:textFill>
        </w:rPr>
        <w:t>优势明显。</w:t>
      </w:r>
      <w:r>
        <w:rPr>
          <w:rFonts w:ascii="Times New Roman" w:hAnsi="Times New Roman" w:eastAsia="仿宋_GB2312"/>
          <w:color w:val="000000" w:themeColor="text1"/>
          <w:sz w:val="32"/>
          <w:szCs w:val="32"/>
          <w14:textFill>
            <w14:solidFill>
              <w14:schemeClr w14:val="tx1"/>
            </w14:solidFill>
          </w14:textFill>
        </w:rPr>
        <w:t>东胜位于内蒙古自治区鄂尔多斯市中部偏东，地处国家战略功能区沿黄经济带，与政治中心呼和浩特、内蒙古最大工业城市包头呈品字形分布，</w:t>
      </w:r>
      <w:r>
        <w:rPr>
          <w:rFonts w:hint="eastAsia" w:ascii="Times New Roman" w:hAnsi="Times New Roman" w:eastAsia="仿宋_GB2312"/>
          <w:color w:val="000000" w:themeColor="text1"/>
          <w:sz w:val="32"/>
          <w:szCs w:val="32"/>
          <w14:textFill>
            <w14:solidFill>
              <w14:schemeClr w14:val="tx1"/>
            </w14:solidFill>
          </w14:textFill>
        </w:rPr>
        <w:t>是</w:t>
      </w:r>
      <w:r>
        <w:rPr>
          <w:rFonts w:ascii="Times New Roman" w:hAnsi="Times New Roman" w:eastAsia="仿宋_GB2312"/>
          <w:color w:val="000000" w:themeColor="text1"/>
          <w:sz w:val="32"/>
          <w:szCs w:val="32"/>
          <w14:textFill>
            <w14:solidFill>
              <w14:schemeClr w14:val="tx1"/>
            </w14:solidFill>
          </w14:textFill>
        </w:rPr>
        <w:t>内蒙古</w:t>
      </w:r>
      <w:r>
        <w:rPr>
          <w:rFonts w:hint="eastAsia" w:ascii="Times New Roman" w:hAnsi="Times New Roman" w:eastAsia="仿宋_GB2312"/>
          <w:color w:val="000000" w:themeColor="text1"/>
          <w:sz w:val="32"/>
          <w:szCs w:val="32"/>
          <w14:textFill>
            <w14:solidFill>
              <w14:schemeClr w14:val="tx1"/>
            </w14:solidFill>
          </w14:textFill>
        </w:rPr>
        <w:t>自治区呼包鄂乌一体化发展战略的重要一极。</w:t>
      </w:r>
      <w:r>
        <w:rPr>
          <w:rFonts w:ascii="Times New Roman" w:hAnsi="Times New Roman" w:eastAsia="仿宋_GB2312"/>
          <w:color w:val="000000" w:themeColor="text1"/>
          <w:sz w:val="32"/>
          <w:szCs w:val="32"/>
          <w14:textFill>
            <w14:solidFill>
              <w14:schemeClr w14:val="tx1"/>
            </w14:solidFill>
          </w14:textFill>
        </w:rPr>
        <w:t>公路、铁路、航空交通网络日益完善，109、210国道在此交汇，包茂、荣乌高速公路与包府公路贯穿城区，包西、准东、东乌铁路</w:t>
      </w:r>
      <w:r>
        <w:rPr>
          <w:rFonts w:hint="eastAsia" w:ascii="Times New Roman" w:hAnsi="Times New Roman" w:eastAsia="仿宋_GB2312"/>
          <w:color w:val="000000" w:themeColor="text1"/>
          <w:sz w:val="32"/>
          <w:szCs w:val="32"/>
          <w14:textFill>
            <w14:solidFill>
              <w14:schemeClr w14:val="tx1"/>
            </w14:solidFill>
          </w14:textFill>
        </w:rPr>
        <w:t>、呼鄂动车</w:t>
      </w:r>
      <w:r>
        <w:rPr>
          <w:rFonts w:ascii="Times New Roman" w:hAnsi="Times New Roman" w:eastAsia="仿宋_GB2312"/>
          <w:color w:val="000000" w:themeColor="text1"/>
          <w:sz w:val="32"/>
          <w:szCs w:val="32"/>
          <w14:textFill>
            <w14:solidFill>
              <w14:schemeClr w14:val="tx1"/>
            </w14:solidFill>
          </w14:textFill>
        </w:rPr>
        <w:t>四通八达，是晋、陕、宁、蒙地区重要的商品集散地和陆路运输要冲。优越的交通区位与完备的基础设施，为物流、商贸等行业发展带来广阔前景。</w:t>
      </w:r>
    </w:p>
    <w:p>
      <w:pPr>
        <w:spacing w:line="56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 xml:space="preserve">    </w:t>
      </w:r>
      <w:r>
        <w:rPr>
          <w:rFonts w:ascii="Times New Roman" w:hAnsi="Times New Roman" w:eastAsia="仿宋_GB2312"/>
          <w:b/>
          <w:bCs/>
          <w:color w:val="000000" w:themeColor="text1"/>
          <w:kern w:val="0"/>
          <w:sz w:val="32"/>
          <w:szCs w:val="32"/>
          <w14:textFill>
            <w14:solidFill>
              <w14:schemeClr w14:val="tx1"/>
            </w14:solidFill>
          </w14:textFill>
        </w:rPr>
        <w:t>生态环境优良</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东胜区气候宜人、自然环境优越，先后荣获</w:t>
      </w:r>
      <w:r>
        <w:rPr>
          <w:rFonts w:hint="eastAsia" w:ascii="Times New Roman" w:hAnsi="Times New Roman" w:eastAsia="仿宋_GB2312"/>
          <w:color w:val="000000" w:themeColor="text1"/>
          <w:sz w:val="32"/>
          <w:szCs w:val="32"/>
          <w14:textFill>
            <w14:solidFill>
              <w14:schemeClr w14:val="tx1"/>
            </w14:solidFill>
          </w14:textFill>
        </w:rPr>
        <w:t>“全国绿色发展百强区”，荣膺“全国绿化模范单位”荣誉称号</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年，城市空气质量优良天数为3</w:t>
      </w:r>
      <w:r>
        <w:rPr>
          <w:rFonts w:hint="eastAsia" w:ascii="Times New Roman" w:hAnsi="Times New Roman" w:eastAsia="仿宋_GB2312"/>
          <w:color w:val="000000" w:themeColor="text1"/>
          <w:sz w:val="32"/>
          <w:szCs w:val="32"/>
          <w14:textFill>
            <w14:solidFill>
              <w14:schemeClr w14:val="tx1"/>
            </w14:solidFill>
          </w14:textFill>
        </w:rPr>
        <w:t>30</w:t>
      </w:r>
      <w:r>
        <w:rPr>
          <w:rFonts w:ascii="Times New Roman" w:hAnsi="Times New Roman" w:eastAsia="仿宋_GB2312"/>
          <w:color w:val="000000" w:themeColor="text1"/>
          <w:sz w:val="32"/>
          <w:szCs w:val="32"/>
          <w14:textFill>
            <w14:solidFill>
              <w14:schemeClr w14:val="tx1"/>
            </w14:solidFill>
          </w14:textFill>
        </w:rPr>
        <w:t>天，占全年天数的</w:t>
      </w:r>
      <w:r>
        <w:rPr>
          <w:rFonts w:hint="eastAsia" w:ascii="Times New Roman" w:hAnsi="Times New Roman" w:eastAsia="仿宋_GB2312"/>
          <w:color w:val="000000" w:themeColor="text1"/>
          <w:sz w:val="32"/>
          <w:szCs w:val="32"/>
          <w14:textFill>
            <w14:solidFill>
              <w14:schemeClr w14:val="tx1"/>
            </w14:solidFill>
          </w14:textFill>
        </w:rPr>
        <w:t>90.4</w:t>
      </w:r>
      <w:r>
        <w:rPr>
          <w:rFonts w:ascii="Times New Roman" w:hAnsi="Times New Roman" w:eastAsia="仿宋_GB2312"/>
          <w:color w:val="000000" w:themeColor="text1"/>
          <w:sz w:val="32"/>
          <w:szCs w:val="32"/>
          <w14:textFill>
            <w14:solidFill>
              <w14:schemeClr w14:val="tx1"/>
            </w14:solidFill>
          </w14:textFill>
        </w:rPr>
        <w:t>%。夏季平均气温21℃，在国内其他城市饱受雾霾、酷暑影响的情况下，“21摄氏度的夏天”与“中国好空气”更加成为稀缺资源。同时，东胜区高度重视生态环境建设，</w:t>
      </w:r>
      <w:r>
        <w:rPr>
          <w:rFonts w:hint="eastAsia" w:ascii="Times New Roman" w:hAnsi="Times New Roman" w:eastAsia="仿宋_GB2312"/>
          <w:color w:val="000000" w:themeColor="text1"/>
          <w:sz w:val="32"/>
          <w:szCs w:val="32"/>
          <w14:textFill>
            <w14:solidFill>
              <w14:schemeClr w14:val="tx1"/>
            </w14:solidFill>
          </w14:textFill>
        </w:rPr>
        <w:t>严格落实河湖长制，积极开展河湖“清四乱”专项行动，持续修复、治理矿山生态环境，大力推进遗鸥国家级自然保护区湿地修复工程，</w:t>
      </w:r>
      <w:r>
        <w:rPr>
          <w:rFonts w:ascii="Times New Roman" w:hAnsi="Times New Roman" w:eastAsia="仿宋_GB2312"/>
          <w:color w:val="000000" w:themeColor="text1"/>
          <w:sz w:val="32"/>
          <w:szCs w:val="32"/>
          <w14:textFill>
            <w14:solidFill>
              <w14:schemeClr w14:val="tx1"/>
            </w14:solidFill>
          </w14:textFill>
        </w:rPr>
        <w:t>森林覆盖率达</w:t>
      </w:r>
      <w:r>
        <w:rPr>
          <w:rFonts w:hint="eastAsia" w:ascii="Times New Roman" w:hAnsi="Times New Roman" w:eastAsia="仿宋_GB2312"/>
          <w:color w:val="000000" w:themeColor="text1"/>
          <w:sz w:val="32"/>
          <w:szCs w:val="32"/>
          <w14:textFill>
            <w14:solidFill>
              <w14:schemeClr w14:val="tx1"/>
            </w14:solidFill>
          </w14:textFill>
        </w:rPr>
        <w:t>32.3</w:t>
      </w:r>
      <w:r>
        <w:rPr>
          <w:rFonts w:ascii="Times New Roman" w:hAnsi="Times New Roman" w:eastAsia="仿宋_GB2312"/>
          <w:color w:val="000000" w:themeColor="text1"/>
          <w:sz w:val="32"/>
          <w:szCs w:val="32"/>
          <w14:textFill>
            <w14:solidFill>
              <w14:schemeClr w14:val="tx1"/>
            </w14:solidFill>
          </w14:textFill>
        </w:rPr>
        <w:t>%。优越的生态环境，为东胜区发展</w:t>
      </w:r>
      <w:r>
        <w:rPr>
          <w:rFonts w:hint="eastAsia" w:ascii="Times New Roman" w:hAnsi="Times New Roman" w:eastAsia="仿宋_GB2312"/>
          <w:color w:val="000000" w:themeColor="text1"/>
          <w:sz w:val="32"/>
          <w:szCs w:val="32"/>
          <w14:textFill>
            <w14:solidFill>
              <w14:schemeClr w14:val="tx1"/>
            </w14:solidFill>
          </w14:textFill>
        </w:rPr>
        <w:t>文化</w:t>
      </w:r>
      <w:r>
        <w:rPr>
          <w:rFonts w:ascii="Times New Roman" w:hAnsi="Times New Roman" w:eastAsia="仿宋_GB2312"/>
          <w:color w:val="000000" w:themeColor="text1"/>
          <w:sz w:val="32"/>
          <w:szCs w:val="32"/>
          <w14:textFill>
            <w14:solidFill>
              <w14:schemeClr w14:val="tx1"/>
            </w14:solidFill>
          </w14:textFill>
        </w:rPr>
        <w:t>旅游、</w:t>
      </w:r>
      <w:r>
        <w:rPr>
          <w:rFonts w:hint="eastAsia" w:ascii="Times New Roman" w:hAnsi="Times New Roman" w:eastAsia="仿宋_GB2312"/>
          <w:color w:val="000000" w:themeColor="text1"/>
          <w:sz w:val="32"/>
          <w:szCs w:val="32"/>
          <w14:textFill>
            <w14:solidFill>
              <w14:schemeClr w14:val="tx1"/>
            </w14:solidFill>
          </w14:textFill>
        </w:rPr>
        <w:t>健康</w:t>
      </w:r>
      <w:r>
        <w:rPr>
          <w:rFonts w:ascii="Times New Roman" w:hAnsi="Times New Roman" w:eastAsia="仿宋_GB2312"/>
          <w:color w:val="000000" w:themeColor="text1"/>
          <w:sz w:val="32"/>
          <w:szCs w:val="32"/>
          <w14:textFill>
            <w14:solidFill>
              <w14:schemeClr w14:val="tx1"/>
            </w14:solidFill>
          </w14:textFill>
        </w:rPr>
        <w:t>养老产业创造了得天独厚的条件。</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产业</w:t>
      </w:r>
      <w:r>
        <w:rPr>
          <w:rFonts w:hint="eastAsia" w:ascii="Times New Roman" w:hAnsi="Times New Roman" w:eastAsia="仿宋_GB2312"/>
          <w:b/>
          <w:bCs/>
          <w:color w:val="000000" w:themeColor="text1"/>
          <w:kern w:val="0"/>
          <w:sz w:val="32"/>
          <w:szCs w:val="32"/>
          <w14:textFill>
            <w14:solidFill>
              <w14:schemeClr w14:val="tx1"/>
            </w14:solidFill>
          </w14:textFill>
        </w:rPr>
        <w:t>结构合理。</w:t>
      </w:r>
      <w:r>
        <w:rPr>
          <w:rFonts w:ascii="Times New Roman" w:hAnsi="Times New Roman" w:eastAsia="仿宋_GB2312"/>
          <w:color w:val="000000" w:themeColor="text1"/>
          <w:sz w:val="32"/>
          <w:szCs w:val="32"/>
          <w14:textFill>
            <w14:solidFill>
              <w14:schemeClr w14:val="tx1"/>
            </w14:solidFill>
          </w14:textFill>
        </w:rPr>
        <w:t>东胜</w:t>
      </w:r>
      <w:r>
        <w:rPr>
          <w:rFonts w:hint="eastAsia" w:ascii="Times New Roman" w:hAnsi="Times New Roman" w:eastAsia="仿宋_GB2312"/>
          <w:color w:val="000000" w:themeColor="text1"/>
          <w:sz w:val="32"/>
          <w:szCs w:val="32"/>
          <w14:textFill>
            <w14:solidFill>
              <w14:schemeClr w14:val="tx1"/>
            </w14:solidFill>
          </w14:textFill>
        </w:rPr>
        <w:t>区产业结构不断优化</w:t>
      </w:r>
      <w:r>
        <w:rPr>
          <w:rFonts w:ascii="Times New Roman" w:hAnsi="Times New Roman" w:eastAsia="仿宋_GB2312"/>
          <w:color w:val="000000" w:themeColor="text1"/>
          <w:sz w:val="32"/>
          <w:szCs w:val="32"/>
          <w14:textFill>
            <w14:solidFill>
              <w14:schemeClr w14:val="tx1"/>
            </w14:solidFill>
          </w14:textFill>
        </w:rPr>
        <w:t>，已形成</w:t>
      </w:r>
      <w:r>
        <w:rPr>
          <w:rFonts w:hint="eastAsia" w:ascii="Times New Roman" w:hAnsi="Times New Roman" w:eastAsia="仿宋_GB2312"/>
          <w:color w:val="000000" w:themeColor="text1"/>
          <w:sz w:val="32"/>
          <w:szCs w:val="32"/>
          <w14:textFill>
            <w14:solidFill>
              <w14:schemeClr w14:val="tx1"/>
            </w14:solidFill>
          </w14:textFill>
        </w:rPr>
        <w:t>高端装备制造、</w:t>
      </w:r>
      <w:r>
        <w:rPr>
          <w:rFonts w:ascii="Times New Roman" w:hAnsi="Times New Roman" w:eastAsia="仿宋_GB2312"/>
          <w:color w:val="000000" w:themeColor="text1"/>
          <w:sz w:val="32"/>
          <w:szCs w:val="32"/>
          <w14:textFill>
            <w14:solidFill>
              <w14:schemeClr w14:val="tx1"/>
            </w14:solidFill>
          </w14:textFill>
        </w:rPr>
        <w:t>煤炭、绒纺、</w:t>
      </w:r>
      <w:r>
        <w:rPr>
          <w:rFonts w:hint="eastAsia" w:ascii="Times New Roman" w:hAnsi="Times New Roman" w:eastAsia="仿宋_GB2312"/>
          <w:color w:val="000000" w:themeColor="text1"/>
          <w:sz w:val="32"/>
          <w:szCs w:val="32"/>
          <w14:textFill>
            <w14:solidFill>
              <w14:schemeClr w14:val="tx1"/>
            </w14:solidFill>
          </w14:textFill>
        </w:rPr>
        <w:t>战略性新兴产业</w:t>
      </w:r>
      <w:r>
        <w:rPr>
          <w:rFonts w:ascii="Times New Roman" w:hAnsi="Times New Roman" w:eastAsia="仿宋_GB2312"/>
          <w:color w:val="000000" w:themeColor="text1"/>
          <w:sz w:val="32"/>
          <w:szCs w:val="32"/>
          <w14:textFill>
            <w14:solidFill>
              <w14:schemeClr w14:val="tx1"/>
            </w14:solidFill>
          </w14:textFill>
        </w:rPr>
        <w:t>为核心的现代产业体系。</w:t>
      </w:r>
      <w:r>
        <w:rPr>
          <w:rFonts w:hint="eastAsia" w:ascii="Times New Roman" w:hAnsi="Times New Roman" w:eastAsia="仿宋_GB2312"/>
          <w:color w:val="000000" w:themeColor="text1"/>
          <w:sz w:val="32"/>
          <w:szCs w:val="32"/>
          <w14:textFill>
            <w14:solidFill>
              <w14:schemeClr w14:val="tx1"/>
            </w14:solidFill>
          </w14:textFill>
        </w:rPr>
        <w:t>三次产业结构比例由“十二五”期末的0.2:37.3:62.5调整为0.2:34.4:65.4，规模以上工业增加值年均增速达到6.5%，非煤产业占规模以上工业增加值比重达到22.9％。扎实的经济基础、不断优化的产业结构有利于</w:t>
      </w:r>
      <w:r>
        <w:rPr>
          <w:rFonts w:ascii="Times New Roman" w:hAnsi="Times New Roman" w:eastAsia="仿宋_GB2312"/>
          <w:color w:val="000000" w:themeColor="text1"/>
          <w:sz w:val="32"/>
          <w:szCs w:val="32"/>
          <w14:textFill>
            <w14:solidFill>
              <w14:schemeClr w14:val="tx1"/>
            </w14:solidFill>
          </w14:textFill>
        </w:rPr>
        <w:t>推动物流、科研、商务、金融、会展等生产性服务业大发展。</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城市承载力增强。</w:t>
      </w:r>
      <w:r>
        <w:rPr>
          <w:rFonts w:hint="eastAsia" w:ascii="Times New Roman" w:hAnsi="Times New Roman" w:eastAsia="仿宋_GB2312"/>
          <w:color w:val="000000" w:themeColor="text1"/>
          <w:sz w:val="32"/>
          <w:szCs w:val="32"/>
          <w14:textFill>
            <w14:solidFill>
              <w14:schemeClr w14:val="tx1"/>
            </w14:solidFill>
          </w14:textFill>
        </w:rPr>
        <w:t>城市建设向精细化、精品化方向发展</w:t>
      </w:r>
      <w:r>
        <w:rPr>
          <w:rFonts w:ascii="Times New Roman" w:hAnsi="Times New Roman" w:eastAsia="仿宋_GB2312"/>
          <w:color w:val="000000" w:themeColor="text1"/>
          <w:sz w:val="32"/>
          <w:szCs w:val="32"/>
          <w14:textFill>
            <w14:solidFill>
              <w14:schemeClr w14:val="tx1"/>
            </w14:solidFill>
          </w14:textFill>
        </w:rPr>
        <w:t>，城市发展格局</w:t>
      </w:r>
      <w:r>
        <w:rPr>
          <w:rFonts w:hint="eastAsia" w:ascii="Times New Roman" w:hAnsi="Times New Roman" w:eastAsia="仿宋_GB2312"/>
          <w:color w:val="000000" w:themeColor="text1"/>
          <w:sz w:val="32"/>
          <w:szCs w:val="32"/>
          <w14:textFill>
            <w14:solidFill>
              <w14:schemeClr w14:val="tx1"/>
            </w14:solidFill>
          </w14:textFill>
        </w:rPr>
        <w:t>更加</w:t>
      </w:r>
      <w:r>
        <w:rPr>
          <w:rFonts w:ascii="Times New Roman" w:hAnsi="Times New Roman" w:eastAsia="仿宋_GB2312"/>
          <w:color w:val="000000" w:themeColor="text1"/>
          <w:sz w:val="32"/>
          <w:szCs w:val="32"/>
          <w14:textFill>
            <w14:solidFill>
              <w14:schemeClr w14:val="tx1"/>
            </w14:solidFill>
          </w14:textFill>
        </w:rPr>
        <w:t>优化</w:t>
      </w:r>
      <w:r>
        <w:rPr>
          <w:rFonts w:hint="eastAsia" w:ascii="Times New Roman" w:hAnsi="Times New Roman" w:eastAsia="仿宋_GB2312"/>
          <w:color w:val="000000" w:themeColor="text1"/>
          <w:sz w:val="32"/>
          <w:szCs w:val="32"/>
          <w14:textFill>
            <w14:solidFill>
              <w14:schemeClr w14:val="tx1"/>
            </w14:solidFill>
          </w14:textFill>
        </w:rPr>
        <w:t>，品质东胜基本建成</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全区集中供热率达到98%，供水普及率提高到98%，水质合格率达到100%，生活垃圾无害化处理率达到95.8%。城市绿化美化成效显著，绿化覆盖率达到43%，人均公园绿地面积15.1平方米。城市精细化治理深入推进，评为“全国新型城镇化质量百强区”。</w:t>
      </w:r>
      <w:r>
        <w:rPr>
          <w:rFonts w:ascii="Times New Roman" w:hAnsi="Times New Roman" w:eastAsia="仿宋_GB2312"/>
          <w:color w:val="000000" w:themeColor="text1"/>
          <w:sz w:val="32"/>
          <w:szCs w:val="32"/>
          <w14:textFill>
            <w14:solidFill>
              <w14:schemeClr w14:val="tx1"/>
            </w14:solidFill>
          </w14:textFill>
        </w:rPr>
        <w:t>城市功能设施</w:t>
      </w:r>
      <w:r>
        <w:rPr>
          <w:rFonts w:hint="eastAsia" w:ascii="Times New Roman" w:hAnsi="Times New Roman" w:eastAsia="仿宋_GB2312"/>
          <w:color w:val="000000" w:themeColor="text1"/>
          <w:sz w:val="32"/>
          <w:szCs w:val="32"/>
          <w14:textFill>
            <w14:solidFill>
              <w14:schemeClr w14:val="tx1"/>
            </w14:solidFill>
          </w14:textFill>
        </w:rPr>
        <w:t>的不断完善</w:t>
      </w:r>
      <w:r>
        <w:rPr>
          <w:rFonts w:ascii="Times New Roman" w:hAnsi="Times New Roman" w:eastAsia="仿宋_GB2312"/>
          <w:color w:val="000000" w:themeColor="text1"/>
          <w:sz w:val="32"/>
          <w:szCs w:val="32"/>
          <w14:textFill>
            <w14:solidFill>
              <w14:schemeClr w14:val="tx1"/>
            </w14:solidFill>
          </w14:textFill>
        </w:rPr>
        <w:t>，有力保障了服务业发展的空间载体需求。</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居民福祉提升。</w:t>
      </w:r>
      <w:r>
        <w:rPr>
          <w:rFonts w:hint="eastAsia" w:ascii="Times New Roman" w:hAnsi="Times New Roman" w:eastAsia="仿宋_GB2312"/>
          <w:color w:val="000000" w:themeColor="text1"/>
          <w:sz w:val="32"/>
          <w:szCs w:val="32"/>
          <w14:textFill>
            <w14:solidFill>
              <w14:schemeClr w14:val="tx1"/>
            </w14:solidFill>
          </w14:textFill>
        </w:rPr>
        <w:t>持续优化学区制建设，引进衡水高中教育、枫叶国际教育等优质教育品牌，教育均衡发展全面推进，教学质量稳步提升，学生、幼儿人数达到9.5万人。文化事业取得长足进步，建成文化馆分馆24个，图书馆107处。健康养老服务体系进一步健全，全区拥有各级各类医疗卫生机构422个，各类卫生专业技术人员5060人，千名老人拥有养老床位数达到110张。城镇登记失业率控制在3.36%，全民参保覆盖率达95.2%，</w:t>
      </w:r>
      <w:r>
        <w:rPr>
          <w:rFonts w:ascii="Times New Roman" w:hAnsi="Times New Roman" w:eastAsia="仿宋_GB2312"/>
          <w:color w:val="000000" w:themeColor="text1"/>
          <w:sz w:val="32"/>
          <w:szCs w:val="32"/>
          <w14:textFill>
            <w14:solidFill>
              <w14:schemeClr w14:val="tx1"/>
            </w14:solidFill>
          </w14:textFill>
        </w:rPr>
        <w:t>城市安全和谐，</w:t>
      </w:r>
      <w:r>
        <w:rPr>
          <w:rFonts w:hint="eastAsia" w:ascii="Times New Roman" w:hAnsi="Times New Roman" w:eastAsia="仿宋_GB2312"/>
          <w:color w:val="000000" w:themeColor="text1"/>
          <w:sz w:val="32"/>
          <w:szCs w:val="32"/>
          <w14:textFill>
            <w14:solidFill>
              <w14:schemeClr w14:val="tx1"/>
            </w14:solidFill>
          </w14:textFill>
        </w:rPr>
        <w:t>以人民为中心的发展思想</w:t>
      </w:r>
      <w:r>
        <w:rPr>
          <w:rFonts w:ascii="Times New Roman" w:hAnsi="Times New Roman" w:eastAsia="仿宋_GB2312"/>
          <w:color w:val="000000" w:themeColor="text1"/>
          <w:sz w:val="32"/>
          <w:szCs w:val="32"/>
          <w14:textFill>
            <w14:solidFill>
              <w14:schemeClr w14:val="tx1"/>
            </w14:solidFill>
          </w14:textFill>
        </w:rPr>
        <w:t>为服务业发展营造了良好社会环境。</w:t>
      </w: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3" w:name="_Toc6847"/>
      <w:r>
        <w:rPr>
          <w:rFonts w:hint="eastAsia" w:ascii="Times New Roman" w:hAnsi="Times New Roman" w:eastAsia="仿宋_GB2312"/>
          <w:color w:val="000000" w:themeColor="text1"/>
          <w14:textFill>
            <w14:solidFill>
              <w14:schemeClr w14:val="tx1"/>
            </w14:solidFill>
          </w14:textFill>
        </w:rPr>
        <w:t xml:space="preserve">第二节 </w:t>
      </w:r>
      <w:r>
        <w:rPr>
          <w:rFonts w:ascii="Times New Roman" w:hAnsi="Times New Roman" w:eastAsia="仿宋_GB2312"/>
          <w:color w:val="000000" w:themeColor="text1"/>
          <w14:textFill>
            <w14:solidFill>
              <w14:schemeClr w14:val="tx1"/>
            </w14:solidFill>
          </w14:textFill>
        </w:rPr>
        <w:t>发展现状</w:t>
      </w:r>
      <w:bookmarkEnd w:id="3"/>
    </w:p>
    <w:p>
      <w:pPr>
        <w:spacing w:line="560" w:lineRule="exact"/>
        <w:ind w:firstLine="630" w:firstLineChars="196"/>
        <w:rPr>
          <w:rFonts w:ascii="Times New Roman" w:hAnsi="Times New Roman" w:eastAsia="仿宋_GB2312"/>
          <w:b/>
          <w:bCs/>
          <w:color w:val="000000" w:themeColor="text1"/>
          <w:kern w:val="0"/>
          <w:sz w:val="32"/>
          <w:szCs w:val="32"/>
          <w14:textFill>
            <w14:solidFill>
              <w14:schemeClr w14:val="tx1"/>
            </w14:solidFill>
          </w14:textFill>
        </w:rPr>
      </w:pP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总量规模增长较快，占比水平保持高位平稳</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从总量规模看,服务业发展势头强劲。</w:t>
      </w:r>
      <w:r>
        <w:rPr>
          <w:rFonts w:hint="eastAsia" w:ascii="Times New Roman" w:hAnsi="Times New Roman" w:eastAsia="仿宋_GB2312"/>
          <w:color w:val="000000" w:themeColor="text1"/>
          <w:sz w:val="32"/>
          <w:szCs w:val="32"/>
          <w14:textFill>
            <w14:solidFill>
              <w14:schemeClr w14:val="tx1"/>
            </w14:solidFill>
          </w14:textFill>
        </w:rPr>
        <w:t>服务业累计实现增加值2440亿元，年均增长5.5%，</w:t>
      </w:r>
      <w:r>
        <w:rPr>
          <w:rFonts w:ascii="Times New Roman" w:hAnsi="Times New Roman" w:eastAsia="仿宋_GB2312"/>
          <w:color w:val="000000" w:themeColor="text1"/>
          <w:sz w:val="32"/>
          <w:szCs w:val="32"/>
          <w14:textFill>
            <w14:solidFill>
              <w14:schemeClr w14:val="tx1"/>
            </w14:solidFill>
          </w14:textFill>
        </w:rPr>
        <w:t>业占比看，服务业已成为东胜区经济社会发展的重要支柱。20</w:t>
      </w:r>
      <w:r>
        <w:rPr>
          <w:rFonts w:hint="eastAsia" w:ascii="Times New Roman" w:hAnsi="Times New Roman" w:eastAsia="仿宋_GB2312"/>
          <w:color w:val="000000" w:themeColor="text1"/>
          <w:sz w:val="32"/>
          <w:szCs w:val="32"/>
          <w14:textFill>
            <w14:solidFill>
              <w14:schemeClr w14:val="tx1"/>
            </w14:solidFill>
          </w14:textFill>
        </w:rPr>
        <w:t>16</w:t>
      </w:r>
      <w:r>
        <w:rPr>
          <w:rFonts w:ascii="Times New Roman" w:hAnsi="Times New Roman" w:eastAsia="仿宋_GB2312"/>
          <w:color w:val="000000" w:themeColor="text1"/>
          <w:sz w:val="32"/>
          <w:szCs w:val="32"/>
          <w14:textFill>
            <w14:solidFill>
              <w14:schemeClr w14:val="tx1"/>
            </w14:solidFill>
          </w14:textFill>
        </w:rPr>
        <w:t>年至20</w:t>
      </w:r>
      <w:r>
        <w:rPr>
          <w:rFonts w:hint="eastAsia" w:ascii="Times New Roman" w:hAnsi="Times New Roman" w:eastAsia="仿宋_GB2312"/>
          <w:color w:val="000000" w:themeColor="text1"/>
          <w:sz w:val="32"/>
          <w:szCs w:val="32"/>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年，服务业增加值占GDP比重由</w:t>
      </w:r>
      <w:r>
        <w:rPr>
          <w:rFonts w:hint="eastAsia" w:ascii="Times New Roman" w:hAnsi="Times New Roman" w:eastAsia="仿宋_GB2312"/>
          <w:color w:val="000000" w:themeColor="text1"/>
          <w:sz w:val="32"/>
          <w:szCs w:val="32"/>
          <w14:textFill>
            <w14:solidFill>
              <w14:schemeClr w14:val="tx1"/>
            </w14:solidFill>
          </w14:textFill>
        </w:rPr>
        <w:t>62</w:t>
      </w:r>
      <w:r>
        <w:rPr>
          <w:rFonts w:ascii="Times New Roman" w:hAnsi="Times New Roman" w:eastAsia="仿宋_GB2312"/>
          <w:color w:val="000000" w:themeColor="text1"/>
          <w:sz w:val="32"/>
          <w:szCs w:val="32"/>
          <w14:textFill>
            <w14:solidFill>
              <w14:schemeClr w14:val="tx1"/>
            </w14:solidFill>
          </w14:textFill>
        </w:rPr>
        <w:t>.5%上升到6</w:t>
      </w:r>
      <w:r>
        <w:rPr>
          <w:rFonts w:hint="eastAsia" w:ascii="Times New Roman" w:hAnsi="Times New Roman" w:eastAsia="仿宋_GB2312"/>
          <w:color w:val="000000" w:themeColor="text1"/>
          <w:sz w:val="32"/>
          <w:szCs w:val="32"/>
          <w14:textFill>
            <w14:solidFill>
              <w14:schemeClr w14:val="tx1"/>
            </w14:solidFill>
          </w14:textFill>
        </w:rPr>
        <w:t>5.4</w:t>
      </w:r>
      <w:r>
        <w:rPr>
          <w:rFonts w:ascii="Times New Roman" w:hAnsi="Times New Roman" w:eastAsia="仿宋_GB2312"/>
          <w:color w:val="000000" w:themeColor="text1"/>
          <w:sz w:val="32"/>
          <w:szCs w:val="32"/>
          <w14:textFill>
            <w14:solidFill>
              <w14:schemeClr w14:val="tx1"/>
            </w14:solidFill>
          </w14:textFill>
        </w:rPr>
        <w:t>%，占比水平保持高位平稳。</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传统服务业占主导地位，现代服务业加快培育</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2020</w:t>
      </w:r>
      <w:r>
        <w:rPr>
          <w:rFonts w:ascii="Times New Roman" w:hAnsi="Times New Roman" w:eastAsia="仿宋_GB2312"/>
          <w:color w:val="000000" w:themeColor="text1"/>
          <w:sz w:val="32"/>
          <w:szCs w:val="32"/>
          <w14:textFill>
            <w14:solidFill>
              <w14:schemeClr w14:val="tx1"/>
            </w14:solidFill>
          </w14:textFill>
        </w:rPr>
        <w:t>年，交通运输、仓储和邮政业，批发和零售业、住宿和餐饮业等传统服务业增加值占服务业增加值比重</w:t>
      </w:r>
      <w:r>
        <w:rPr>
          <w:rFonts w:hint="eastAsia" w:ascii="Times New Roman" w:hAnsi="Times New Roman" w:eastAsia="仿宋_GB2312"/>
          <w:color w:val="000000" w:themeColor="text1"/>
          <w:sz w:val="32"/>
          <w:szCs w:val="32"/>
          <w14:textFill>
            <w14:solidFill>
              <w14:schemeClr w14:val="tx1"/>
            </w14:solidFill>
          </w14:textFill>
        </w:rPr>
        <w:t>超过50</w:t>
      </w:r>
      <w:r>
        <w:rPr>
          <w:rFonts w:ascii="Times New Roman" w:hAnsi="Times New Roman" w:eastAsia="仿宋_GB2312"/>
          <w:color w:val="000000" w:themeColor="text1"/>
          <w:sz w:val="32"/>
          <w:szCs w:val="32"/>
          <w14:textFill>
            <w14:solidFill>
              <w14:schemeClr w14:val="tx1"/>
            </w14:solidFill>
          </w14:textFill>
        </w:rPr>
        <w:t>%；信息传输、计算机服务和软件业、金融业、房地产业、租赁和商务服务业等现代服务业增加值占服务业比重</w:t>
      </w:r>
      <w:r>
        <w:rPr>
          <w:rFonts w:hint="eastAsia" w:ascii="Times New Roman" w:hAnsi="Times New Roman" w:eastAsia="仿宋_GB2312"/>
          <w:color w:val="000000" w:themeColor="text1"/>
          <w:sz w:val="32"/>
          <w:szCs w:val="32"/>
          <w14:textFill>
            <w14:solidFill>
              <w14:schemeClr w14:val="tx1"/>
            </w14:solidFill>
          </w14:textFill>
        </w:rPr>
        <w:t>超过40%</w:t>
      </w:r>
      <w:r>
        <w:rPr>
          <w:rFonts w:ascii="Times New Roman" w:hAnsi="Times New Roman" w:eastAsia="仿宋_GB2312"/>
          <w:color w:val="000000" w:themeColor="text1"/>
          <w:sz w:val="32"/>
          <w:szCs w:val="32"/>
          <w14:textFill>
            <w14:solidFill>
              <w14:schemeClr w14:val="tx1"/>
            </w14:solidFill>
          </w14:textFill>
        </w:rPr>
        <w:t>。近年来，受</w:t>
      </w:r>
      <w:r>
        <w:rPr>
          <w:rFonts w:hint="eastAsia" w:ascii="Times New Roman" w:hAnsi="Times New Roman" w:eastAsia="仿宋_GB2312"/>
          <w:color w:val="000000" w:themeColor="text1"/>
          <w:sz w:val="32"/>
          <w:szCs w:val="32"/>
          <w14:textFill>
            <w14:solidFill>
              <w14:schemeClr w14:val="tx1"/>
            </w14:solidFill>
          </w14:textFill>
        </w:rPr>
        <w:t>新消费模式的</w:t>
      </w:r>
      <w:r>
        <w:rPr>
          <w:rFonts w:ascii="Times New Roman" w:hAnsi="Times New Roman" w:eastAsia="仿宋_GB2312"/>
          <w:color w:val="000000" w:themeColor="text1"/>
          <w:sz w:val="32"/>
          <w:szCs w:val="32"/>
          <w14:textFill>
            <w14:solidFill>
              <w14:schemeClr w14:val="tx1"/>
            </w14:solidFill>
          </w14:textFill>
        </w:rPr>
        <w:t>影响，批发零售等传统服务业</w:t>
      </w:r>
      <w:r>
        <w:rPr>
          <w:rFonts w:hint="eastAsia" w:ascii="Times New Roman" w:hAnsi="Times New Roman" w:eastAsia="仿宋_GB2312"/>
          <w:color w:val="000000" w:themeColor="text1"/>
          <w:sz w:val="32"/>
          <w:szCs w:val="32"/>
          <w14:textFill>
            <w14:solidFill>
              <w14:schemeClr w14:val="tx1"/>
            </w14:solidFill>
          </w14:textFill>
        </w:rPr>
        <w:t>受互联网经济影响较大</w:t>
      </w:r>
      <w:r>
        <w:rPr>
          <w:rFonts w:ascii="Times New Roman" w:hAnsi="Times New Roman" w:eastAsia="仿宋_GB2312"/>
          <w:color w:val="000000" w:themeColor="text1"/>
          <w:sz w:val="32"/>
          <w:szCs w:val="32"/>
          <w14:textFill>
            <w14:solidFill>
              <w14:schemeClr w14:val="tx1"/>
            </w14:solidFill>
          </w14:textFill>
        </w:rPr>
        <w:t>，金融业、科技研发</w:t>
      </w:r>
      <w:r>
        <w:rPr>
          <w:rFonts w:hint="eastAsia" w:ascii="Times New Roman" w:hAnsi="Times New Roman" w:eastAsia="仿宋_GB2312"/>
          <w:color w:val="000000" w:themeColor="text1"/>
          <w:sz w:val="32"/>
          <w:szCs w:val="32"/>
          <w14:textFill>
            <w14:solidFill>
              <w14:schemeClr w14:val="tx1"/>
            </w14:solidFill>
          </w14:textFill>
        </w:rPr>
        <w:t>、数字经济</w:t>
      </w:r>
      <w:r>
        <w:rPr>
          <w:rFonts w:ascii="Times New Roman" w:hAnsi="Times New Roman" w:eastAsia="仿宋_GB2312"/>
          <w:color w:val="000000" w:themeColor="text1"/>
          <w:sz w:val="32"/>
          <w:szCs w:val="32"/>
          <w14:textFill>
            <w14:solidFill>
              <w14:schemeClr w14:val="tx1"/>
            </w14:solidFill>
          </w14:textFill>
        </w:rPr>
        <w:t>等新兴服务业以及居民服务业呈快速发展趋势。</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服务业投资波动明显，新兴热点开始涌现</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受经济环境影响，服务业投资增速和占比均有不同程度的下降。20</w:t>
      </w:r>
      <w:r>
        <w:rPr>
          <w:rFonts w:hint="eastAsia" w:ascii="Times New Roman" w:hAnsi="Times New Roman" w:eastAsia="仿宋_GB2312"/>
          <w:color w:val="000000" w:themeColor="text1"/>
          <w:sz w:val="32"/>
          <w:szCs w:val="32"/>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年全区服务业实现</w:t>
      </w:r>
      <w:r>
        <w:rPr>
          <w:rFonts w:hint="eastAsia" w:ascii="Times New Roman" w:hAnsi="Times New Roman" w:eastAsia="仿宋_GB2312"/>
          <w:color w:val="000000" w:themeColor="text1"/>
          <w:sz w:val="32"/>
          <w:szCs w:val="32"/>
          <w14:textFill>
            <w14:solidFill>
              <w14:schemeClr w14:val="tx1"/>
            </w14:solidFill>
          </w14:textFill>
        </w:rPr>
        <w:t>增长25.9</w:t>
      </w:r>
      <w:r>
        <w:rPr>
          <w:rFonts w:ascii="Times New Roman" w:hAnsi="Times New Roman" w:eastAsia="仿宋_GB2312"/>
          <w:color w:val="000000" w:themeColor="text1"/>
          <w:sz w:val="32"/>
          <w:szCs w:val="32"/>
          <w14:textFill>
            <w14:solidFill>
              <w14:schemeClr w14:val="tx1"/>
            </w14:solidFill>
          </w14:textFill>
        </w:rPr>
        <w:t>%。其中，房地产投资依然处于主导地位，</w:t>
      </w:r>
      <w:r>
        <w:rPr>
          <w:rFonts w:hint="eastAsia" w:ascii="Times New Roman" w:hAnsi="Times New Roman" w:eastAsia="仿宋_GB2312"/>
          <w:color w:val="000000" w:themeColor="text1"/>
          <w:sz w:val="32"/>
          <w:szCs w:val="32"/>
          <w14:textFill>
            <w14:solidFill>
              <w14:schemeClr w14:val="tx1"/>
            </w14:solidFill>
          </w14:textFill>
        </w:rPr>
        <w:t>2020</w:t>
      </w:r>
      <w:r>
        <w:rPr>
          <w:rFonts w:ascii="Times New Roman" w:hAnsi="Times New Roman" w:eastAsia="仿宋_GB2312"/>
          <w:color w:val="000000" w:themeColor="text1"/>
          <w:sz w:val="32"/>
          <w:szCs w:val="32"/>
          <w14:textFill>
            <w14:solidFill>
              <w14:schemeClr w14:val="tx1"/>
            </w14:solidFill>
          </w14:textFill>
        </w:rPr>
        <w:t>年房地产投资</w:t>
      </w:r>
      <w:r>
        <w:rPr>
          <w:rFonts w:hint="eastAsia" w:ascii="Times New Roman" w:hAnsi="Times New Roman" w:eastAsia="仿宋_GB2312"/>
          <w:color w:val="000000" w:themeColor="text1"/>
          <w:sz w:val="32"/>
          <w:szCs w:val="32"/>
          <w14:textFill>
            <w14:solidFill>
              <w14:schemeClr w14:val="tx1"/>
            </w14:solidFill>
          </w14:textFill>
        </w:rPr>
        <w:t>增长27.3</w:t>
      </w:r>
      <w:r>
        <w:rPr>
          <w:rFonts w:ascii="Times New Roman" w:hAnsi="Times New Roman" w:eastAsia="仿宋_GB2312"/>
          <w:color w:val="000000" w:themeColor="text1"/>
          <w:sz w:val="32"/>
          <w:szCs w:val="32"/>
          <w14:textFill>
            <w14:solidFill>
              <w14:schemeClr w14:val="tx1"/>
            </w14:solidFill>
          </w14:textFill>
        </w:rPr>
        <w:t>%，但比例有所下降；</w:t>
      </w:r>
      <w:r>
        <w:rPr>
          <w:rFonts w:hint="eastAsia" w:ascii="Times New Roman" w:hAnsi="Times New Roman" w:eastAsia="仿宋_GB2312"/>
          <w:color w:val="000000" w:themeColor="text1"/>
          <w:sz w:val="32"/>
          <w:szCs w:val="32"/>
          <w14:textFill>
            <w14:solidFill>
              <w14:schemeClr w14:val="tx1"/>
            </w14:solidFill>
          </w14:textFill>
        </w:rPr>
        <w:t>交通运输</w:t>
      </w:r>
      <w:r>
        <w:rPr>
          <w:rFonts w:ascii="Times New Roman" w:hAnsi="Times New Roman" w:eastAsia="仿宋_GB2312"/>
          <w:color w:val="000000" w:themeColor="text1"/>
          <w:sz w:val="32"/>
          <w:szCs w:val="32"/>
          <w14:textFill>
            <w14:solidFill>
              <w14:schemeClr w14:val="tx1"/>
            </w14:solidFill>
          </w14:textFill>
        </w:rPr>
        <w:t>、教育等行业投资</w:t>
      </w:r>
      <w:r>
        <w:rPr>
          <w:rFonts w:hint="eastAsia" w:ascii="Times New Roman" w:hAnsi="Times New Roman" w:eastAsia="仿宋_GB2312"/>
          <w:color w:val="000000" w:themeColor="text1"/>
          <w:sz w:val="32"/>
          <w:szCs w:val="32"/>
          <w14:textFill>
            <w14:solidFill>
              <w14:schemeClr w14:val="tx1"/>
            </w14:solidFill>
          </w14:textFill>
        </w:rPr>
        <w:t>增速分别达到110.8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、246.9%</w:t>
      </w:r>
      <w:r>
        <w:rPr>
          <w:rFonts w:ascii="Times New Roman" w:hAnsi="Times New Roman" w:eastAsia="仿宋_GB2312"/>
          <w:color w:val="000000" w:themeColor="text1"/>
          <w:sz w:val="32"/>
          <w:szCs w:val="32"/>
          <w14:textFill>
            <w14:solidFill>
              <w14:schemeClr w14:val="tx1"/>
            </w14:solidFill>
          </w14:textFill>
        </w:rPr>
        <w:t>；科技研发、</w:t>
      </w:r>
      <w:r>
        <w:rPr>
          <w:rFonts w:hint="eastAsia" w:ascii="Times New Roman" w:hAnsi="Times New Roman" w:eastAsia="仿宋_GB2312"/>
          <w:color w:val="000000" w:themeColor="text1"/>
          <w:sz w:val="32"/>
          <w:szCs w:val="32"/>
          <w14:textFill>
            <w14:solidFill>
              <w14:schemeClr w14:val="tx1"/>
            </w14:solidFill>
          </w14:textFill>
        </w:rPr>
        <w:t>信息技术</w:t>
      </w:r>
      <w:r>
        <w:rPr>
          <w:rFonts w:ascii="Times New Roman" w:hAnsi="Times New Roman" w:eastAsia="仿宋_GB2312"/>
          <w:color w:val="000000" w:themeColor="text1"/>
          <w:sz w:val="32"/>
          <w:szCs w:val="32"/>
          <w14:textFill>
            <w14:solidFill>
              <w14:schemeClr w14:val="tx1"/>
            </w14:solidFill>
          </w14:textFill>
        </w:rPr>
        <w:t>等</w:t>
      </w:r>
      <w:r>
        <w:rPr>
          <w:rFonts w:hint="eastAsia" w:ascii="Times New Roman" w:hAnsi="Times New Roman" w:eastAsia="仿宋_GB2312"/>
          <w:color w:val="000000" w:themeColor="text1"/>
          <w:sz w:val="32"/>
          <w:szCs w:val="32"/>
          <w14:textFill>
            <w14:solidFill>
              <w14:schemeClr w14:val="tx1"/>
            </w14:solidFill>
          </w14:textFill>
        </w:rPr>
        <w:t>投资增速到达157.5%、1024%，</w:t>
      </w:r>
      <w:r>
        <w:rPr>
          <w:rFonts w:ascii="Times New Roman" w:hAnsi="Times New Roman" w:eastAsia="仿宋_GB2312"/>
          <w:color w:val="000000" w:themeColor="text1"/>
          <w:sz w:val="32"/>
          <w:szCs w:val="32"/>
          <w14:textFill>
            <w14:solidFill>
              <w14:schemeClr w14:val="tx1"/>
            </w14:solidFill>
          </w14:textFill>
        </w:rPr>
        <w:t>新兴投资热点开始涌现。</w:t>
      </w:r>
    </w:p>
    <w:p>
      <w:pPr>
        <w:spacing w:line="560" w:lineRule="exact"/>
        <w:ind w:firstLine="630" w:firstLineChars="196"/>
        <w:rPr>
          <w:rFonts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重点行业发展势头强劲</w:t>
      </w:r>
      <w:r>
        <w:rPr>
          <w:rFonts w:ascii="Times New Roman" w:hAnsi="Times New Roman" w:eastAsia="仿宋_GB2312"/>
          <w:b/>
          <w:bCs/>
          <w:color w:val="000000" w:themeColor="text1"/>
          <w:kern w:val="0"/>
          <w:sz w:val="32"/>
          <w:szCs w:val="32"/>
          <w14:textFill>
            <w14:solidFill>
              <w14:schemeClr w14:val="tx1"/>
            </w14:solidFill>
          </w14:textFill>
        </w:rPr>
        <w:t>，</w:t>
      </w:r>
      <w:r>
        <w:rPr>
          <w:rFonts w:hint="eastAsia" w:ascii="Times New Roman" w:hAnsi="Times New Roman" w:eastAsia="仿宋_GB2312"/>
          <w:b/>
          <w:bCs/>
          <w:color w:val="000000" w:themeColor="text1"/>
          <w:kern w:val="0"/>
          <w:sz w:val="32"/>
          <w:szCs w:val="32"/>
          <w14:textFill>
            <w14:solidFill>
              <w14:schemeClr w14:val="tx1"/>
            </w14:solidFill>
          </w14:textFill>
        </w:rPr>
        <w:t>整体</w:t>
      </w:r>
      <w:r>
        <w:rPr>
          <w:rFonts w:ascii="Times New Roman" w:hAnsi="Times New Roman" w:eastAsia="仿宋_GB2312"/>
          <w:b/>
          <w:bCs/>
          <w:color w:val="000000" w:themeColor="text1"/>
          <w:kern w:val="0"/>
          <w:sz w:val="32"/>
          <w:szCs w:val="32"/>
          <w14:textFill>
            <w14:solidFill>
              <w14:schemeClr w14:val="tx1"/>
            </w14:solidFill>
          </w14:textFill>
        </w:rPr>
        <w:t>环境持续优化</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文旅产业快速增长，</w:t>
      </w:r>
      <w:r>
        <w:rPr>
          <w:rFonts w:hint="eastAsia" w:ascii="仿宋_GB2312" w:hAnsi="仿宋" w:eastAsia="仿宋_GB2312"/>
          <w:color w:val="000000" w:themeColor="text1"/>
          <w:sz w:val="32"/>
          <w:szCs w:val="32"/>
          <w14:textFill>
            <w14:solidFill>
              <w14:schemeClr w14:val="tx1"/>
            </w14:solidFill>
          </w14:textFill>
        </w:rPr>
        <w:t>培育文旅企业924家，从业人员达到16452人，</w:t>
      </w:r>
      <w:r>
        <w:rPr>
          <w:rFonts w:hint="eastAsia" w:ascii="仿宋_GB2312" w:hAnsi="仿宋" w:eastAsia="仿宋_GB2312" w:cs="仿宋_GB2312"/>
          <w:color w:val="000000" w:themeColor="text1"/>
          <w:sz w:val="32"/>
          <w:szCs w:val="32"/>
          <w14:textFill>
            <w14:solidFill>
              <w14:schemeClr w14:val="tx1"/>
            </w14:solidFill>
          </w14:textFill>
        </w:rPr>
        <w:t>建成国家4A级景区5个，鄂尔多斯野生动物园海洋馆、万家惠欢乐世界等一批项目建成运营，十三五期间累计接待游客1415.48万人次，带动旅游收入445.18亿元，旅游接待量和旅游收入年均递增13%和14%左右。</w:t>
      </w:r>
      <w:r>
        <w:rPr>
          <w:rFonts w:hint="eastAsia" w:ascii="仿宋_GB2312" w:hAnsi="仿宋_GB2312" w:eastAsia="仿宋_GB2312" w:cs="仿宋_GB2312"/>
          <w:color w:val="000000" w:themeColor="text1"/>
          <w:sz w:val="32"/>
          <w:szCs w:val="32"/>
          <w14:textFill>
            <w14:solidFill>
              <w14:schemeClr w14:val="tx1"/>
            </w14:solidFill>
          </w14:textFill>
        </w:rPr>
        <w:t>新商贸发展加速，2020年网络商品零售额同比增长25.6%，快递服务企业业务量累计完成615万件，同比增长23%。</w:t>
      </w:r>
      <w:r>
        <w:rPr>
          <w:rFonts w:hint="eastAsia" w:ascii="仿宋" w:hAnsi="仿宋" w:eastAsia="仿宋" w:cs="仿宋"/>
          <w:color w:val="000000" w:themeColor="text1"/>
          <w:sz w:val="32"/>
          <w:szCs w:val="32"/>
          <w14:textFill>
            <w14:solidFill>
              <w14:schemeClr w14:val="tx1"/>
            </w14:solidFill>
          </w14:textFill>
        </w:rPr>
        <w:t>金融服务体系基本健全，共有银行、保险、证券等各类金融机构110家，截止2020年，东胜区金融机构本外币各项存款余额1741.64亿元，较“十二五”末增长31.17%；本外币各项贷款余额1974.35亿元，较“十二五”末增长了16.92%。</w:t>
      </w: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4" w:name="_Toc22349"/>
      <w:r>
        <w:rPr>
          <w:rFonts w:hint="eastAsia" w:ascii="Times New Roman" w:hAnsi="Times New Roman" w:eastAsia="仿宋_GB2312"/>
          <w:color w:val="000000" w:themeColor="text1"/>
          <w14:textFill>
            <w14:solidFill>
              <w14:schemeClr w14:val="tx1"/>
            </w14:solidFill>
          </w14:textFill>
        </w:rPr>
        <w:t xml:space="preserve">第三节 </w:t>
      </w:r>
      <w:r>
        <w:rPr>
          <w:rFonts w:ascii="Times New Roman" w:hAnsi="Times New Roman" w:eastAsia="仿宋_GB2312"/>
          <w:color w:val="000000" w:themeColor="text1"/>
          <w14:textFill>
            <w14:solidFill>
              <w14:schemeClr w14:val="tx1"/>
            </w14:solidFill>
          </w14:textFill>
        </w:rPr>
        <w:t>存在问题</w:t>
      </w:r>
      <w:bookmarkEnd w:id="4"/>
    </w:p>
    <w:p>
      <w:pPr>
        <w:spacing w:line="560" w:lineRule="exact"/>
        <w:ind w:firstLine="630" w:firstLineChars="196"/>
        <w:rPr>
          <w:rFonts w:ascii="Times New Roman" w:hAnsi="Times New Roman" w:eastAsia="仿宋_GB2312"/>
          <w:b/>
          <w:bCs/>
          <w:color w:val="000000" w:themeColor="text1"/>
          <w:kern w:val="0"/>
          <w:sz w:val="32"/>
          <w:szCs w:val="32"/>
          <w14:textFill>
            <w14:solidFill>
              <w14:schemeClr w14:val="tx1"/>
            </w14:solidFill>
          </w14:textFill>
        </w:rPr>
      </w:pP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产业结构</w:t>
      </w:r>
      <w:r>
        <w:rPr>
          <w:rFonts w:hint="eastAsia" w:ascii="Times New Roman" w:hAnsi="Times New Roman" w:eastAsia="仿宋_GB2312"/>
          <w:b/>
          <w:bCs/>
          <w:color w:val="000000" w:themeColor="text1"/>
          <w:kern w:val="0"/>
          <w:sz w:val="32"/>
          <w:szCs w:val="32"/>
          <w14:textFill>
            <w14:solidFill>
              <w14:schemeClr w14:val="tx1"/>
            </w14:solidFill>
          </w14:textFill>
        </w:rPr>
        <w:t>还需</w:t>
      </w:r>
      <w:r>
        <w:rPr>
          <w:rFonts w:ascii="Times New Roman" w:hAnsi="Times New Roman" w:eastAsia="仿宋_GB2312"/>
          <w:b/>
          <w:bCs/>
          <w:color w:val="000000" w:themeColor="text1"/>
          <w:kern w:val="0"/>
          <w:sz w:val="32"/>
          <w:szCs w:val="32"/>
          <w14:textFill>
            <w14:solidFill>
              <w14:schemeClr w14:val="tx1"/>
            </w14:solidFill>
          </w14:textFill>
        </w:rPr>
        <w:t>优化</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服务业构成仍以交通运输、批零贸易、住宿餐饮等传统服务业以及房地产业为主体，</w:t>
      </w:r>
      <w:r>
        <w:rPr>
          <w:rFonts w:hint="eastAsia" w:ascii="Times New Roman" w:hAnsi="Times New Roman" w:eastAsia="仿宋_GB2312"/>
          <w:color w:val="000000" w:themeColor="text1"/>
          <w:sz w:val="32"/>
          <w:szCs w:val="32"/>
          <w14:textFill>
            <w14:solidFill>
              <w14:schemeClr w14:val="tx1"/>
            </w14:solidFill>
          </w14:textFill>
        </w:rPr>
        <w:t>新兴</w:t>
      </w:r>
      <w:r>
        <w:rPr>
          <w:rFonts w:ascii="Times New Roman" w:hAnsi="Times New Roman" w:eastAsia="仿宋_GB2312"/>
          <w:color w:val="000000" w:themeColor="text1"/>
          <w:sz w:val="32"/>
          <w:szCs w:val="32"/>
          <w14:textFill>
            <w14:solidFill>
              <w14:schemeClr w14:val="tx1"/>
            </w14:solidFill>
          </w14:textFill>
        </w:rPr>
        <w:t>商务、</w:t>
      </w:r>
      <w:r>
        <w:rPr>
          <w:rFonts w:hint="eastAsia" w:ascii="Times New Roman" w:hAnsi="Times New Roman" w:eastAsia="仿宋_GB2312"/>
          <w:color w:val="000000" w:themeColor="text1"/>
          <w:sz w:val="32"/>
          <w:szCs w:val="32"/>
          <w14:textFill>
            <w14:solidFill>
              <w14:schemeClr w14:val="tx1"/>
            </w14:solidFill>
          </w14:textFill>
        </w:rPr>
        <w:t>文化科创</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数字经济</w:t>
      </w:r>
      <w:r>
        <w:rPr>
          <w:rFonts w:ascii="Times New Roman" w:hAnsi="Times New Roman" w:eastAsia="仿宋_GB2312"/>
          <w:color w:val="000000" w:themeColor="text1"/>
          <w:sz w:val="32"/>
          <w:szCs w:val="32"/>
          <w14:textFill>
            <w14:solidFill>
              <w14:schemeClr w14:val="tx1"/>
            </w14:solidFill>
          </w14:textFill>
        </w:rPr>
        <w:t>等高附加值新兴行业发展相对不足。而信息技术、金融、教育、科研的投资</w:t>
      </w:r>
      <w:r>
        <w:rPr>
          <w:rFonts w:hint="eastAsia" w:ascii="Times New Roman" w:hAnsi="Times New Roman" w:eastAsia="仿宋_GB2312"/>
          <w:color w:val="000000" w:themeColor="text1"/>
          <w:sz w:val="32"/>
          <w:szCs w:val="32"/>
          <w14:textFill>
            <w14:solidFill>
              <w14:schemeClr w14:val="tx1"/>
            </w14:solidFill>
          </w14:textFill>
        </w:rPr>
        <w:t>效应还没有显现</w:t>
      </w:r>
      <w:r>
        <w:rPr>
          <w:rFonts w:ascii="Times New Roman" w:hAnsi="Times New Roman" w:eastAsia="仿宋_GB2312"/>
          <w:color w:val="000000" w:themeColor="text1"/>
          <w:sz w:val="32"/>
          <w:szCs w:val="32"/>
          <w14:textFill>
            <w14:solidFill>
              <w14:schemeClr w14:val="tx1"/>
            </w14:solidFill>
          </w14:textFill>
        </w:rPr>
        <w:t>，产转型升级</w:t>
      </w:r>
      <w:r>
        <w:rPr>
          <w:rFonts w:hint="eastAsia" w:ascii="Times New Roman" w:hAnsi="Times New Roman" w:eastAsia="仿宋_GB2312"/>
          <w:color w:val="000000" w:themeColor="text1"/>
          <w:sz w:val="32"/>
          <w:szCs w:val="32"/>
          <w14:textFill>
            <w14:solidFill>
              <w14:schemeClr w14:val="tx1"/>
            </w14:solidFill>
          </w14:textFill>
        </w:rPr>
        <w:t>任重道远</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融合发展有待深化</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当前，服务业与一、二产之间的融合发展水平有待进一步提高。物流</w:t>
      </w:r>
      <w:r>
        <w:rPr>
          <w:rFonts w:hint="eastAsia" w:ascii="Times New Roman" w:hAnsi="Times New Roman" w:eastAsia="仿宋_GB2312"/>
          <w:color w:val="000000" w:themeColor="text1"/>
          <w:sz w:val="32"/>
          <w:szCs w:val="32"/>
          <w14:textFill>
            <w14:solidFill>
              <w14:schemeClr w14:val="tx1"/>
            </w14:solidFill>
          </w14:textFill>
        </w:rPr>
        <w:t>、金融、科创等配套产业</w:t>
      </w:r>
      <w:r>
        <w:rPr>
          <w:rFonts w:ascii="Times New Roman" w:hAnsi="Times New Roman" w:eastAsia="仿宋_GB2312"/>
          <w:color w:val="000000" w:themeColor="text1"/>
          <w:sz w:val="32"/>
          <w:szCs w:val="32"/>
          <w14:textFill>
            <w14:solidFill>
              <w14:schemeClr w14:val="tx1"/>
            </w14:solidFill>
          </w14:textFill>
        </w:rPr>
        <w:t>的缺乏已成为制约</w:t>
      </w:r>
      <w:r>
        <w:rPr>
          <w:rFonts w:hint="eastAsia" w:ascii="Times New Roman" w:hAnsi="Times New Roman" w:eastAsia="仿宋_GB2312"/>
          <w:color w:val="000000" w:themeColor="text1"/>
          <w:sz w:val="32"/>
          <w:szCs w:val="32"/>
          <w14:textFill>
            <w14:solidFill>
              <w14:schemeClr w14:val="tx1"/>
            </w14:solidFill>
          </w14:textFill>
        </w:rPr>
        <w:t>装备制造、</w:t>
      </w:r>
      <w:r>
        <w:rPr>
          <w:rFonts w:ascii="Times New Roman" w:hAnsi="Times New Roman" w:eastAsia="仿宋_GB2312"/>
          <w:color w:val="000000" w:themeColor="text1"/>
          <w:sz w:val="32"/>
          <w:szCs w:val="32"/>
          <w14:textFill>
            <w14:solidFill>
              <w14:schemeClr w14:val="tx1"/>
            </w14:solidFill>
          </w14:textFill>
        </w:rPr>
        <w:t>煤炭</w:t>
      </w:r>
      <w:r>
        <w:rPr>
          <w:rFonts w:hint="eastAsia" w:ascii="Times New Roman" w:hAnsi="Times New Roman" w:eastAsia="仿宋_GB2312"/>
          <w:color w:val="000000" w:themeColor="text1"/>
          <w:sz w:val="32"/>
          <w:szCs w:val="32"/>
          <w14:textFill>
            <w14:solidFill>
              <w14:schemeClr w14:val="tx1"/>
            </w14:solidFill>
          </w14:textFill>
        </w:rPr>
        <w:t>、传统服务业</w:t>
      </w:r>
      <w:r>
        <w:rPr>
          <w:rFonts w:ascii="Times New Roman" w:hAnsi="Times New Roman" w:eastAsia="仿宋_GB2312"/>
          <w:color w:val="000000" w:themeColor="text1"/>
          <w:sz w:val="32"/>
          <w:szCs w:val="32"/>
          <w14:textFill>
            <w14:solidFill>
              <w14:schemeClr w14:val="tx1"/>
            </w14:solidFill>
          </w14:textFill>
        </w:rPr>
        <w:t>产业提升发展的瓶颈，商务金融、科技研发等</w:t>
      </w:r>
      <w:r>
        <w:rPr>
          <w:rFonts w:hint="eastAsia" w:ascii="Times New Roman" w:hAnsi="Times New Roman" w:eastAsia="仿宋_GB2312"/>
          <w:color w:val="000000" w:themeColor="text1"/>
          <w:sz w:val="32"/>
          <w:szCs w:val="32"/>
          <w14:textFill>
            <w14:solidFill>
              <w14:schemeClr w14:val="tx1"/>
            </w14:solidFill>
          </w14:textFill>
        </w:rPr>
        <w:t>制造服务</w:t>
      </w:r>
      <w:r>
        <w:rPr>
          <w:rFonts w:ascii="Times New Roman" w:hAnsi="Times New Roman" w:eastAsia="仿宋_GB2312"/>
          <w:color w:val="000000" w:themeColor="text1"/>
          <w:sz w:val="32"/>
          <w:szCs w:val="32"/>
          <w14:textFill>
            <w14:solidFill>
              <w14:schemeClr w14:val="tx1"/>
            </w14:solidFill>
          </w14:textFill>
        </w:rPr>
        <w:t>亟需提升，都市休闲农业、体验农业等发展水平仍需提高。</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特色优势有待提升</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呼包鄂</w:t>
      </w:r>
      <w:r>
        <w:rPr>
          <w:rFonts w:hint="eastAsia" w:ascii="Times New Roman" w:hAnsi="Times New Roman" w:eastAsia="仿宋_GB2312"/>
          <w:color w:val="000000" w:themeColor="text1"/>
          <w:sz w:val="32"/>
          <w:szCs w:val="32"/>
          <w14:textFill>
            <w14:solidFill>
              <w14:schemeClr w14:val="tx1"/>
            </w14:solidFill>
          </w14:textFill>
        </w:rPr>
        <w:t>乌</w:t>
      </w:r>
      <w:r>
        <w:rPr>
          <w:rFonts w:ascii="Times New Roman" w:hAnsi="Times New Roman" w:eastAsia="仿宋_GB2312"/>
          <w:color w:val="000000" w:themeColor="text1"/>
          <w:sz w:val="32"/>
          <w:szCs w:val="32"/>
          <w14:textFill>
            <w14:solidFill>
              <w14:schemeClr w14:val="tx1"/>
            </w14:solidFill>
          </w14:textFill>
        </w:rPr>
        <w:t>一体化过程中，东胜在分享外部正效应的同时，也面临区域竞争加剧的挑战。近年来，周边各旗服务业发展势头强劲，且随着鄂尔多斯“</w:t>
      </w:r>
      <w:r>
        <w:rPr>
          <w:rFonts w:hint="eastAsia" w:ascii="Times New Roman" w:hAnsi="Times New Roman" w:eastAsia="仿宋_GB2312"/>
          <w:color w:val="000000" w:themeColor="text1"/>
          <w:sz w:val="32"/>
          <w:szCs w:val="32"/>
          <w14:textFill>
            <w14:solidFill>
              <w14:schemeClr w14:val="tx1"/>
            </w14:solidFill>
          </w14:textFill>
        </w:rPr>
        <w:t>东阿康</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中心城区</w:t>
      </w:r>
      <w:r>
        <w:rPr>
          <w:rFonts w:ascii="Times New Roman" w:hAnsi="Times New Roman" w:eastAsia="仿宋_GB2312"/>
          <w:color w:val="000000" w:themeColor="text1"/>
          <w:sz w:val="32"/>
          <w:szCs w:val="32"/>
          <w14:textFill>
            <w14:solidFill>
              <w14:schemeClr w14:val="tx1"/>
            </w14:solidFill>
          </w14:textFill>
        </w:rPr>
        <w:t>格局日渐成</w:t>
      </w:r>
      <w:r>
        <w:rPr>
          <w:rFonts w:hint="eastAsia" w:ascii="Times New Roman" w:hAnsi="Times New Roman" w:eastAsia="仿宋_GB2312"/>
          <w:color w:val="000000" w:themeColor="text1"/>
          <w:sz w:val="32"/>
          <w:szCs w:val="32"/>
          <w14:textFill>
            <w14:solidFill>
              <w14:schemeClr w14:val="tx1"/>
            </w14:solidFill>
          </w14:textFill>
        </w:rPr>
        <w:t>熟</w:t>
      </w:r>
      <w:r>
        <w:rPr>
          <w:rFonts w:ascii="Times New Roman" w:hAnsi="Times New Roman" w:eastAsia="仿宋_GB2312"/>
          <w:color w:val="000000" w:themeColor="text1"/>
          <w:sz w:val="32"/>
          <w:szCs w:val="32"/>
          <w14:textFill>
            <w14:solidFill>
              <w14:schemeClr w14:val="tx1"/>
            </w14:solidFill>
          </w14:textFill>
        </w:rPr>
        <w:t>，面临康巴什新区强有力竞争，东胜中心城区聚焦效应将有所削弱，应充分挖掘资源要素禀赋，进一步强化服务业发展的比较优势和特色竞争力。</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发展机制有待完善</w:t>
      </w:r>
      <w:r>
        <w:rPr>
          <w:rFonts w:hint="eastAsia" w:ascii="Times New Roman" w:hAnsi="Times New Roman" w:eastAsia="仿宋_GB2312"/>
          <w:b/>
          <w:bCs/>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对服务业发展的政策引导与扶持力度有待进一步加强，尤其要加强对上争取政策、项目支持。服务业市场化、社会化、产业化程度仍需提高，金融、保险、教育、医疗、保健、通信</w:t>
      </w:r>
      <w:r>
        <w:rPr>
          <w:rFonts w:hint="eastAsia" w:ascii="Times New Roman" w:hAnsi="Times New Roman" w:eastAsia="仿宋_GB2312"/>
          <w:color w:val="000000" w:themeColor="text1"/>
          <w:sz w:val="32"/>
          <w:szCs w:val="32"/>
          <w14:textFill>
            <w14:solidFill>
              <w14:schemeClr w14:val="tx1"/>
            </w14:solidFill>
          </w14:textFill>
        </w:rPr>
        <w:t>、数字</w:t>
      </w:r>
      <w:r>
        <w:rPr>
          <w:rFonts w:ascii="Times New Roman" w:hAnsi="Times New Roman" w:eastAsia="仿宋_GB2312"/>
          <w:color w:val="000000" w:themeColor="text1"/>
          <w:sz w:val="32"/>
          <w:szCs w:val="32"/>
          <w14:textFill>
            <w14:solidFill>
              <w14:schemeClr w14:val="tx1"/>
            </w14:solidFill>
          </w14:textFill>
        </w:rPr>
        <w:t>等新兴服务行业进入门槛较高，招商引资难度大。</w:t>
      </w: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bookmarkStart w:id="5" w:name="_Toc5589"/>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r>
        <w:rPr>
          <w:rFonts w:hint="eastAsia" w:ascii="Times New Roman" w:hAnsi="Times New Roman" w:eastAsia="黑体"/>
          <w:b/>
          <w:color w:val="000000" w:themeColor="text1"/>
          <w:sz w:val="32"/>
          <w:szCs w:val="32"/>
          <w14:textFill>
            <w14:solidFill>
              <w14:schemeClr w14:val="tx1"/>
            </w14:solidFill>
          </w14:textFill>
        </w:rPr>
        <w:t xml:space="preserve">第二章 </w:t>
      </w:r>
      <w:r>
        <w:rPr>
          <w:rFonts w:ascii="Times New Roman" w:hAnsi="Times New Roman" w:eastAsia="黑体"/>
          <w:b/>
          <w:color w:val="000000" w:themeColor="text1"/>
          <w:sz w:val="32"/>
          <w:szCs w:val="32"/>
          <w14:textFill>
            <w14:solidFill>
              <w14:schemeClr w14:val="tx1"/>
            </w14:solidFill>
          </w14:textFill>
        </w:rPr>
        <w:t>总体</w:t>
      </w:r>
      <w:r>
        <w:rPr>
          <w:rFonts w:hint="eastAsia" w:ascii="Times New Roman" w:hAnsi="Times New Roman" w:eastAsia="黑体"/>
          <w:b/>
          <w:color w:val="000000" w:themeColor="text1"/>
          <w:sz w:val="32"/>
          <w:szCs w:val="32"/>
          <w14:textFill>
            <w14:solidFill>
              <w14:schemeClr w14:val="tx1"/>
            </w14:solidFill>
          </w14:textFill>
        </w:rPr>
        <w:t>要求</w:t>
      </w:r>
      <w:bookmarkEnd w:id="5"/>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6" w:name="_Toc23189"/>
      <w:r>
        <w:rPr>
          <w:rFonts w:hint="eastAsia" w:ascii="Times New Roman" w:hAnsi="Times New Roman" w:eastAsia="仿宋_GB2312"/>
          <w:color w:val="000000" w:themeColor="text1"/>
          <w14:textFill>
            <w14:solidFill>
              <w14:schemeClr w14:val="tx1"/>
            </w14:solidFill>
          </w14:textFill>
        </w:rPr>
        <w:t xml:space="preserve">第一节 </w:t>
      </w:r>
      <w:r>
        <w:rPr>
          <w:rFonts w:ascii="Times New Roman" w:hAnsi="Times New Roman" w:eastAsia="仿宋_GB2312"/>
          <w:color w:val="000000" w:themeColor="text1"/>
          <w14:textFill>
            <w14:solidFill>
              <w14:schemeClr w14:val="tx1"/>
            </w14:solidFill>
          </w14:textFill>
        </w:rPr>
        <w:t>指导思想</w:t>
      </w:r>
      <w:bookmarkEnd w:id="6"/>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坚持以习近平新时代中国特色社会主义思想为指导，全面贯彻党的十九大和十九届二中、三中、四中、五中、六中全会精神，</w:t>
      </w:r>
      <w:r>
        <w:rPr>
          <w:rFonts w:ascii="Times New Roman" w:hAnsi="Times New Roman" w:eastAsia="仿宋_GB2312"/>
          <w:color w:val="000000" w:themeColor="text1"/>
          <w:sz w:val="32"/>
          <w:szCs w:val="32"/>
          <w14:textFill>
            <w14:solidFill>
              <w14:schemeClr w14:val="tx1"/>
            </w14:solidFill>
          </w14:textFill>
        </w:rPr>
        <w:t>将加快发展服务业作为转变经济发展方式、提升产业整体素质、改善居民生活品质的重要手段，坚持特色发展、重点突破、联动互促、要素集约，以市场需求为导向，以集聚区建设为重点，以项目建设为抓手，以机制创新为保障，推进生产性服务业向专业化和价值链高端延伸</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生活性服务业向高品质和多样化升级</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抢抓国家黄河流域生态保护和高质量发展战略部署机遇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全面提升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东胜服务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的辐射力和竞争力，着力打造</w:t>
      </w:r>
      <w:r>
        <w:rPr>
          <w:rFonts w:hint="eastAsia" w:ascii="Times New Roman" w:hAnsi="Times New Roman" w:eastAsia="仿宋_GB2312"/>
          <w:color w:val="000000" w:themeColor="text1"/>
          <w:sz w:val="32"/>
          <w:szCs w:val="32"/>
          <w14:textFill>
            <w14:solidFill>
              <w14:schemeClr w14:val="tx1"/>
            </w14:solidFill>
          </w14:textFill>
        </w:rPr>
        <w:t>黄河“几”字弯都市圈新兴创新中心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新兴消费中心和新兴服务中心</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color w:val="000000" w:themeColor="text1"/>
          <w:sz w:val="32"/>
          <w:szCs w:val="32"/>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7" w:name="_Toc13436"/>
      <w:r>
        <w:rPr>
          <w:rFonts w:hint="eastAsia" w:ascii="Times New Roman" w:hAnsi="Times New Roman" w:eastAsia="仿宋_GB2312"/>
          <w:color w:val="000000" w:themeColor="text1"/>
          <w14:textFill>
            <w14:solidFill>
              <w14:schemeClr w14:val="tx1"/>
            </w14:solidFill>
          </w14:textFill>
        </w:rPr>
        <w:t xml:space="preserve">第二节 </w:t>
      </w:r>
      <w:r>
        <w:rPr>
          <w:rFonts w:ascii="Times New Roman" w:hAnsi="Times New Roman" w:eastAsia="仿宋_GB2312"/>
          <w:color w:val="000000" w:themeColor="text1"/>
          <w14:textFill>
            <w14:solidFill>
              <w14:schemeClr w14:val="tx1"/>
            </w14:solidFill>
          </w14:textFill>
        </w:rPr>
        <w:t>发展定位</w:t>
      </w:r>
      <w:bookmarkEnd w:id="7"/>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依托战略交通区位，突出</w:t>
      </w:r>
      <w:r>
        <w:rPr>
          <w:rFonts w:hint="eastAsia" w:ascii="Times New Roman" w:hAnsi="Times New Roman" w:eastAsia="仿宋_GB2312"/>
          <w:color w:val="000000" w:themeColor="text1"/>
          <w:sz w:val="32"/>
          <w:szCs w:val="32"/>
          <w14:textFill>
            <w14:solidFill>
              <w14:schemeClr w14:val="tx1"/>
            </w14:solidFill>
          </w14:textFill>
        </w:rPr>
        <w:t>科技研发、文旅</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数字经济</w:t>
      </w:r>
      <w:r>
        <w:rPr>
          <w:rFonts w:ascii="Times New Roman" w:hAnsi="Times New Roman" w:eastAsia="仿宋_GB2312"/>
          <w:color w:val="000000" w:themeColor="text1"/>
          <w:sz w:val="32"/>
          <w:szCs w:val="32"/>
          <w14:textFill>
            <w14:solidFill>
              <w14:schemeClr w14:val="tx1"/>
            </w14:solidFill>
          </w14:textFill>
        </w:rPr>
        <w:t>、商务特色，做大规模、做优结构，推进生产性服务业</w:t>
      </w:r>
      <w:r>
        <w:rPr>
          <w:rFonts w:hint="eastAsia" w:ascii="Times New Roman" w:hAnsi="Times New Roman" w:eastAsia="仿宋_GB2312"/>
          <w:color w:val="000000" w:themeColor="text1"/>
          <w:sz w:val="32"/>
          <w:szCs w:val="32"/>
          <w14:textFill>
            <w14:solidFill>
              <w14:schemeClr w14:val="tx1"/>
            </w14:solidFill>
          </w14:textFill>
        </w:rPr>
        <w:t>专业化、高端化</w:t>
      </w:r>
      <w:r>
        <w:rPr>
          <w:rFonts w:ascii="Times New Roman" w:hAnsi="Times New Roman" w:eastAsia="仿宋_GB2312"/>
          <w:color w:val="000000" w:themeColor="text1"/>
          <w:sz w:val="32"/>
          <w:szCs w:val="32"/>
          <w14:textFill>
            <w14:solidFill>
              <w14:schemeClr w14:val="tx1"/>
            </w14:solidFill>
          </w14:textFill>
        </w:rPr>
        <w:t>发展</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生活性服务业</w:t>
      </w:r>
      <w:r>
        <w:rPr>
          <w:rFonts w:hint="eastAsia" w:ascii="Times New Roman" w:hAnsi="Times New Roman" w:eastAsia="仿宋_GB2312"/>
          <w:color w:val="000000" w:themeColor="text1"/>
          <w:sz w:val="32"/>
          <w:szCs w:val="32"/>
          <w14:textFill>
            <w14:solidFill>
              <w14:schemeClr w14:val="tx1"/>
            </w14:solidFill>
          </w14:textFill>
        </w:rPr>
        <w:t>品质化、多样化</w:t>
      </w:r>
      <w:r>
        <w:rPr>
          <w:rFonts w:ascii="Times New Roman" w:hAnsi="Times New Roman" w:eastAsia="仿宋_GB2312"/>
          <w:color w:val="000000" w:themeColor="text1"/>
          <w:sz w:val="32"/>
          <w:szCs w:val="32"/>
          <w14:textFill>
            <w14:solidFill>
              <w14:schemeClr w14:val="tx1"/>
            </w14:solidFill>
          </w14:textFill>
        </w:rPr>
        <w:t>发展，着力打造</w:t>
      </w:r>
      <w:r>
        <w:rPr>
          <w:rFonts w:hint="eastAsia" w:ascii="Times New Roman" w:hAnsi="Times New Roman" w:eastAsia="仿宋_GB2312"/>
          <w:color w:val="000000" w:themeColor="text1"/>
          <w:sz w:val="32"/>
          <w:szCs w:val="32"/>
          <w14:textFill>
            <w14:solidFill>
              <w14:schemeClr w14:val="tx1"/>
            </w14:solidFill>
          </w14:textFill>
        </w:rPr>
        <w:t>黄河“几”字弯都市圈</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新型创新中心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新兴消费中心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新兴服务中心</w:t>
      </w:r>
      <w:r>
        <w:rPr>
          <w:rFonts w:ascii="Times New Roman" w:hAnsi="Times New Roman" w:eastAsia="仿宋_GB2312"/>
          <w:color w:val="000000" w:themeColor="text1"/>
          <w:sz w:val="32"/>
          <w:szCs w:val="32"/>
          <w14:textFill>
            <w14:solidFill>
              <w14:schemeClr w14:val="tx1"/>
            </w14:solidFill>
          </w14:textFill>
        </w:rPr>
        <w:t>”，构建立足鄂尔多斯、服务呼包鄂</w:t>
      </w:r>
      <w:r>
        <w:rPr>
          <w:rFonts w:hint="eastAsia" w:ascii="Times New Roman" w:hAnsi="Times New Roman" w:eastAsia="仿宋_GB2312"/>
          <w:color w:val="000000" w:themeColor="text1"/>
          <w:sz w:val="32"/>
          <w:szCs w:val="32"/>
          <w14:textFill>
            <w14:solidFill>
              <w14:schemeClr w14:val="tx1"/>
            </w14:solidFill>
          </w14:textFill>
        </w:rPr>
        <w:t>榆城市群</w:t>
      </w:r>
      <w:r>
        <w:rPr>
          <w:rFonts w:ascii="Times New Roman" w:hAnsi="Times New Roman" w:eastAsia="仿宋_GB2312"/>
          <w:color w:val="000000" w:themeColor="text1"/>
          <w:sz w:val="32"/>
          <w:szCs w:val="32"/>
          <w14:textFill>
            <w14:solidFill>
              <w14:schemeClr w14:val="tx1"/>
            </w14:solidFill>
          </w14:textFill>
        </w:rPr>
        <w:t>、辐射</w:t>
      </w:r>
      <w:r>
        <w:rPr>
          <w:rFonts w:hint="eastAsia" w:ascii="Times New Roman" w:hAnsi="Times New Roman" w:eastAsia="仿宋_GB2312"/>
          <w:color w:val="000000" w:themeColor="text1"/>
          <w:sz w:val="32"/>
          <w:szCs w:val="32"/>
          <w14:textFill>
            <w14:solidFill>
              <w14:schemeClr w14:val="tx1"/>
            </w14:solidFill>
          </w14:textFill>
        </w:rPr>
        <w:t>黄河“几”字弯都市圈</w:t>
      </w:r>
      <w:r>
        <w:rPr>
          <w:rFonts w:ascii="Times New Roman" w:hAnsi="Times New Roman" w:eastAsia="仿宋_GB2312"/>
          <w:color w:val="000000" w:themeColor="text1"/>
          <w:sz w:val="32"/>
          <w:szCs w:val="32"/>
          <w14:textFill>
            <w14:solidFill>
              <w14:schemeClr w14:val="tx1"/>
            </w14:solidFill>
          </w14:textFill>
        </w:rPr>
        <w:t>的服务业发展高地。</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新兴创新中心。</w:t>
      </w:r>
      <w:r>
        <w:rPr>
          <w:rFonts w:hint="eastAsia" w:ascii="Times New Roman" w:hAnsi="Times New Roman" w:eastAsia="仿宋_GB2312"/>
          <w:color w:val="000000" w:themeColor="text1"/>
          <w:sz w:val="32"/>
          <w:szCs w:val="32"/>
          <w14:textFill>
            <w14:solidFill>
              <w14:schemeClr w14:val="tx1"/>
            </w14:solidFill>
          </w14:textFill>
        </w:rPr>
        <w:t>以创建国家可持续议程发展创新示范区为引领，突出创新引领、创新驱动、创新示范，把区位和资源优势转化为可持续发展新优势，开拓可持续发展新路径，推动高端资源、先进成果，创新要素向东胜集聚，建成区域创新中心。</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新兴消费中心。</w:t>
      </w:r>
      <w:r>
        <w:rPr>
          <w:rFonts w:hint="eastAsia" w:ascii="Times New Roman" w:hAnsi="Times New Roman" w:eastAsia="仿宋_GB2312"/>
          <w:color w:val="000000" w:themeColor="text1"/>
          <w:sz w:val="32"/>
          <w:szCs w:val="32"/>
          <w14:textFill>
            <w14:solidFill>
              <w14:schemeClr w14:val="tx1"/>
            </w14:solidFill>
          </w14:textFill>
        </w:rPr>
        <w:t>积极融入以国内大循环为主体、国内国际双循环相互促进的新发展格局，以新消费引领新供给，以新供给创造新需求，推动传统领域消费升级，优化特色服务消费供给，培育壮大消费新业态新模式，统筹发展城市乡村和线上线下消费，加强消费软环境建设，增强区域消费辐射带动能力，建成区域新兴消费中心。</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新兴服务中心。</w:t>
      </w:r>
      <w:r>
        <w:rPr>
          <w:rFonts w:hint="eastAsia" w:ascii="Times New Roman" w:hAnsi="Times New Roman" w:eastAsia="仿宋_GB2312"/>
          <w:color w:val="000000" w:themeColor="text1"/>
          <w:sz w:val="32"/>
          <w:szCs w:val="32"/>
          <w14:textFill>
            <w14:solidFill>
              <w14:schemeClr w14:val="tx1"/>
            </w14:solidFill>
          </w14:textFill>
        </w:rPr>
        <w:t>围绕扩大内需战略，着眼呼包鄂榆城市群产业集聚、人口相对集中的有利条件，充分发挥东胜区区位、产业、营商环境和公共服务保障优势，强化数字、金融、环保、旅游及社会公共服务功能，形成集聚新技术、新业态、新模式的新型服务经济体系，全力塑造“东胜服务”品牌形象，建成区域新兴服务中心。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8" w:name="_Toc29380"/>
      <w:r>
        <w:rPr>
          <w:rFonts w:hint="eastAsia" w:ascii="Times New Roman" w:hAnsi="Times New Roman" w:eastAsia="仿宋_GB2312"/>
          <w:color w:val="000000" w:themeColor="text1"/>
          <w14:textFill>
            <w14:solidFill>
              <w14:schemeClr w14:val="tx1"/>
            </w14:solidFill>
          </w14:textFill>
        </w:rPr>
        <w:t xml:space="preserve">第三节 </w:t>
      </w:r>
      <w:r>
        <w:rPr>
          <w:rFonts w:ascii="Times New Roman" w:hAnsi="Times New Roman" w:eastAsia="仿宋_GB2312"/>
          <w:color w:val="000000" w:themeColor="text1"/>
          <w14:textFill>
            <w14:solidFill>
              <w14:schemeClr w14:val="tx1"/>
            </w14:solidFill>
          </w14:textFill>
        </w:rPr>
        <w:t>基本原则</w:t>
      </w:r>
      <w:bookmarkEnd w:id="8"/>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——区域统筹，特色发展。</w:t>
      </w:r>
      <w:r>
        <w:rPr>
          <w:rFonts w:ascii="Times New Roman" w:hAnsi="Times New Roman" w:eastAsia="仿宋_GB2312"/>
          <w:color w:val="000000" w:themeColor="text1"/>
          <w:sz w:val="32"/>
          <w:szCs w:val="32"/>
          <w14:textFill>
            <w14:solidFill>
              <w14:schemeClr w14:val="tx1"/>
            </w14:solidFill>
          </w14:textFill>
        </w:rPr>
        <w:t>强化区域统筹发展理念，从自治区、呼包鄂</w:t>
      </w:r>
      <w:r>
        <w:rPr>
          <w:rFonts w:hint="eastAsia" w:ascii="Times New Roman" w:hAnsi="Times New Roman" w:eastAsia="仿宋_GB2312"/>
          <w:color w:val="000000" w:themeColor="text1"/>
          <w:sz w:val="32"/>
          <w:szCs w:val="32"/>
          <w14:textFill>
            <w14:solidFill>
              <w14:schemeClr w14:val="tx1"/>
            </w14:solidFill>
          </w14:textFill>
        </w:rPr>
        <w:t>榆城市群</w:t>
      </w:r>
      <w:r>
        <w:rPr>
          <w:rFonts w:ascii="Times New Roman" w:hAnsi="Times New Roman" w:eastAsia="仿宋_GB2312"/>
          <w:color w:val="000000" w:themeColor="text1"/>
          <w:sz w:val="32"/>
          <w:szCs w:val="32"/>
          <w14:textFill>
            <w14:solidFill>
              <w14:schemeClr w14:val="tx1"/>
            </w14:solidFill>
          </w14:textFill>
        </w:rPr>
        <w:t>以及鄂尔多斯市的大区域范围出发，发挥东胜特色、整合优势资源，实现错位竞争与差异化发展，与周边地区共建功能互补、区域协作的服务业发展体系。</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——整体推进，重点突破。</w:t>
      </w:r>
      <w:r>
        <w:rPr>
          <w:rFonts w:ascii="Times New Roman" w:hAnsi="Times New Roman" w:eastAsia="仿宋_GB2312"/>
          <w:color w:val="000000" w:themeColor="text1"/>
          <w:sz w:val="32"/>
          <w:szCs w:val="32"/>
          <w14:textFill>
            <w14:solidFill>
              <w14:schemeClr w14:val="tx1"/>
            </w14:solidFill>
          </w14:textFill>
        </w:rPr>
        <w:t>既要积极推动服务业领域全面协调发展，更要突出重点、突破难点、打造亮点，实施服务业精品战略，重点发展</w:t>
      </w:r>
      <w:r>
        <w:rPr>
          <w:rFonts w:hint="eastAsia" w:ascii="Times New Roman" w:hAnsi="Times New Roman" w:eastAsia="仿宋_GB2312"/>
          <w:color w:val="000000" w:themeColor="text1"/>
          <w:sz w:val="32"/>
          <w:szCs w:val="32"/>
          <w14:textFill>
            <w14:solidFill>
              <w14:schemeClr w14:val="tx1"/>
            </w14:solidFill>
          </w14:textFill>
        </w:rPr>
        <w:t>文旅</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物流</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数字、</w:t>
      </w:r>
      <w:r>
        <w:rPr>
          <w:rFonts w:ascii="Times New Roman" w:hAnsi="Times New Roman" w:eastAsia="仿宋_GB2312"/>
          <w:color w:val="000000" w:themeColor="text1"/>
          <w:sz w:val="32"/>
          <w:szCs w:val="32"/>
          <w14:textFill>
            <w14:solidFill>
              <w14:schemeClr w14:val="tx1"/>
            </w14:solidFill>
          </w14:textFill>
        </w:rPr>
        <w:t>科创产业，培育构建特色服务品牌。</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——产业融合，联动互促。</w:t>
      </w:r>
      <w:r>
        <w:rPr>
          <w:rFonts w:ascii="Times New Roman" w:hAnsi="Times New Roman" w:eastAsia="仿宋_GB2312"/>
          <w:color w:val="000000" w:themeColor="text1"/>
          <w:sz w:val="32"/>
          <w:szCs w:val="32"/>
          <w14:textFill>
            <w14:solidFill>
              <w14:schemeClr w14:val="tx1"/>
            </w14:solidFill>
          </w14:textFill>
        </w:rPr>
        <w:t>推动产业间融合，积极发展现代物流、商务金融、科技研发和休闲农业等业态，促进服务业与一、二产业联动发展。促进产业内融合，以功能复合集成为导向，形成以</w:t>
      </w:r>
      <w:r>
        <w:rPr>
          <w:rFonts w:hint="eastAsia" w:ascii="Times New Roman" w:hAnsi="Times New Roman" w:eastAsia="仿宋_GB2312"/>
          <w:color w:val="000000" w:themeColor="text1"/>
          <w:sz w:val="32"/>
          <w:szCs w:val="32"/>
          <w14:textFill>
            <w14:solidFill>
              <w14:schemeClr w14:val="tx1"/>
            </w14:solidFill>
          </w14:textFill>
        </w:rPr>
        <w:t>生产性服务业为核心，生活性服务业为支撑，公共服务业为保障的</w:t>
      </w:r>
      <w:r>
        <w:rPr>
          <w:rFonts w:ascii="Times New Roman" w:hAnsi="Times New Roman" w:eastAsia="仿宋_GB2312"/>
          <w:color w:val="000000" w:themeColor="text1"/>
          <w:sz w:val="32"/>
          <w:szCs w:val="32"/>
          <w14:textFill>
            <w14:solidFill>
              <w14:schemeClr w14:val="tx1"/>
            </w14:solidFill>
          </w14:textFill>
        </w:rPr>
        <w:t>产业体系，提升服务业发展品质。</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——资源整合，要素集约。</w:t>
      </w:r>
      <w:r>
        <w:rPr>
          <w:rFonts w:ascii="Times New Roman" w:hAnsi="Times New Roman" w:eastAsia="仿宋_GB2312"/>
          <w:color w:val="000000" w:themeColor="text1"/>
          <w:sz w:val="32"/>
          <w:szCs w:val="32"/>
          <w14:textFill>
            <w14:solidFill>
              <w14:schemeClr w14:val="tx1"/>
            </w14:solidFill>
          </w14:textFill>
        </w:rPr>
        <w:t xml:space="preserve">注重自然生态、蒙元文化、特色工业等资源的整合提升，实现既有优势扩大化。加强土地、资金、人才、设施要素的集约利用，以提高投资强度与产出效率为目标、推动设施整合再利用为途径，实现高效、精致发展。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9" w:name="_Toc18086"/>
      <w:r>
        <w:rPr>
          <w:rFonts w:hint="eastAsia" w:ascii="Times New Roman" w:hAnsi="Times New Roman" w:eastAsia="仿宋_GB2312"/>
          <w:color w:val="000000" w:themeColor="text1"/>
          <w14:textFill>
            <w14:solidFill>
              <w14:schemeClr w14:val="tx1"/>
            </w14:solidFill>
          </w14:textFill>
        </w:rPr>
        <w:t xml:space="preserve">第四节 </w:t>
      </w:r>
      <w:r>
        <w:rPr>
          <w:rFonts w:ascii="Times New Roman" w:hAnsi="Times New Roman" w:eastAsia="仿宋_GB2312"/>
          <w:color w:val="000000" w:themeColor="text1"/>
          <w14:textFill>
            <w14:solidFill>
              <w14:schemeClr w14:val="tx1"/>
            </w14:solidFill>
          </w14:textFill>
        </w:rPr>
        <w:t>发展目标</w:t>
      </w:r>
      <w:bookmarkEnd w:id="9"/>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——发展总量稳步扩张。</w:t>
      </w:r>
      <w:r>
        <w:rPr>
          <w:rFonts w:ascii="Times New Roman" w:hAnsi="Times New Roman" w:eastAsia="仿宋_GB2312"/>
          <w:color w:val="000000" w:themeColor="text1"/>
          <w:sz w:val="32"/>
          <w:szCs w:val="32"/>
          <w14:textFill>
            <w14:solidFill>
              <w14:schemeClr w14:val="tx1"/>
            </w14:solidFill>
          </w14:textFill>
        </w:rPr>
        <w:t>服务业在国民经济中的地位不断提升，到20</w:t>
      </w:r>
      <w:r>
        <w:rPr>
          <w:rFonts w:hint="eastAsia" w:ascii="Times New Roman" w:hAnsi="Times New Roman" w:eastAsia="仿宋_GB2312"/>
          <w:color w:val="000000" w:themeColor="text1"/>
          <w:sz w:val="32"/>
          <w:szCs w:val="32"/>
          <w14:textFill>
            <w14:solidFill>
              <w14:schemeClr w14:val="tx1"/>
            </w14:solidFill>
          </w14:textFill>
        </w:rPr>
        <w:t>25</w:t>
      </w:r>
      <w:r>
        <w:rPr>
          <w:rFonts w:ascii="Times New Roman" w:hAnsi="Times New Roman" w:eastAsia="仿宋_GB2312"/>
          <w:color w:val="000000" w:themeColor="text1"/>
          <w:sz w:val="32"/>
          <w:szCs w:val="32"/>
          <w14:textFill>
            <w14:solidFill>
              <w14:schemeClr w14:val="tx1"/>
            </w14:solidFill>
          </w14:textFill>
        </w:rPr>
        <w:t>年，服务业增加值力争达到</w:t>
      </w:r>
      <w:r>
        <w:rPr>
          <w:rFonts w:hint="eastAsia" w:ascii="Times New Roman" w:hAnsi="Times New Roman" w:eastAsia="仿宋_GB2312"/>
          <w:color w:val="000000" w:themeColor="text1"/>
          <w:sz w:val="32"/>
          <w:szCs w:val="32"/>
          <w14:textFill>
            <w14:solidFill>
              <w14:schemeClr w14:val="tx1"/>
            </w14:solidFill>
          </w14:textFill>
        </w:rPr>
        <w:t>600</w:t>
      </w:r>
      <w:r>
        <w:rPr>
          <w:rFonts w:ascii="Times New Roman" w:hAnsi="Times New Roman" w:eastAsia="仿宋_GB2312"/>
          <w:color w:val="000000" w:themeColor="text1"/>
          <w:sz w:val="32"/>
          <w:szCs w:val="32"/>
          <w14:textFill>
            <w14:solidFill>
              <w14:schemeClr w14:val="tx1"/>
            </w14:solidFill>
          </w14:textFill>
        </w:rPr>
        <w:t>亿元</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年均增长</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%，占GDP比重达到66%</w:t>
      </w:r>
      <w:r>
        <w:rPr>
          <w:rFonts w:hint="eastAsia" w:ascii="Times New Roman" w:hAnsi="Times New Roman" w:eastAsia="仿宋_GB2312"/>
          <w:color w:val="000000" w:themeColor="text1"/>
          <w:sz w:val="32"/>
          <w:szCs w:val="32"/>
          <w14:textFill>
            <w14:solidFill>
              <w14:schemeClr w14:val="tx1"/>
            </w14:solidFill>
          </w14:textFill>
        </w:rPr>
        <w:t>以上</w:t>
      </w:r>
      <w:r>
        <w:rPr>
          <w:rFonts w:ascii="Times New Roman" w:hAnsi="Times New Roman" w:eastAsia="仿宋_GB2312"/>
          <w:color w:val="000000" w:themeColor="text1"/>
          <w:sz w:val="32"/>
          <w:szCs w:val="32"/>
          <w14:textFill>
            <w14:solidFill>
              <w14:schemeClr w14:val="tx1"/>
            </w14:solidFill>
          </w14:textFill>
        </w:rPr>
        <w:t>；服务业从业人员数突破2</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万人，占全社会从业人员比重6</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%左右。</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——产业结构明显优化。</w:t>
      </w:r>
      <w:r>
        <w:rPr>
          <w:rFonts w:hint="eastAsia" w:ascii="Times New Roman" w:hAnsi="Times New Roman" w:eastAsia="仿宋_GB2312"/>
          <w:color w:val="000000" w:themeColor="text1"/>
          <w:sz w:val="32"/>
          <w:szCs w:val="32"/>
          <w14:textFill>
            <w14:solidFill>
              <w14:schemeClr w14:val="tx1"/>
            </w14:solidFill>
          </w14:textFill>
        </w:rPr>
        <w:t>文化旅游</w:t>
      </w:r>
      <w:r>
        <w:rPr>
          <w:rFonts w:ascii="Times New Roman" w:hAnsi="Times New Roman" w:eastAsia="仿宋_GB2312"/>
          <w:color w:val="000000" w:themeColor="text1"/>
          <w:sz w:val="32"/>
          <w:szCs w:val="32"/>
          <w14:textFill>
            <w14:solidFill>
              <w14:schemeClr w14:val="tx1"/>
            </w14:solidFill>
          </w14:textFill>
        </w:rPr>
        <w:t>、现代物流、现代商贸、金融商务</w:t>
      </w:r>
      <w:r>
        <w:rPr>
          <w:rFonts w:hint="eastAsia" w:ascii="Times New Roman" w:hAnsi="Times New Roman" w:eastAsia="仿宋_GB2312"/>
          <w:color w:val="000000" w:themeColor="text1"/>
          <w:sz w:val="32"/>
          <w:szCs w:val="32"/>
          <w14:textFill>
            <w14:solidFill>
              <w14:schemeClr w14:val="tx1"/>
            </w14:solidFill>
          </w14:textFill>
        </w:rPr>
        <w:t>、数字经济</w:t>
      </w:r>
      <w:r>
        <w:rPr>
          <w:rFonts w:ascii="Times New Roman" w:hAnsi="Times New Roman" w:eastAsia="仿宋_GB2312"/>
          <w:color w:val="000000" w:themeColor="text1"/>
          <w:sz w:val="32"/>
          <w:szCs w:val="32"/>
          <w14:textFill>
            <w14:solidFill>
              <w14:schemeClr w14:val="tx1"/>
            </w14:solidFill>
          </w14:textFill>
        </w:rPr>
        <w:t>等重点行业逐步做大做强。到</w:t>
      </w:r>
      <w:r>
        <w:rPr>
          <w:rFonts w:hint="eastAsia" w:ascii="Times New Roman" w:hAnsi="Times New Roman" w:eastAsia="仿宋_GB2312"/>
          <w:color w:val="000000" w:themeColor="text1"/>
          <w:sz w:val="32"/>
          <w:szCs w:val="32"/>
          <w14:textFill>
            <w14:solidFill>
              <w14:schemeClr w14:val="tx1"/>
            </w14:solidFill>
          </w14:textFill>
        </w:rPr>
        <w:t>2025</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生产性服务业</w:t>
      </w:r>
      <w:r>
        <w:rPr>
          <w:rFonts w:ascii="Times New Roman" w:hAnsi="Times New Roman" w:eastAsia="仿宋_GB2312"/>
          <w:color w:val="000000" w:themeColor="text1"/>
          <w:sz w:val="32"/>
          <w:szCs w:val="32"/>
          <w14:textFill>
            <w14:solidFill>
              <w14:schemeClr w14:val="tx1"/>
            </w14:solidFill>
          </w14:textFill>
        </w:rPr>
        <w:t>增加值占服务业增加值比重达到</w:t>
      </w:r>
      <w:r>
        <w:rPr>
          <w:rFonts w:hint="eastAsia" w:ascii="Times New Roman" w:hAnsi="Times New Roman" w:eastAsia="仿宋_GB2312"/>
          <w:color w:val="000000" w:themeColor="text1"/>
          <w:sz w:val="32"/>
          <w:szCs w:val="32"/>
          <w14:textFill>
            <w14:solidFill>
              <w14:schemeClr w14:val="tx1"/>
            </w14:solidFill>
          </w14:textFill>
        </w:rPr>
        <w:t>60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以上</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生活性服务业</w:t>
      </w:r>
      <w:r>
        <w:rPr>
          <w:rFonts w:ascii="Times New Roman" w:hAnsi="Times New Roman" w:eastAsia="仿宋_GB2312"/>
          <w:color w:val="000000" w:themeColor="text1"/>
          <w:sz w:val="32"/>
          <w:szCs w:val="32"/>
          <w14:textFill>
            <w14:solidFill>
              <w14:schemeClr w14:val="tx1"/>
            </w14:solidFill>
          </w14:textFill>
        </w:rPr>
        <w:t>增加值占服务业增加值比重达到</w:t>
      </w:r>
      <w:r>
        <w:rPr>
          <w:rFonts w:hint="eastAsia" w:ascii="Times New Roman" w:hAnsi="Times New Roman" w:eastAsia="仿宋_GB2312"/>
          <w:color w:val="000000" w:themeColor="text1"/>
          <w:sz w:val="32"/>
          <w:szCs w:val="32"/>
          <w14:textFill>
            <w14:solidFill>
              <w14:schemeClr w14:val="tx1"/>
            </w14:solidFill>
          </w14:textFill>
        </w:rPr>
        <w:t>40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左右</w:t>
      </w:r>
      <w:r>
        <w:rPr>
          <w:rFonts w:ascii="Times New Roman" w:hAnsi="Times New Roman" w:eastAsia="仿宋_GB2312"/>
          <w:color w:val="000000" w:themeColor="text1"/>
          <w:sz w:val="32"/>
          <w:szCs w:val="32"/>
          <w14:textFill>
            <w14:solidFill>
              <w14:schemeClr w14:val="tx1"/>
            </w14:solidFill>
          </w14:textFill>
        </w:rPr>
        <w:t>。科技信息、电子商务等新兴行业实现较快发展，占服务业增加值比重</w:t>
      </w:r>
      <w:r>
        <w:rPr>
          <w:rFonts w:hint="eastAsia" w:ascii="Times New Roman" w:hAnsi="Times New Roman" w:eastAsia="仿宋_GB2312"/>
          <w:color w:val="000000" w:themeColor="text1"/>
          <w:sz w:val="32"/>
          <w:szCs w:val="32"/>
          <w14:textFill>
            <w14:solidFill>
              <w14:schemeClr w14:val="tx1"/>
            </w14:solidFill>
          </w14:textFill>
        </w:rPr>
        <w:t>大幅提高</w:t>
      </w:r>
      <w:r>
        <w:rPr>
          <w:rFonts w:ascii="Times New Roman" w:hAnsi="Times New Roman" w:eastAsia="仿宋_GB2312"/>
          <w:b/>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——服务功能明显优化。</w:t>
      </w:r>
      <w:r>
        <w:rPr>
          <w:rFonts w:ascii="Times New Roman" w:hAnsi="Times New Roman" w:eastAsia="仿宋_GB2312"/>
          <w:color w:val="000000" w:themeColor="text1"/>
          <w:sz w:val="32"/>
          <w:szCs w:val="32"/>
          <w14:textFill>
            <w14:solidFill>
              <w14:schemeClr w14:val="tx1"/>
            </w14:solidFill>
          </w14:textFill>
        </w:rPr>
        <w:t>到20</w:t>
      </w:r>
      <w:r>
        <w:rPr>
          <w:rFonts w:hint="eastAsia" w:ascii="Times New Roman" w:hAnsi="Times New Roman" w:eastAsia="仿宋_GB2312"/>
          <w:color w:val="000000" w:themeColor="text1"/>
          <w:sz w:val="32"/>
          <w:szCs w:val="32"/>
          <w14:textFill>
            <w14:solidFill>
              <w14:schemeClr w14:val="tx1"/>
            </w14:solidFill>
          </w14:textFill>
        </w:rPr>
        <w:t>25</w:t>
      </w:r>
      <w:r>
        <w:rPr>
          <w:rFonts w:ascii="Times New Roman" w:hAnsi="Times New Roman" w:eastAsia="仿宋_GB2312"/>
          <w:color w:val="000000" w:themeColor="text1"/>
          <w:sz w:val="32"/>
          <w:szCs w:val="32"/>
          <w14:textFill>
            <w14:solidFill>
              <w14:schemeClr w14:val="tx1"/>
            </w14:solidFill>
          </w14:textFill>
        </w:rPr>
        <w:t>年，建成</w:t>
      </w:r>
      <w:r>
        <w:rPr>
          <w:rFonts w:hint="eastAsia" w:ascii="Times New Roman" w:hAnsi="Times New Roman" w:eastAsia="仿宋_GB2312"/>
          <w:color w:val="000000" w:themeColor="text1"/>
          <w:sz w:val="32"/>
          <w:szCs w:val="32"/>
          <w14:textFill>
            <w14:solidFill>
              <w14:schemeClr w14:val="tx1"/>
            </w14:solidFill>
          </w14:textFill>
        </w:rPr>
        <w:t>9</w:t>
      </w:r>
      <w:r>
        <w:rPr>
          <w:rFonts w:ascii="Times New Roman" w:hAnsi="Times New Roman" w:eastAsia="仿宋_GB2312"/>
          <w:color w:val="000000" w:themeColor="text1"/>
          <w:sz w:val="32"/>
          <w:szCs w:val="32"/>
          <w14:textFill>
            <w14:solidFill>
              <w14:schemeClr w14:val="tx1"/>
            </w14:solidFill>
          </w14:textFill>
        </w:rPr>
        <w:t>个以上标志性服务业集聚区，培育</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0家以上具有较强竞争力和品牌影响力的服务业龙头企业。全社会消费品零售总额达到</w:t>
      </w:r>
      <w:r>
        <w:rPr>
          <w:rFonts w:hint="eastAsia" w:ascii="Times New Roman" w:hAnsi="Times New Roman" w:eastAsia="仿宋_GB2312"/>
          <w:color w:val="000000" w:themeColor="text1"/>
          <w:sz w:val="32"/>
          <w:szCs w:val="32"/>
          <w14:textFill>
            <w14:solidFill>
              <w14:schemeClr w14:val="tx1"/>
            </w14:solidFill>
          </w14:textFill>
        </w:rPr>
        <w:t>280亿元以上，年均增速4.5%</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——建设投入明显增加。</w:t>
      </w:r>
      <w:r>
        <w:rPr>
          <w:rFonts w:ascii="Times New Roman" w:hAnsi="Times New Roman" w:eastAsia="仿宋_GB2312"/>
          <w:color w:val="000000" w:themeColor="text1"/>
          <w:sz w:val="32"/>
          <w:szCs w:val="32"/>
          <w14:textFill>
            <w14:solidFill>
              <w14:schemeClr w14:val="tx1"/>
            </w14:solidFill>
          </w14:textFill>
        </w:rPr>
        <w:t>服务业投入力度继续加大。到20</w:t>
      </w:r>
      <w:r>
        <w:rPr>
          <w:rFonts w:hint="eastAsia" w:ascii="Times New Roman" w:hAnsi="Times New Roman" w:eastAsia="仿宋_GB2312"/>
          <w:color w:val="000000" w:themeColor="text1"/>
          <w:sz w:val="32"/>
          <w:szCs w:val="32"/>
          <w14:textFill>
            <w14:solidFill>
              <w14:schemeClr w14:val="tx1"/>
            </w14:solidFill>
          </w14:textFill>
        </w:rPr>
        <w:t>25</w:t>
      </w:r>
      <w:r>
        <w:rPr>
          <w:rFonts w:ascii="Times New Roman" w:hAnsi="Times New Roman" w:eastAsia="仿宋_GB2312"/>
          <w:color w:val="000000" w:themeColor="text1"/>
          <w:sz w:val="32"/>
          <w:szCs w:val="32"/>
          <w14:textFill>
            <w14:solidFill>
              <w14:schemeClr w14:val="tx1"/>
            </w14:solidFill>
          </w14:textFill>
        </w:rPr>
        <w:t>年，力争累计服务业固定资产投资</w:t>
      </w:r>
      <w:r>
        <w:rPr>
          <w:rFonts w:hint="eastAsia" w:ascii="Times New Roman" w:hAnsi="Times New Roman" w:eastAsia="仿宋_GB2312"/>
          <w:color w:val="000000" w:themeColor="text1"/>
          <w:sz w:val="32"/>
          <w:szCs w:val="32"/>
          <w14:textFill>
            <w14:solidFill>
              <w14:schemeClr w14:val="tx1"/>
            </w14:solidFill>
          </w14:textFill>
        </w:rPr>
        <w:t>增速达到10%以上</w:t>
      </w:r>
      <w:r>
        <w:rPr>
          <w:rFonts w:ascii="Times New Roman" w:hAnsi="Times New Roman" w:eastAsia="仿宋_GB2312"/>
          <w:color w:val="000000" w:themeColor="text1"/>
          <w:sz w:val="32"/>
          <w:szCs w:val="32"/>
          <w14:textFill>
            <w14:solidFill>
              <w14:schemeClr w14:val="tx1"/>
            </w14:solidFill>
          </w14:textFill>
        </w:rPr>
        <w:t>。</w:t>
      </w: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pStyle w:val="2"/>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服务业发展主要指标</w:t>
      </w:r>
    </w:p>
    <w:tbl>
      <w:tblPr>
        <w:tblStyle w:val="17"/>
        <w:tblW w:w="4998" w:type="pct"/>
        <w:jc w:val="center"/>
        <w:tblBorders>
          <w:top w:val="double" w:color="auto" w:sz="4" w:space="0"/>
          <w:left w:val="none" w:color="auto" w:sz="0" w:space="0"/>
          <w:bottom w:val="double" w:color="auto" w:sz="4" w:space="0"/>
          <w:right w:val="none" w:color="auto" w:sz="0" w:space="0"/>
          <w:insideH w:val="single" w:color="auto" w:sz="8" w:space="0"/>
          <w:insideV w:val="dotted" w:color="auto" w:sz="4" w:space="0"/>
        </w:tblBorders>
        <w:tblLayout w:type="autofit"/>
        <w:tblCellMar>
          <w:top w:w="0" w:type="dxa"/>
          <w:left w:w="108" w:type="dxa"/>
          <w:bottom w:w="0" w:type="dxa"/>
          <w:right w:w="108" w:type="dxa"/>
        </w:tblCellMar>
      </w:tblPr>
      <w:tblGrid>
        <w:gridCol w:w="1502"/>
        <w:gridCol w:w="4934"/>
        <w:gridCol w:w="1033"/>
        <w:gridCol w:w="1050"/>
      </w:tblGrid>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tcBorders>
              <w:top w:val="double" w:color="auto" w:sz="4" w:space="0"/>
            </w:tcBorders>
            <w:shd w:val="clear" w:color="auto" w:fill="A6A6A6"/>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类型</w:t>
            </w:r>
          </w:p>
        </w:tc>
        <w:tc>
          <w:tcPr>
            <w:tcW w:w="2895" w:type="pct"/>
            <w:tcBorders>
              <w:top w:val="double" w:color="auto" w:sz="4" w:space="0"/>
            </w:tcBorders>
            <w:shd w:val="clear" w:color="auto" w:fill="A6A6A6"/>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主要指标</w:t>
            </w:r>
          </w:p>
        </w:tc>
        <w:tc>
          <w:tcPr>
            <w:tcW w:w="606" w:type="pct"/>
            <w:tcBorders>
              <w:top w:val="double" w:color="auto" w:sz="4" w:space="0"/>
            </w:tcBorders>
            <w:shd w:val="clear" w:color="auto" w:fill="A6A6A6"/>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20</w:t>
            </w:r>
            <w:r>
              <w:rPr>
                <w:rFonts w:hint="eastAsia" w:ascii="Times New Roman" w:hAnsi="Times New Roman" w:eastAsia="仿宋_GB2312"/>
                <w:b/>
                <w:color w:val="000000" w:themeColor="text1"/>
                <w:kern w:val="0"/>
                <w:sz w:val="28"/>
                <w:szCs w:val="28"/>
                <w14:textFill>
                  <w14:solidFill>
                    <w14:schemeClr w14:val="tx1"/>
                  </w14:solidFill>
                </w14:textFill>
              </w:rPr>
              <w:t>20</w:t>
            </w:r>
            <w:r>
              <w:rPr>
                <w:rFonts w:ascii="Times New Roman" w:hAnsi="Times New Roman" w:eastAsia="仿宋_GB2312"/>
                <w:b/>
                <w:color w:val="000000" w:themeColor="text1"/>
                <w:kern w:val="0"/>
                <w:sz w:val="28"/>
                <w:szCs w:val="28"/>
                <w14:textFill>
                  <w14:solidFill>
                    <w14:schemeClr w14:val="tx1"/>
                  </w14:solidFill>
                </w14:textFill>
              </w:rPr>
              <w:t>年</w:t>
            </w:r>
          </w:p>
        </w:tc>
        <w:tc>
          <w:tcPr>
            <w:tcW w:w="616" w:type="pct"/>
            <w:tcBorders>
              <w:top w:val="double" w:color="auto" w:sz="4" w:space="0"/>
            </w:tcBorders>
            <w:shd w:val="clear" w:color="auto" w:fill="A6A6A6"/>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202</w:t>
            </w:r>
            <w:r>
              <w:rPr>
                <w:rFonts w:hint="eastAsia" w:ascii="Times New Roman" w:hAnsi="Times New Roman" w:eastAsia="仿宋_GB2312"/>
                <w:b/>
                <w:color w:val="000000" w:themeColor="text1"/>
                <w:kern w:val="0"/>
                <w:sz w:val="28"/>
                <w:szCs w:val="28"/>
                <w14:textFill>
                  <w14:solidFill>
                    <w14:schemeClr w14:val="tx1"/>
                  </w14:solidFill>
                </w14:textFill>
              </w:rPr>
              <w:t>5</w:t>
            </w:r>
            <w:r>
              <w:rPr>
                <w:rFonts w:ascii="Times New Roman" w:hAnsi="Times New Roman" w:eastAsia="仿宋_GB2312"/>
                <w:b/>
                <w:color w:val="000000" w:themeColor="text1"/>
                <w:kern w:val="0"/>
                <w:sz w:val="28"/>
                <w:szCs w:val="28"/>
                <w14:textFill>
                  <w14:solidFill>
                    <w14:schemeClr w14:val="tx1"/>
                  </w14:solidFill>
                </w14:textFill>
              </w:rPr>
              <w:t>年</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restart"/>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总量指标</w:t>
            </w: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服务业增加值（亿元）</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459.11</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600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服务业占GDP比重（%）</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6</w:t>
            </w:r>
            <w:r>
              <w:rPr>
                <w:rFonts w:hint="eastAsia" w:ascii="Times New Roman" w:hAnsi="Times New Roman" w:eastAsia="仿宋_GB2312"/>
                <w:color w:val="000000" w:themeColor="text1"/>
                <w:kern w:val="0"/>
                <w:sz w:val="28"/>
                <w:szCs w:val="28"/>
                <w14:textFill>
                  <w14:solidFill>
                    <w14:schemeClr w14:val="tx1"/>
                  </w14:solidFill>
                </w14:textFill>
              </w:rPr>
              <w:t>5.4</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66</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服务业从业总人口（万人）</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15.9</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20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占全社会从业人员比重（%）</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62.2</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6</w:t>
            </w:r>
            <w:r>
              <w:rPr>
                <w:rFonts w:hint="eastAsia" w:ascii="Times New Roman" w:hAnsi="Times New Roman" w:eastAsia="仿宋_GB2312"/>
                <w:color w:val="000000" w:themeColor="text1"/>
                <w:kern w:val="0"/>
                <w:sz w:val="28"/>
                <w:szCs w:val="28"/>
                <w14:textFill>
                  <w14:solidFill>
                    <w14:schemeClr w14:val="tx1"/>
                  </w14:solidFill>
                </w14:textFill>
              </w:rPr>
              <w:t>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restart"/>
            <w:shd w:val="clear" w:color="auto" w:fill="auto"/>
            <w:vAlign w:val="center"/>
          </w:tcPr>
          <w:p>
            <w:pPr>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结构指标</w:t>
            </w:r>
          </w:p>
        </w:tc>
        <w:tc>
          <w:tcPr>
            <w:tcW w:w="2895" w:type="pct"/>
            <w:shd w:val="clear" w:color="auto" w:fill="D9D9D9"/>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社会消费品零售总额增长率（%）</w:t>
            </w:r>
          </w:p>
        </w:tc>
        <w:tc>
          <w:tcPr>
            <w:tcW w:w="606" w:type="pct"/>
            <w:shd w:val="clear" w:color="auto" w:fill="D9D9D9"/>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4.7</w:t>
            </w:r>
          </w:p>
        </w:tc>
        <w:tc>
          <w:tcPr>
            <w:tcW w:w="616" w:type="pct"/>
            <w:shd w:val="clear" w:color="auto" w:fill="D9D9D9"/>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4.5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31" w:hRule="atLeast"/>
          <w:jc w:val="center"/>
        </w:trPr>
        <w:tc>
          <w:tcPr>
            <w:tcW w:w="881" w:type="pct"/>
            <w:vMerge w:val="continue"/>
            <w:vAlign w:val="center"/>
          </w:tcPr>
          <w:p>
            <w:pPr>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全区</w:t>
            </w:r>
            <w:r>
              <w:rPr>
                <w:rFonts w:hint="eastAsia" w:ascii="Times New Roman" w:hAnsi="Times New Roman" w:eastAsia="仿宋_GB2312"/>
                <w:color w:val="000000" w:themeColor="text1"/>
                <w:kern w:val="0"/>
                <w:sz w:val="28"/>
                <w:szCs w:val="28"/>
                <w14:textFill>
                  <w14:solidFill>
                    <w14:schemeClr w14:val="tx1"/>
                  </w14:solidFill>
                </w14:textFill>
              </w:rPr>
              <w:t>年均</w:t>
            </w:r>
            <w:r>
              <w:rPr>
                <w:rFonts w:ascii="Times New Roman" w:hAnsi="Times New Roman" w:eastAsia="仿宋_GB2312"/>
                <w:color w:val="000000" w:themeColor="text1"/>
                <w:kern w:val="0"/>
                <w:sz w:val="28"/>
                <w:szCs w:val="28"/>
                <w14:textFill>
                  <w14:solidFill>
                    <w14:schemeClr w14:val="tx1"/>
                  </w14:solidFill>
                </w14:textFill>
              </w:rPr>
              <w:t>旅游接待人数（万人次）</w:t>
            </w:r>
          </w:p>
        </w:tc>
        <w:tc>
          <w:tcPr>
            <w:tcW w:w="606" w:type="pct"/>
            <w:vAlign w:val="center"/>
          </w:tcPr>
          <w:p>
            <w:pPr>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261.5</w:t>
            </w:r>
          </w:p>
        </w:tc>
        <w:tc>
          <w:tcPr>
            <w:tcW w:w="616" w:type="pct"/>
            <w:vAlign w:val="center"/>
          </w:tcPr>
          <w:p>
            <w:pPr>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600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14" w:hRule="atLeast"/>
          <w:jc w:val="center"/>
        </w:trPr>
        <w:tc>
          <w:tcPr>
            <w:tcW w:w="881" w:type="pct"/>
            <w:vMerge w:val="continue"/>
            <w:vAlign w:val="center"/>
          </w:tcPr>
          <w:p>
            <w:pPr>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年均</w:t>
            </w:r>
            <w:r>
              <w:rPr>
                <w:rFonts w:ascii="Times New Roman" w:hAnsi="Times New Roman" w:eastAsia="仿宋_GB2312"/>
                <w:color w:val="000000" w:themeColor="text1"/>
                <w:kern w:val="0"/>
                <w:sz w:val="28"/>
                <w:szCs w:val="28"/>
                <w14:textFill>
                  <w14:solidFill>
                    <w14:schemeClr w14:val="tx1"/>
                  </w14:solidFill>
                </w14:textFill>
              </w:rPr>
              <w:t>旅游收入（亿元）</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69.63</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185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99" w:hRule="atLeast"/>
          <w:jc w:val="center"/>
        </w:trPr>
        <w:tc>
          <w:tcPr>
            <w:tcW w:w="881" w:type="pct"/>
            <w:vMerge w:val="continue"/>
            <w:shd w:val="clear" w:color="auto" w:fill="auto"/>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shd w:val="clear" w:color="auto" w:fill="D9D9D9"/>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研究与实验发展经费支出占生产总值比重（%）</w:t>
            </w:r>
          </w:p>
        </w:tc>
        <w:tc>
          <w:tcPr>
            <w:tcW w:w="606" w:type="pct"/>
            <w:shd w:val="clear" w:color="auto" w:fill="D9D9D9"/>
            <w:vAlign w:val="center"/>
          </w:tcPr>
          <w:p>
            <w:pPr>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0.97</w:t>
            </w:r>
          </w:p>
        </w:tc>
        <w:tc>
          <w:tcPr>
            <w:tcW w:w="616" w:type="pct"/>
            <w:shd w:val="clear" w:color="auto" w:fill="D9D9D9"/>
            <w:vAlign w:val="center"/>
          </w:tcPr>
          <w:p>
            <w:pPr>
              <w:widowControl/>
              <w:spacing w:line="560" w:lineRule="exact"/>
              <w:jc w:val="center"/>
              <w:textAlignment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2</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continue"/>
            <w:shd w:val="clear" w:color="auto" w:fill="auto"/>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shd w:val="clear" w:color="auto" w:fill="D9D9D9"/>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规模以上企业电子商务普及率（%）</w:t>
            </w:r>
          </w:p>
        </w:tc>
        <w:tc>
          <w:tcPr>
            <w:tcW w:w="606" w:type="pct"/>
            <w:shd w:val="clear" w:color="auto" w:fill="D9D9D9"/>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80</w:t>
            </w:r>
          </w:p>
        </w:tc>
        <w:tc>
          <w:tcPr>
            <w:tcW w:w="616" w:type="pct"/>
            <w:shd w:val="clear" w:color="auto" w:fill="D9D9D9"/>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90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continue"/>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网络零售额</w:t>
            </w:r>
            <w:r>
              <w:rPr>
                <w:rFonts w:ascii="Times New Roman" w:hAnsi="Times New Roman" w:eastAsia="仿宋_GB2312"/>
                <w:color w:val="000000" w:themeColor="text1"/>
                <w:kern w:val="0"/>
                <w:sz w:val="28"/>
                <w:szCs w:val="28"/>
                <w14:textFill>
                  <w14:solidFill>
                    <w14:schemeClr w14:val="tx1"/>
                  </w14:solidFill>
                </w14:textFill>
              </w:rPr>
              <w:t>（亿元）</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22.32</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30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restart"/>
            <w:vAlign w:val="center"/>
          </w:tcPr>
          <w:p>
            <w:pPr>
              <w:widowControl/>
              <w:spacing w:line="560" w:lineRule="exact"/>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功能指标</w:t>
            </w: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建成标志性服务业集聚区</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2</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9</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vAlign w:val="center"/>
          </w:tcPr>
          <w:p>
            <w:pPr>
              <w:widowControl/>
              <w:spacing w:line="560" w:lineRule="exact"/>
              <w:jc w:val="left"/>
              <w:rPr>
                <w:rFonts w:ascii="Times New Roman" w:hAnsi="Times New Roman" w:eastAsia="楷体"/>
                <w:b/>
                <w:bCs/>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培育服务业龙头企业（家）</w:t>
            </w:r>
          </w:p>
        </w:tc>
        <w:tc>
          <w:tcPr>
            <w:tcW w:w="60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≥10</w:t>
            </w:r>
          </w:p>
        </w:tc>
        <w:tc>
          <w:tcPr>
            <w:tcW w:w="616" w:type="pct"/>
            <w:vAlign w:val="center"/>
          </w:tcPr>
          <w:p>
            <w:pPr>
              <w:widowControl/>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20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vAlign w:val="center"/>
          </w:tcPr>
          <w:p>
            <w:pPr>
              <w:widowControl/>
              <w:spacing w:line="560" w:lineRule="exact"/>
              <w:jc w:val="left"/>
              <w:rPr>
                <w:rFonts w:ascii="Times New Roman" w:hAnsi="Times New Roman" w:eastAsia="楷体"/>
                <w:b/>
                <w:bCs/>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服务业固定资产投资</w:t>
            </w:r>
            <w:r>
              <w:rPr>
                <w:rFonts w:hint="eastAsia" w:ascii="Times New Roman" w:hAnsi="Times New Roman" w:eastAsia="仿宋_GB2312"/>
                <w:color w:val="000000" w:themeColor="text1"/>
                <w:kern w:val="0"/>
                <w:sz w:val="28"/>
                <w:szCs w:val="28"/>
                <w14:textFill>
                  <w14:solidFill>
                    <w14:schemeClr w14:val="tx1"/>
                  </w14:solidFill>
                </w14:textFill>
              </w:rPr>
              <w:t>增速</w:t>
            </w: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olor w:val="000000" w:themeColor="text1"/>
                <w:kern w:val="0"/>
                <w:sz w:val="28"/>
                <w:szCs w:val="28"/>
                <w14:textFill>
                  <w14:solidFill>
                    <w14:schemeClr w14:val="tx1"/>
                  </w14:solidFill>
                </w14:textFill>
              </w:rPr>
              <w:t>%</w:t>
            </w:r>
            <w:r>
              <w:rPr>
                <w:rFonts w:ascii="Times New Roman" w:hAnsi="Times New Roman" w:eastAsia="仿宋_GB2312"/>
                <w:color w:val="000000" w:themeColor="text1"/>
                <w:kern w:val="0"/>
                <w:sz w:val="28"/>
                <w:szCs w:val="28"/>
                <w14:textFill>
                  <w14:solidFill>
                    <w14:schemeClr w14:val="tx1"/>
                  </w14:solidFill>
                </w14:textFill>
              </w:rPr>
              <w:t>）</w:t>
            </w:r>
          </w:p>
        </w:tc>
        <w:tc>
          <w:tcPr>
            <w:tcW w:w="606" w:type="pct"/>
            <w:vAlign w:val="center"/>
          </w:tcPr>
          <w:p>
            <w:pPr>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25.9</w:t>
            </w:r>
          </w:p>
        </w:tc>
        <w:tc>
          <w:tcPr>
            <w:tcW w:w="616" w:type="pct"/>
            <w:vAlign w:val="center"/>
          </w:tcPr>
          <w:p>
            <w:pPr>
              <w:spacing w:line="56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70" w:hRule="atLeast"/>
          <w:jc w:val="center"/>
        </w:trPr>
        <w:tc>
          <w:tcPr>
            <w:tcW w:w="881" w:type="pct"/>
            <w:vMerge w:val="restart"/>
            <w:vAlign w:val="center"/>
          </w:tcPr>
          <w:p>
            <w:pPr>
              <w:widowControl/>
              <w:spacing w:line="560" w:lineRule="exact"/>
              <w:jc w:val="center"/>
              <w:rPr>
                <w:rFonts w:ascii="Times New Roman" w:hAnsi="Times New Roman" w:eastAsia="楷体"/>
                <w:b/>
                <w:bCs/>
                <w:color w:val="000000" w:themeColor="text1"/>
                <w:kern w:val="0"/>
                <w:sz w:val="28"/>
                <w:szCs w:val="28"/>
                <w14:textFill>
                  <w14:solidFill>
                    <w14:schemeClr w14:val="tx1"/>
                  </w14:solidFill>
                </w14:textFill>
              </w:rPr>
            </w:pPr>
            <w:r>
              <w:rPr>
                <w:rFonts w:hint="eastAsia" w:ascii="Times New Roman" w:hAnsi="Times New Roman" w:eastAsia="仿宋_GB2312"/>
                <w:b/>
                <w:color w:val="000000" w:themeColor="text1"/>
                <w:kern w:val="0"/>
                <w:sz w:val="28"/>
                <w:szCs w:val="28"/>
                <w14:textFill>
                  <w14:solidFill>
                    <w14:schemeClr w14:val="tx1"/>
                  </w14:solidFill>
                </w14:textFill>
              </w:rPr>
              <w:t>公共服务指标</w:t>
            </w: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每千人拥有执业（助理）医师数（人）</w:t>
            </w:r>
          </w:p>
        </w:tc>
        <w:tc>
          <w:tcPr>
            <w:tcW w:w="60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待反馈</w:t>
            </w:r>
          </w:p>
        </w:tc>
        <w:tc>
          <w:tcPr>
            <w:tcW w:w="61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7.5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vAlign w:val="center"/>
          </w:tcPr>
          <w:p>
            <w:pPr>
              <w:widowControl/>
              <w:spacing w:line="560" w:lineRule="exact"/>
              <w:jc w:val="left"/>
              <w:rPr>
                <w:rFonts w:ascii="Times New Roman" w:hAnsi="Times New Roman" w:eastAsia="楷体"/>
                <w:b/>
                <w:bCs/>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劳动年龄人口平均受教育年限（年）</w:t>
            </w:r>
          </w:p>
        </w:tc>
        <w:tc>
          <w:tcPr>
            <w:tcW w:w="60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10</w:t>
            </w:r>
          </w:p>
        </w:tc>
        <w:tc>
          <w:tcPr>
            <w:tcW w:w="61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12</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vAlign w:val="center"/>
          </w:tcPr>
          <w:p>
            <w:pPr>
              <w:widowControl/>
              <w:spacing w:line="560" w:lineRule="exact"/>
              <w:jc w:val="left"/>
              <w:rPr>
                <w:rFonts w:ascii="Times New Roman" w:hAnsi="Times New Roman" w:eastAsia="楷体"/>
                <w:b/>
                <w:bCs/>
                <w:color w:val="000000" w:themeColor="text1"/>
                <w:kern w:val="0"/>
                <w:sz w:val="28"/>
                <w:szCs w:val="28"/>
                <w14:textFill>
                  <w14:solidFill>
                    <w14:schemeClr w14:val="tx1"/>
                  </w14:solidFill>
                </w14:textFill>
              </w:rPr>
            </w:pPr>
          </w:p>
        </w:tc>
        <w:tc>
          <w:tcPr>
            <w:tcW w:w="2895"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社会保障参保面（%）</w:t>
            </w:r>
          </w:p>
        </w:tc>
        <w:tc>
          <w:tcPr>
            <w:tcW w:w="60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95.2</w:t>
            </w:r>
          </w:p>
        </w:tc>
        <w:tc>
          <w:tcPr>
            <w:tcW w:w="616" w:type="pct"/>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96</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tcBorders>
              <w:bottom w:val="double" w:color="auto" w:sz="4" w:space="0"/>
            </w:tcBorders>
            <w:vAlign w:val="center"/>
          </w:tcPr>
          <w:p>
            <w:pPr>
              <w:widowControl/>
              <w:spacing w:line="560" w:lineRule="exact"/>
              <w:jc w:val="left"/>
              <w:rPr>
                <w:rFonts w:ascii="Times New Roman" w:hAnsi="Times New Roman" w:eastAsia="楷体"/>
                <w:b/>
                <w:bCs/>
                <w:color w:val="000000" w:themeColor="text1"/>
                <w:kern w:val="0"/>
                <w:sz w:val="28"/>
                <w:szCs w:val="28"/>
                <w14:textFill>
                  <w14:solidFill>
                    <w14:schemeClr w14:val="tx1"/>
                  </w14:solidFill>
                </w14:textFill>
              </w:rPr>
            </w:pPr>
          </w:p>
        </w:tc>
        <w:tc>
          <w:tcPr>
            <w:tcW w:w="2895" w:type="pct"/>
            <w:tcBorders>
              <w:bottom w:val="double" w:color="auto" w:sz="4" w:space="0"/>
            </w:tcBorders>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每千名老人养老床位数（张）</w:t>
            </w:r>
          </w:p>
        </w:tc>
        <w:tc>
          <w:tcPr>
            <w:tcW w:w="606" w:type="pct"/>
            <w:tcBorders>
              <w:bottom w:val="double" w:color="auto" w:sz="4" w:space="0"/>
            </w:tcBorders>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110</w:t>
            </w:r>
          </w:p>
        </w:tc>
        <w:tc>
          <w:tcPr>
            <w:tcW w:w="616" w:type="pct"/>
            <w:tcBorders>
              <w:bottom w:val="double" w:color="auto" w:sz="4" w:space="0"/>
            </w:tcBorders>
            <w:vAlign w:val="center"/>
          </w:tcPr>
          <w:p>
            <w:pPr>
              <w:widowControl/>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120</w:t>
            </w:r>
          </w:p>
        </w:tc>
      </w:tr>
    </w:tbl>
    <w:p>
      <w:pPr>
        <w:widowControl/>
        <w:spacing w:line="560" w:lineRule="exact"/>
        <w:jc w:val="left"/>
        <w:rPr>
          <w:rFonts w:ascii="Times New Roman" w:hAnsi="Times New Roman" w:eastAsia="仿宋_GB2312"/>
          <w:color w:val="000000" w:themeColor="text1"/>
          <w:kern w:val="0"/>
          <w:sz w:val="32"/>
          <w:szCs w:val="32"/>
          <w14:textFill>
            <w14:solidFill>
              <w14:schemeClr w14:val="tx1"/>
            </w14:solidFill>
          </w14:textFill>
        </w:rPr>
      </w:pPr>
    </w:p>
    <w:p>
      <w:pPr>
        <w:widowControl/>
        <w:spacing w:line="560" w:lineRule="exact"/>
        <w:jc w:val="left"/>
        <w:rPr>
          <w:rFonts w:ascii="Times New Roman" w:hAnsi="Times New Roman" w:eastAsia="黑体"/>
          <w:b/>
          <w:color w:val="000000" w:themeColor="text1"/>
          <w:sz w:val="32"/>
          <w:szCs w:val="32"/>
          <w14:textFill>
            <w14:solidFill>
              <w14:schemeClr w14:val="tx1"/>
            </w14:solidFill>
          </w14:textFill>
        </w:rPr>
      </w:pPr>
      <w:r>
        <w:rPr>
          <w:rFonts w:ascii="Times New Roman" w:hAnsi="Times New Roman" w:eastAsia="黑体"/>
          <w:b/>
          <w:color w:val="000000" w:themeColor="text1"/>
          <w:sz w:val="32"/>
          <w:szCs w:val="32"/>
          <w14:textFill>
            <w14:solidFill>
              <w14:schemeClr w14:val="tx1"/>
            </w14:solidFill>
          </w14:textFill>
        </w:rPr>
        <w:br w:type="page"/>
      </w:r>
    </w:p>
    <w:p>
      <w:pPr>
        <w:numPr>
          <w:ilvl w:val="0"/>
          <w:numId w:val="1"/>
        </w:num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bookmarkStart w:id="10" w:name="_Toc1730"/>
      <w:r>
        <w:rPr>
          <w:rFonts w:ascii="Times New Roman" w:hAnsi="Times New Roman" w:eastAsia="黑体"/>
          <w:b/>
          <w:color w:val="000000" w:themeColor="text1"/>
          <w:sz w:val="32"/>
          <w:szCs w:val="32"/>
          <w14:textFill>
            <w14:solidFill>
              <w14:schemeClr w14:val="tx1"/>
            </w14:solidFill>
          </w14:textFill>
        </w:rPr>
        <w:t>做强</w:t>
      </w:r>
      <w:r>
        <w:rPr>
          <w:rFonts w:hint="eastAsia" w:ascii="Times New Roman" w:hAnsi="Times New Roman" w:eastAsia="黑体"/>
          <w:b/>
          <w:color w:val="000000" w:themeColor="text1"/>
          <w:sz w:val="32"/>
          <w:szCs w:val="32"/>
          <w14:textFill>
            <w14:solidFill>
              <w14:schemeClr w14:val="tx1"/>
            </w14:solidFill>
          </w14:textFill>
        </w:rPr>
        <w:t>生产性服务业</w:t>
      </w:r>
      <w:bookmarkEnd w:id="10"/>
    </w:p>
    <w:p>
      <w:pPr>
        <w:pStyle w:val="2"/>
        <w:spacing w:line="560" w:lineRule="exact"/>
        <w:rPr>
          <w:color w:val="000000" w:themeColor="text1"/>
          <w14:textFill>
            <w14:solidFill>
              <w14:schemeClr w14:val="tx1"/>
            </w14:solidFill>
          </w14:textFill>
        </w:rPr>
      </w:pPr>
    </w:p>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以服务业发展战略定位为指导，</w:t>
      </w:r>
      <w:r>
        <w:rPr>
          <w:rFonts w:hint="eastAsia" w:ascii="Times New Roman" w:hAnsi="Times New Roman" w:eastAsia="仿宋_GB2312"/>
          <w:color w:val="000000" w:themeColor="text1"/>
          <w:sz w:val="32"/>
          <w:szCs w:val="32"/>
          <w14:textFill>
            <w14:solidFill>
              <w14:schemeClr w14:val="tx1"/>
            </w14:solidFill>
          </w14:textFill>
        </w:rPr>
        <w:t>着力发展科创服务、数字智能服务</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现代能源综合服务</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金融服务、物流服务和综合</w:t>
      </w:r>
      <w:r>
        <w:rPr>
          <w:rFonts w:ascii="Times New Roman" w:hAnsi="Times New Roman" w:eastAsia="仿宋_GB2312"/>
          <w:color w:val="000000" w:themeColor="text1"/>
          <w:sz w:val="32"/>
          <w:szCs w:val="32"/>
          <w14:textFill>
            <w14:solidFill>
              <w14:schemeClr w14:val="tx1"/>
            </w14:solidFill>
          </w14:textFill>
        </w:rPr>
        <w:t>商务</w:t>
      </w:r>
      <w:r>
        <w:rPr>
          <w:rFonts w:hint="eastAsia" w:ascii="Times New Roman" w:hAnsi="Times New Roman" w:eastAsia="仿宋_GB2312"/>
          <w:color w:val="000000" w:themeColor="text1"/>
          <w:sz w:val="32"/>
          <w:szCs w:val="32"/>
          <w14:textFill>
            <w14:solidFill>
              <w14:schemeClr w14:val="tx1"/>
            </w14:solidFill>
          </w14:textFill>
        </w:rPr>
        <w:t>服务六大生产性服务业</w:t>
      </w:r>
      <w:r>
        <w:rPr>
          <w:rFonts w:ascii="Times New Roman" w:hAnsi="Times New Roman" w:eastAsia="仿宋_GB2312"/>
          <w:color w:val="000000" w:themeColor="text1"/>
          <w:sz w:val="32"/>
          <w:szCs w:val="32"/>
          <w14:textFill>
            <w14:solidFill>
              <w14:schemeClr w14:val="tx1"/>
            </w14:solidFill>
          </w14:textFill>
        </w:rPr>
        <w:t>，加强业态、资源、要素整合，促进融合发展</w:t>
      </w:r>
      <w:r>
        <w:rPr>
          <w:rFonts w:hint="eastAsia" w:ascii="Times New Roman" w:hAnsi="Times New Roman" w:eastAsia="仿宋_GB2312"/>
          <w:color w:val="000000" w:themeColor="text1"/>
          <w:sz w:val="32"/>
          <w:szCs w:val="32"/>
          <w14:textFill>
            <w14:solidFill>
              <w14:schemeClr w14:val="tx1"/>
            </w14:solidFill>
          </w14:textFill>
        </w:rPr>
        <w:t>，促进生产性服务业向专业化、高端化发展</w:t>
      </w:r>
      <w:r>
        <w:rPr>
          <w:rFonts w:ascii="Times New Roman" w:hAnsi="Times New Roman" w:eastAsia="仿宋_GB2312"/>
          <w:color w:val="000000" w:themeColor="text1"/>
          <w:sz w:val="32"/>
          <w:szCs w:val="32"/>
          <w14:textFill>
            <w14:solidFill>
              <w14:schemeClr w14:val="tx1"/>
            </w14:solidFill>
          </w14:textFill>
        </w:rPr>
        <w:t>。</w:t>
      </w: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11" w:name="_Toc6993"/>
      <w:r>
        <w:rPr>
          <w:rFonts w:hint="eastAsia" w:ascii="Times New Roman" w:hAnsi="Times New Roman" w:eastAsia="仿宋_GB2312"/>
          <w:color w:val="000000" w:themeColor="text1"/>
          <w14:textFill>
            <w14:solidFill>
              <w14:schemeClr w14:val="tx1"/>
            </w14:solidFill>
          </w14:textFill>
        </w:rPr>
        <w:t>第一节 科创服务业</w:t>
      </w:r>
      <w:bookmarkEnd w:id="11"/>
    </w:p>
    <w:p>
      <w:pPr>
        <w:pStyle w:val="5"/>
        <w:spacing w:before="0" w:after="0" w:line="560" w:lineRule="exact"/>
        <w:ind w:firstLine="643" w:firstLineChars="200"/>
        <w:rPr>
          <w:rFonts w:ascii="Times New Roman" w:hAnsi="Times New Roman" w:eastAsia="仿宋_GB2312"/>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发展思路</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围绕</w:t>
      </w:r>
      <w:r>
        <w:rPr>
          <w:rFonts w:hint="eastAsia" w:ascii="Times New Roman" w:hAnsi="Times New Roman" w:eastAsia="仿宋_GB2312"/>
          <w:color w:val="000000" w:themeColor="text1"/>
          <w:sz w:val="32"/>
          <w:szCs w:val="32"/>
          <w14:textFill>
            <w14:solidFill>
              <w14:schemeClr w14:val="tx1"/>
            </w14:solidFill>
          </w14:textFill>
        </w:rPr>
        <w:t>“科技兴蒙”行动、“呼包鄂国家自主创新示范区”“鄂尔多斯市国家可持续发展议程创新示范区”创建行动，</w:t>
      </w:r>
      <w:r>
        <w:rPr>
          <w:rFonts w:ascii="Times New Roman" w:hAnsi="Times New Roman" w:eastAsia="仿宋_GB2312"/>
          <w:color w:val="000000" w:themeColor="text1"/>
          <w:sz w:val="32"/>
          <w:szCs w:val="32"/>
          <w14:textFill>
            <w14:solidFill>
              <w14:schemeClr w14:val="tx1"/>
            </w14:solidFill>
          </w14:textFill>
        </w:rPr>
        <w:t>突破科技孵化、信息服务、技术研发等关键领域，努力打造我国中西部地区高新技术产业、高端人才和创新机构聚集地。</w:t>
      </w:r>
      <w:r>
        <w:rPr>
          <w:rFonts w:hint="eastAsia" w:ascii="Times New Roman" w:hAnsi="Times New Roman" w:eastAsia="仿宋_GB2312"/>
          <w:color w:val="000000" w:themeColor="text1"/>
          <w:sz w:val="32"/>
          <w:szCs w:val="32"/>
          <w14:textFill>
            <w14:solidFill>
              <w14:schemeClr w14:val="tx1"/>
            </w14:solidFill>
          </w14:textFill>
        </w:rPr>
        <w:t>到2025年，</w:t>
      </w:r>
      <w:r>
        <w:rPr>
          <w:rFonts w:ascii="Times New Roman" w:hAnsi="Times New Roman" w:eastAsia="仿宋_GB2312"/>
          <w:color w:val="000000" w:themeColor="text1"/>
          <w:sz w:val="32"/>
          <w:szCs w:val="32"/>
          <w14:textFill>
            <w14:solidFill>
              <w14:schemeClr w14:val="tx1"/>
            </w14:solidFill>
          </w14:textFill>
        </w:rPr>
        <w:t>引进</w:t>
      </w:r>
      <w:r>
        <w:rPr>
          <w:rFonts w:hint="eastAsia" w:ascii="Times New Roman" w:hAnsi="Times New Roman" w:eastAsia="仿宋_GB2312"/>
          <w:color w:val="000000" w:themeColor="text1"/>
          <w:sz w:val="32"/>
          <w:szCs w:val="32"/>
          <w14:textFill>
            <w14:solidFill>
              <w14:schemeClr w14:val="tx1"/>
            </w14:solidFill>
          </w14:textFill>
        </w:rPr>
        <w:t>100</w:t>
      </w:r>
      <w:r>
        <w:rPr>
          <w:rFonts w:ascii="Times New Roman" w:hAnsi="Times New Roman" w:eastAsia="仿宋_GB2312"/>
          <w:color w:val="000000" w:themeColor="text1"/>
          <w:sz w:val="32"/>
          <w:szCs w:val="32"/>
          <w14:textFill>
            <w14:solidFill>
              <w14:schemeClr w14:val="tx1"/>
            </w14:solidFill>
          </w14:textFill>
        </w:rPr>
        <w:t>名以上领军型人才</w:t>
      </w:r>
      <w:r>
        <w:rPr>
          <w:rFonts w:hint="eastAsia" w:ascii="Times New Roman" w:hAnsi="Times New Roman" w:eastAsia="仿宋_GB2312"/>
          <w:color w:val="000000" w:themeColor="text1"/>
          <w:sz w:val="32"/>
          <w:szCs w:val="32"/>
          <w14:textFill>
            <w14:solidFill>
              <w14:schemeClr w14:val="tx1"/>
            </w14:solidFill>
          </w14:textFill>
        </w:rPr>
        <w:t>，培育8</w:t>
      </w:r>
      <w:r>
        <w:rPr>
          <w:rFonts w:ascii="Times New Roman" w:hAnsi="Times New Roman" w:eastAsia="仿宋_GB2312"/>
          <w:color w:val="000000" w:themeColor="text1"/>
          <w:sz w:val="32"/>
          <w:szCs w:val="32"/>
          <w14:textFill>
            <w14:solidFill>
              <w14:schemeClr w14:val="tx1"/>
            </w14:solidFill>
          </w14:textFill>
        </w:rPr>
        <w:t>0个以上高新技术创业项目，引进5个以上高端研发机构和工程中心，</w:t>
      </w:r>
      <w:r>
        <w:rPr>
          <w:rFonts w:hint="eastAsia" w:ascii="Times New Roman" w:hAnsi="Times New Roman" w:eastAsia="仿宋_GB2312"/>
          <w:color w:val="000000" w:themeColor="text1"/>
          <w:sz w:val="32"/>
          <w:szCs w:val="32"/>
          <w14:textFill>
            <w14:solidFill>
              <w14:schemeClr w14:val="tx1"/>
            </w14:solidFill>
          </w14:textFill>
        </w:rPr>
        <w:t>科技创新载体平台超过50个，研发经费投入占地区生产总值的比重达到2%以上，建成区域创新中心。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发展重点</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以工业、服务业科技研发和推广应用为切入点，建设产业共性技术平台和公共科技服务网络，进一步强化云计算、物联网技术、电子信息技术在传统优势产业和战略新型产业中的集成应用。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促进重点产业技术升级。加快突破装备制造、煤化工、高档绒纺、新能源、新材料、电子信息等主要行业和重点产品核心关键技术，加强产学研合作，建设一批工程（技术）研究中心、科技创新基地和科技研发平台，促进行业先进术研发和创新成果推广应用，支撑重点产业技术升级。</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推动服务业科技创新。加快发展科技信息、科技金融等科技咨询服务，积极培育远程教育、数字医疗、数字旅游、地理信息服务等新兴服务技术，大力提升服务业科技创新能力。谋划建设技术交易市场，促进技术成果转移转化。</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提高信息服务应用水平。推进工业企业信息服务专业化建设，鼓励企业自主建设进销存管理系统，提升工业企业生产管理能力。设立公共综合信息服务平台，规范信息发布机制，加强交通运输、医疗卫生、网络信息安全、应急指挥等方面的信息化应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平台</w:t>
      </w:r>
      <w:r>
        <w:rPr>
          <w:rFonts w:hint="eastAsia" w:ascii="Times New Roman" w:hAnsi="Times New Roman" w:eastAsia="仿宋_GB2312"/>
          <w:color w:val="000000" w:themeColor="text1"/>
          <w:sz w:val="32"/>
          <w:szCs w:val="32"/>
          <w14:textFill>
            <w14:solidFill>
              <w14:schemeClr w14:val="tx1"/>
            </w14:solidFill>
          </w14:textFill>
        </w:rPr>
        <w:t>载体。</w:t>
      </w:r>
      <w:r>
        <w:rPr>
          <w:rFonts w:ascii="Times New Roman" w:hAnsi="Times New Roman" w:eastAsia="仿宋_GB2312"/>
          <w:color w:val="000000" w:themeColor="text1"/>
          <w:sz w:val="32"/>
          <w:szCs w:val="32"/>
          <w14:textFill>
            <w14:solidFill>
              <w14:schemeClr w14:val="tx1"/>
            </w14:solidFill>
          </w14:textFill>
        </w:rPr>
        <w:t>重点形成</w:t>
      </w:r>
      <w:r>
        <w:rPr>
          <w:rFonts w:hint="eastAsia" w:ascii="Times New Roman" w:hAnsi="Times New Roman" w:eastAsia="仿宋_GB2312"/>
          <w:color w:val="000000" w:themeColor="text1"/>
          <w:sz w:val="32"/>
          <w:szCs w:val="32"/>
          <w14:textFill>
            <w14:solidFill>
              <w14:schemeClr w14:val="tx1"/>
            </w14:solidFill>
          </w14:textFill>
        </w:rPr>
        <w:t>研发平台和科技服务公共平台产业技术科技创新平台。</w:t>
      </w:r>
    </w:p>
    <w:tbl>
      <w:tblPr>
        <w:tblStyle w:val="17"/>
        <w:tblpPr w:leftFromText="180" w:rightFromText="180" w:vertAnchor="text" w:horzAnchor="margin" w:tblpY="9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53" w:type="dxa"/>
            <w:vAlign w:val="center"/>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科技创新平台载体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3" w:type="dxa"/>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●建设产业技术科技创新平台。推进东胜区内规上企业研发机构升级，加快建设一批自治区、市两级重点实验室和工程技术研究中心，并引导和鼓励企业在外设立研发机构，推进跨国技术转移。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●建立研发平台和科技服务公共平台。做大做强全国羊绒制品自主设计开发重大研发平台、国家羊绒创新中心、蒙泰新材料新能源高技术研发中心、清华紫荆研究院和清华紫荆鄂尔多斯技术转移中心。</w:t>
            </w:r>
          </w:p>
        </w:tc>
      </w:tr>
    </w:tbl>
    <w:p>
      <w:pPr>
        <w:pStyle w:val="4"/>
        <w:spacing w:before="0" w:after="0" w:line="560" w:lineRule="exact"/>
        <w:jc w:val="center"/>
        <w:rPr>
          <w:rFonts w:hint="eastAsia" w:ascii="Times New Roman" w:hAnsi="Times New Roman" w:eastAsia="仿宋_GB2312"/>
          <w:color w:val="000000" w:themeColor="text1"/>
          <w14:textFill>
            <w14:solidFill>
              <w14:schemeClr w14:val="tx1"/>
            </w14:solidFill>
          </w14:textFill>
        </w:rPr>
      </w:pPr>
      <w:bookmarkStart w:id="12" w:name="_Toc1645"/>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第二节 数字服务业</w:t>
      </w:r>
      <w:bookmarkEnd w:id="12"/>
    </w:p>
    <w:p>
      <w:pPr>
        <w:pStyle w:val="4"/>
        <w:spacing w:before="0" w:after="0" w:line="560" w:lineRule="exact"/>
        <w:ind w:firstLine="643" w:firstLineChars="200"/>
        <w:rPr>
          <w:rFonts w:ascii="Times New Roman" w:hAnsi="Times New Roman" w:eastAsia="仿宋_GB2312"/>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发展思路。以数字技术应用为重点，推动“数字产业化，产业数字化”， 深化数据要素在经济、社会等各行业各领域的深度融合和广泛应用，促进互联网跨界融合渗透，积极发展能源大数据、环保大数据、绿色大数据、物流大数据等产业，推进数字经济赋能行动。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发展重点。支持重点领域、龙头企业进行信息化建设，建设企业大数据中心，形成产运销等各环节高效有序运行机制，促进上下游全链条协同联动，构建产业服务新生态。</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推动制造业数字化</w:t>
      </w:r>
      <w:r>
        <w:rPr>
          <w:rFonts w:ascii="Times New Roman" w:hAnsi="Times New Roman" w:eastAsia="仿宋_GB2312"/>
          <w:color w:val="000000" w:themeColor="text1"/>
          <w:sz w:val="32"/>
          <w:szCs w:val="32"/>
          <w14:textFill>
            <w14:solidFill>
              <w14:schemeClr w14:val="tx1"/>
            </w14:solidFill>
          </w14:textFill>
        </w:rPr>
        <w:t>升级。</w:t>
      </w:r>
      <w:r>
        <w:rPr>
          <w:rFonts w:hint="eastAsia" w:ascii="Times New Roman" w:hAnsi="Times New Roman" w:eastAsia="仿宋_GB2312"/>
          <w:color w:val="000000" w:themeColor="text1"/>
          <w:sz w:val="32"/>
          <w:szCs w:val="32"/>
          <w14:textFill>
            <w14:solidFill>
              <w14:schemeClr w14:val="tx1"/>
            </w14:solidFill>
          </w14:textFill>
        </w:rPr>
        <w:t>推动采矿、能源、装备制造、绒纺等行业龙头企业加强自动化、智能化、成台（套）化装备技术与传统生产加工的集成融合改造，打造以数字生产线、数字车间、数字工厂、工业节能检测为重点的智能化试点示范项目。</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推动运营管理数字化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支持重点龙头骨干企业建设智慧门店，加强消费偏好数据监测分析，链接原料采购、研发设计、生产制造、库存管理等供应链环节，实现数据互联互通和信息实时共享，形成“小批量、多品种、快交期、更灵活”的数字化快反供应链系统。打通煤炭、电力、用水等行业供应链各环节的“信息壁垒”，加快能源资源大数据平台建设，全面提高市场衔接度和信息化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推动城市管理和市民生活智慧化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提高城市管理的智能化、信息化水平，融合发展政务服务“一网通办”、城市运行社会治理“一网统管”、数字技术全面赋能，建设智慧城市。</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平台载体。重点围绕智慧城市、智慧社区和重点产业智慧化升级，开发新兴数字服务业态，实施智慧智能工程。</w:t>
      </w:r>
    </w:p>
    <w:p>
      <w:pPr>
        <w:pStyle w:val="2"/>
        <w:rPr>
          <w:color w:val="000000" w:themeColor="text1"/>
          <w14:textFill>
            <w14:solidFill>
              <w14:schemeClr w14:val="tx1"/>
            </w14:solidFill>
          </w14:textFill>
        </w:rPr>
      </w:pPr>
    </w:p>
    <w:tbl>
      <w:tblPr>
        <w:tblStyle w:val="17"/>
        <w:tblpPr w:leftFromText="180" w:rightFromText="180" w:vertAnchor="text" w:horzAnchor="page" w:tblpX="1831" w:tblpY="739"/>
        <w:tblOverlap w:val="never"/>
        <w:tblW w:w="8278" w:type="dxa"/>
        <w:tblInd w:w="0" w:type="dxa"/>
        <w:tblLayout w:type="fixed"/>
        <w:tblCellMar>
          <w:top w:w="0" w:type="dxa"/>
          <w:left w:w="108" w:type="dxa"/>
          <w:bottom w:w="0" w:type="dxa"/>
          <w:right w:w="108" w:type="dxa"/>
        </w:tblCellMar>
      </w:tblPr>
      <w:tblGrid>
        <w:gridCol w:w="8278"/>
      </w:tblGrid>
      <w:tr>
        <w:tblPrEx>
          <w:tblCellMar>
            <w:top w:w="0" w:type="dxa"/>
            <w:left w:w="108" w:type="dxa"/>
            <w:bottom w:w="0" w:type="dxa"/>
            <w:right w:w="108" w:type="dxa"/>
          </w:tblCellMar>
        </w:tblPrEx>
        <w:trPr>
          <w:trHeight w:val="90" w:hRule="atLeast"/>
        </w:trPr>
        <w:tc>
          <w:tcPr>
            <w:tcW w:w="827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数字服务平台载体</w:t>
            </w:r>
          </w:p>
        </w:tc>
      </w:tr>
      <w:tr>
        <w:tblPrEx>
          <w:tblCellMar>
            <w:top w:w="0" w:type="dxa"/>
            <w:left w:w="108" w:type="dxa"/>
            <w:bottom w:w="0" w:type="dxa"/>
            <w:right w:w="108" w:type="dxa"/>
          </w:tblCellMar>
        </w:tblPrEx>
        <w:trPr>
          <w:trHeight w:val="8530" w:hRule="atLeast"/>
        </w:trPr>
        <w:tc>
          <w:tcPr>
            <w:tcW w:w="827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“城市大脑”数字平台。依托数字孪生城市建设，开辟区大数据中心资源平台，有序推进城市公共数据集开放，开展行政许可、公共信用服务、重点行业监测等业务。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智慧社会服务工程。形成广覆盖、多渠道、智能化、个性化的线上线下融合的智慧医疗、社保、教育等公共服务体系，建成一批试点智慧社区。整合区域商业、文化、旅游公共资源，打造“一部手机游东胜”示范项目，拓展城市体验感、感知度。</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●能源资源大数据平台。实现供应链的产、运、需信息整合，构建智慧能源资源系统，促进先进信息技术与能源资源深度融合，解决供应链信息的不对称、不连续和不系统等问题。</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●矿山智能化建设工程。推广“5G”技术应用，围绕煤机装备数字化、煤矿自动化生产、远程操作、智能型快速装车、煤矿安全监测监控等技术与装备的应用，开展数字技术服务。</w:t>
            </w:r>
          </w:p>
        </w:tc>
      </w:tr>
    </w:tbl>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13" w:name="_Toc5237"/>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第三节 现代能源综合服务业</w:t>
      </w:r>
      <w:bookmarkEnd w:id="13"/>
    </w:p>
    <w:p>
      <w:pPr>
        <w:rPr>
          <w:color w:val="000000" w:themeColor="text1"/>
          <w14:textFill>
            <w14:solidFill>
              <w14:schemeClr w14:val="tx1"/>
            </w14:solidFill>
          </w14:textFill>
        </w:rPr>
      </w:pPr>
    </w:p>
    <w:p>
      <w:pPr>
        <w:pStyle w:val="4"/>
        <w:spacing w:before="0" w:after="0" w:line="560" w:lineRule="exact"/>
        <w:rPr>
          <w:rFonts w:ascii="Times New Roman" w:hAnsi="Times New Roman" w:eastAsia="仿宋_GB2312"/>
          <w:b w:val="0"/>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发展思路。围绕鄂尔多斯市打造国家现代能源经济示范城市目标任务，立足全市及周边能源产业市场，做强煤、电、气、暖、节能环保等能源综合服务。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发展重点。支持大型煤企、电厂、重点科研机构、节能环保企业加强能源开发利用、产业链延伸、节能环保等相关领域的研究和探索，形成一批技术专利和解决方案。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——开展关键技术研发突破。支持重点煤炭企业建设研发中心，在环保型煤产品开发、煤矿废弃物资源化利用、煤炭分级分质阶梯利用、煤炭伴生资源利用以及智能化生产方面提供技术支持和解决方案。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开展全链条节能环保服务。做优节能环保服务，围绕能耗双控和碳排放政策，加快引进高效节能装备、大气治理设备、二氧化碳转化利用设备、固废处理与利用设备、污水处理设备、环境监测设备等项目，发展环保检测、实验、固废转化利用、能耗智能监测、规划咨询等技术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——承接重点环节配套服务。围绕周边煤炭开采、煤化工、天然气、电力等能源项目，在工程承包、系统集成、生产辅料耗材提供、成套设备租赁及维修、智能化改造等方面开展增值服务。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平台载体。依托重点园区，组建相关机构，引进行业领军企业，形成研发平台、产业技术服务平台。</w:t>
      </w:r>
    </w:p>
    <w:p>
      <w:pPr>
        <w:pStyle w:val="2"/>
        <w:rPr>
          <w:rFonts w:ascii="Times New Roman" w:hAnsi="Times New Roman" w:eastAsia="仿宋_GB2312"/>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tbl>
      <w:tblPr>
        <w:tblStyle w:val="17"/>
        <w:tblpPr w:leftFromText="180" w:rightFromText="180" w:vertAnchor="text" w:horzAnchor="margin" w:tblpY="9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53" w:type="dxa"/>
            <w:vAlign w:val="center"/>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现代能源综合服务台载体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8753" w:type="dxa"/>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现代能源综合服务园区。依托铜川汽车博览园捷通机电城产业基础，以园中园的形式挂牌成立现代能源综合服务园区，引进能源服务企业，承接煤矿、电力、煤化工等能源企业的综合服务业务。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●节能环保产业园。依托装备制造基地节能环保产业基础，以园中园的形式挂牌成立节能环保</w:t>
            </w:r>
            <w:bookmarkStart w:id="32" w:name="_GoBack"/>
            <w:bookmarkEnd w:id="32"/>
            <w:r>
              <w:rPr>
                <w:rFonts w:hint="eastAsia" w:ascii="Times New Roman" w:hAnsi="Times New Roman" w:eastAsia="仿宋_GB2312"/>
                <w:color w:val="000000" w:themeColor="text1"/>
                <w:sz w:val="32"/>
                <w:szCs w:val="32"/>
                <w14:textFill>
                  <w14:solidFill>
                    <w14:schemeClr w14:val="tx1"/>
                  </w14:solidFill>
                </w14:textFill>
              </w:rPr>
              <w:t>产业园区，引进节能环保服务企业，承接煤矿、电力、煤化工、装备制造等企业的节能环保服务业务。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立国家清洁能源研究中心。紧盯国家碳排放和能源利用政策导向，探索建立国家清洁能源研究中心，在能源产业链延伸、氢能开发利用、伴生资源清洁利用等方面寻求突破，实现传统能源绿色化、绿色能源规模化，能源利用智慧化。</w:t>
            </w:r>
          </w:p>
        </w:tc>
      </w:tr>
    </w:tbl>
    <w:p>
      <w:pPr>
        <w:rPr>
          <w:rFonts w:hint="eastAsia"/>
          <w:color w:val="000000" w:themeColor="text1"/>
          <w14:textFill>
            <w14:solidFill>
              <w14:schemeClr w14:val="tx1"/>
            </w14:solidFill>
          </w14:textFill>
        </w:rPr>
      </w:pPr>
      <w:bookmarkStart w:id="14" w:name="_Toc24375"/>
    </w:p>
    <w:p>
      <w:pPr>
        <w:pStyle w:val="4"/>
        <w:spacing w:before="0" w:after="0" w:line="560" w:lineRule="exact"/>
        <w:jc w:val="center"/>
        <w:rPr>
          <w:rFonts w:hint="eastAsia"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 xml:space="preserve">                                                      </w:t>
      </w: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第四节 现代金融服务业</w:t>
      </w:r>
      <w:bookmarkEnd w:id="14"/>
    </w:p>
    <w:p>
      <w:pPr>
        <w:spacing w:line="560" w:lineRule="exact"/>
        <w:rPr>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发展思路。创新金融业发展思路，构建金融有效支持实体经济的制度机制，有效激活较为雄厚的资本市场，增强资本在产业、城市、生态之间的流动性，充分发挥金融的普惠性。</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发展重点。大力引进银行、保险、证券、期货、信托、基金、租赁等各类金融机构，全力构建现代金融服务体系。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——积极发展产业金融。推进资源资本化、资产资本化、知识产权资本化和未来价值资本化等多层次的资本市场，促进金融与资本紧密融合。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——大力发展绿色金融。扩大绿色债券、绿色股权融资等直接融资比例，引导煤炭等能源领域金融流向节能环保和生态建设，争创自治区绿色金融示范区。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——鼓励发展互联网金融。培育股权众筹、电商金融、供应链金融等互联网金融新业态，创新第三方支付、网络借贷信息中介机构、股权众筹、互联网保险以及大数据金融等业务模式。</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——积极发展多层次资本体系。全力推动企业上市和债券发行，切实提高企业直接融资比例。支持发展融资租赁，促进融资租赁与公共事业、环保、新能源、汽车等产业的深度融合。</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平台载体。根据金融服务业发展需要，着力建设综合金融服务平台，打造金融特色小镇。</w:t>
      </w:r>
    </w:p>
    <w:tbl>
      <w:tblPr>
        <w:tblStyle w:val="17"/>
        <w:tblpPr w:leftFromText="180" w:rightFromText="180" w:vertAnchor="text" w:horzAnchor="margin" w:tblpY="90"/>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0" w:type="dxa"/>
            <w:vAlign w:val="center"/>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现代金融服务业平台载体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680" w:type="dxa"/>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●综合金融服务平台。依托东胜新兴金融业态的先发优势，民间资本充沛的支撑优势和创新资源的集聚优势，建设综合金融服务平台，有效释放存量资本，畅通资本融通渠道。</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金融特色小镇。充分利用资本市场优势和产业发展优势，引导证券、期货、信托、基金、租赁等类金融机构集中集聚，建立产业链-研发链-资金链联动创新机制，实现项目、资金、信息、人才汇聚，助推产业资本与金融资本融合发展，引导产业转型提质。</w:t>
            </w:r>
          </w:p>
        </w:tc>
      </w:tr>
    </w:tbl>
    <w:p>
      <w:pPr>
        <w:pStyle w:val="4"/>
        <w:spacing w:before="0" w:after="0" w:line="560" w:lineRule="exact"/>
        <w:rPr>
          <w:rFonts w:ascii="Times New Roman" w:hAnsi="Times New Roman" w:eastAsia="仿宋_GB2312"/>
          <w:color w:val="000000" w:themeColor="text1"/>
          <w:sz w:val="28"/>
          <w:szCs w:val="28"/>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15" w:name="_Toc14220"/>
      <w:r>
        <w:rPr>
          <w:rFonts w:hint="eastAsia" w:ascii="Times New Roman" w:hAnsi="Times New Roman" w:eastAsia="仿宋_GB2312"/>
          <w:color w:val="000000" w:themeColor="text1"/>
          <w14:textFill>
            <w14:solidFill>
              <w14:schemeClr w14:val="tx1"/>
            </w14:solidFill>
          </w14:textFill>
        </w:rPr>
        <w:t>第五节 现代物流服务业</w:t>
      </w:r>
      <w:bookmarkEnd w:id="15"/>
    </w:p>
    <w:p>
      <w:pPr>
        <w:spacing w:line="560" w:lineRule="exact"/>
        <w:rPr>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建设“国家物流枢纽布局承载城市”为抓手，充分发挥资源禀赋、交通便捷、产业多元和区位独特优势，建成综合性物流园区，A级以上物流企业达到10家以上，努力建成中西部地区重要的生产资料中转中心和呼包鄂榆城市群重要的生活物资集散中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按照“综合性物流基地+专业化物流园区+配送中心+末端服务点”的四级结构，重点建设东胜综合物流基地，打造城东生活必需品仓储配送功能区、城西农畜产品食品功能区、城南建材百货功能区、城北快递电商功能区和铜川汽车工矿综合功能区，构建以商贸、煤炭为核心，以建材、汽车、综合百货、矿用物资、大型装备、农蓄冷链等专业物流为支撑的现代物流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构建“多式联运”交通运输体系。加快推动“国家物流枢纽布局承载城市”建设，规划布局东胜东站物流枢纽，铜川综合物流园、呼铁物流园等7个大型物流园区，建设东胜西站至包茂高速连接线、海湾子至漫赖公路等5条二级公路，机场铁路、蒙泰煤炭专用线等4条铁路，配套建设2个集装站，14个公路临时服务区，推动新能源汽车在大宗商品物流上的应用，形成以公路、铁路为基础、多式联运、有效衔接、功能层次清晰高效的物流立体综合集疏运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培育大型现代物流企业。支持物流企业做大做强，通过参股、控股、兼并、联合、合资、合作等多种形式进行资产重组，建立跨地区、跨行业物流网络。鼓励建设物流信息服务平台，培育具有供应链设计、咨询、管理能力的第四方物流，推行集仓储、运输、交易、融资为一体的“物流＋资金流＋信息流”综合服务模式。鼓励物流企业应用先进运输组织形式，强化公路运输与铁路快速货物班列产品的无缝衔接，大力推广应用集装箱、厢式半挂车等标准化运载单元和货运车辆，积极推广使用冷藏集装箱、粮食专用箱、集装箱汽车转运架等专业设备。</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做大物流配送服务。打造以快递+快运平台，城市+农村+冷链电商平台、金融服务平台为一体的物流配送体系，以龙头企业为引领，在鄂尔多斯市成立9个旗区子公司、74个乡镇、街道营业厅分公司，806个村、社区服务中心，构建成一整套有完整组织构架的、覆盖全鄂尔多斯乡镇街道的快递+快运平台、城市+农村+冷链电商运营体系。建设智慧化分解平台，在城市商圈、步行街设立专业物流车辆停靠点或通道，简化运输车辆注册、检验等程序，降低相关费用，完善城市最后1公里的物流配送服务，优化物流业发展环境。</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智慧物流。建设物流信息平台，整合区内现有物流资源，将货品种类、销量、运输渠道、过货量等各项物流指标整理归纳，形成专属于东胜区的物流资源信息库。结合大数据技术，将现有物流资源分析整合，绘制东胜区“电子物流信息地图”，为区内物流网络提供运输、仓储、配送等物流领域全方位多层面解决方案。构建供应链电子地图，实现货品及承运商（园区）自动匹配，进而完成货物生产到运输的供应链全过程。加快物流企业智能化改造，鼓励应用云计算、大数据等前沿技术。</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大力发展煤炭物流。加快煤炭综合物流园区建设，对敖包沟、李家壕、韩家村等集装站进行升级改造，提高煤炭仓储、装配能力。创新煤炭交易和物流模式，提升发展煤炭信息和煤炭交易服务，重点突破发展煤炭物流和煤炭结算融资服务，进一步完善煤炭交易、物流、第三方资金托管、清结算、供应链融资、信息资讯等电子商务运营管理综合服务，加快构建以“期货、现货”和“线上、线下”为特色，集信息、交易、物流和结算融资四大功能于一体的煤炭电子交易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——有效</w:t>
      </w:r>
      <w:r>
        <w:rPr>
          <w:rFonts w:ascii="Times New Roman" w:hAnsi="Times New Roman" w:eastAsia="仿宋_GB2312"/>
          <w:color w:val="000000" w:themeColor="text1"/>
          <w:sz w:val="32"/>
          <w:szCs w:val="32"/>
          <w14:textFill>
            <w14:solidFill>
              <w14:schemeClr w14:val="tx1"/>
            </w14:solidFill>
          </w14:textFill>
        </w:rPr>
        <w:t>推动制造业物流</w:t>
      </w:r>
      <w:r>
        <w:rPr>
          <w:rFonts w:hint="eastAsia" w:ascii="Times New Roman" w:hAnsi="Times New Roman" w:eastAsia="仿宋_GB2312"/>
          <w:color w:val="000000" w:themeColor="text1"/>
          <w:sz w:val="32"/>
          <w:szCs w:val="32"/>
          <w14:textFill>
            <w14:solidFill>
              <w14:schemeClr w14:val="tx1"/>
            </w14:solidFill>
          </w14:textFill>
        </w:rPr>
        <w:t>。加快推动装备制造基地呼铁物流园区建设，引导中车、奇瑞等大型制造企业主辅分离，剥离物流运输等业务，由专业的物流企业承接，精细化提供采购物流、入厂物流、交付物流、回收物流等服务，建立一体化智慧供应链管理服务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平台载体。根据金融服务业发展需要，着力建设物流信息平台，实施物流企业智能化改造行动，推动物流业提质升级。</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7"/>
        <w:tblpPr w:leftFromText="180" w:rightFromText="180" w:vertAnchor="text" w:horzAnchor="margin" w:tblpY="9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53" w:type="dxa"/>
            <w:vAlign w:val="center"/>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现代物流服务业平台载体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trPr>
        <w:tc>
          <w:tcPr>
            <w:tcW w:w="8753" w:type="dxa"/>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物流信息平台。依托东胜区综合物流枢纽，整合现有煤炭、农畜产品、机械装备、羊绒等物流资源，结合大数据系统，为区内物流网络提供运输、仓储、配送等物流领域全方位多层面解决方案，建成东胜区综合物流信息管理平台，并与呼包鄂乌城市群物流信息平台以及国家交通运输物流公共信息平台等充分对接，广域物流资源共享务。</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实施物流企业智能化改造行动。发展机械化、智能化立体仓库、自动化无人仓库，对仓库内的各类资源进行计划、组织、引导和控制，实现对货物的全机械化存储与移动，实现取货自动化、进出货无缝化和订单处理准确化。建设智慧物流配送中心，通过人工智能等核心算法对物流资源合理分配，优化运输路线，提升货车装载率。</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●煤炭电子商务交易中心。提升现有煤炭信息和交易服务，实现煤炭现货挂牌交易和竞价交易，煤炭供需双方可实时在线议价，并获取煤炭产业政策、煤炭产量等有关煤炭产、运、销、需的最新资讯。</w:t>
            </w:r>
          </w:p>
        </w:tc>
      </w:tr>
    </w:tbl>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16" w:name="_Toc32554"/>
      <w:r>
        <w:rPr>
          <w:rFonts w:hint="eastAsia" w:ascii="Times New Roman" w:hAnsi="Times New Roman" w:eastAsia="仿宋_GB2312"/>
          <w:color w:val="000000" w:themeColor="text1"/>
          <w14:textFill>
            <w14:solidFill>
              <w14:schemeClr w14:val="tx1"/>
            </w14:solidFill>
          </w14:textFill>
        </w:rPr>
        <w:t>第六节 商务服务业</w:t>
      </w:r>
      <w:bookmarkEnd w:id="16"/>
    </w:p>
    <w:p>
      <w:pPr>
        <w:spacing w:line="560" w:lineRule="exact"/>
        <w:rPr>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发展思路。统筹利用好存量建筑设施，加快构建以楼宇经济为载体、总部经济为引领，对外贸易、会展服务、中介服务为重点的商务产业体系，打造呼抱鄂乌影响力最大的现代商务高地。</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发展重点。注重产业链延伸与融合，优化调整商务服务结构，提升专业服务水平和高端服务能力。</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整合提升楼宇经济。探索实施政府租赁统一招商、专业机构托管运营、政企合作运营等管理模式以及商改住，促进楼宇集群化发展。通过回购、置换等方式，将闲置商业库存用于医疗、养老、教育和社区服务等，鼓励社会资本收购兼并商用办公项目。改造利用存量商业楼宇，打造集中式社区型青年公寓，为青年人提供集居住、交流、生活、会客、休闲于一体的理想居所。到2025年，盘活库存商业地产达到80%以上。</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集聚发展总部经济。出台《东胜区支持总部经济发展实施办法》，重点培育和吸引总部企业落户东胜，打造呼包鄂乌总部企业首选入驻地。注重培育本土龙头企业独幢总部、本土骨干企业联营总部；坚持“大小兼顾”，既要积极引进500强、跨国企业等区域总部，也要关注引进科技型、资本型、创业型等中小企业总部，形成“总部公共服务、总部商务办公、企业高管定制化服务“三位一体”的东胜区总部经济发展体系。着力构建总部经济示范区，重点在铁西二期，整合利用天佐新城、汇能商务、金融广场等已有设施，打造东胜总部经济示范区，吸引集聚本土大企业总部、科创型企业总部和国内知名企业总部。到2025年，引进和培育各类总部企业新增10家以上。</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有效提升对外贸易。紧抓“一带一路”，加强与俄罗斯、蒙古国等国家的交流合作，在草原丝绸之路经济带和中俄蒙经济走廊中挖掘发展机遇。依托《外商投资产业指导目录》，加大外向型产业招商力度，主动承接境外和国内沿海发达地区的产业转移，积极引导外资投向节能环保、先进制造、高新技术、新能源、新材料等产业。鼓励有能力的外贸企业积极参加国际展览会、博览会，设立商品展示中心、物流中心、海外运营中心等，建设国际营销服务体系。加强重点自主品牌在质量、信誉、服务等领域的宣传推广力度，培育外贸自主品牌。到2025年，实现进出口总额30亿元人民币以上，实际利用外资90亿元人民币以上；培育具有较强国际竞争力的本土品牌5个以上；培育进出口额超1亿元企业5家以上。</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会展服务。打造优势展会和特色会展品牌，突出休闲城市特色和特色产业影响力，扩大国际羊绒、煤炭机械展会效应，积极承办世界休闲博览会、国际养生博览会等展会，加快拓展至城市发展论坛、特色产业会展、文化节庆会展、城市主题会展。充分利用科技会展中心、全民健身活动中心和鄂尔多斯市国际会展中心设施，结合东胜区完善的商务接待设施和优良的生态环境，围绕“一带一路”沿线65个国家，开展经济、文化特色会展。</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——培育发展中介服务。大力鼓励、规范发展健康咨询、财务服务、法律服务、市场调查咨询服务、投资与资产管理服务、高端人力资源服务等专业服务，构建国际知名专业服务机构进驻我国西部的优选目的地。</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平台载体。突出东胜区商务服务在全市的地位和作用，着力实施总部经济培育行动和生产性服务业飞地孵化行动。</w:t>
      </w:r>
    </w:p>
    <w:p>
      <w:pPr>
        <w:pStyle w:val="2"/>
        <w:rPr>
          <w:color w:val="000000" w:themeColor="text1"/>
          <w14:textFill>
            <w14:solidFill>
              <w14:schemeClr w14:val="tx1"/>
            </w14:solidFill>
          </w14:textFill>
        </w:rPr>
      </w:pPr>
    </w:p>
    <w:tbl>
      <w:tblPr>
        <w:tblStyle w:val="17"/>
        <w:tblW w:w="8388" w:type="dxa"/>
        <w:tblInd w:w="0"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482" w:hRule="atLeast"/>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商务服务业平台载体</w:t>
            </w:r>
          </w:p>
        </w:tc>
      </w:tr>
      <w:tr>
        <w:tblPrEx>
          <w:tblCellMar>
            <w:top w:w="0" w:type="dxa"/>
            <w:left w:w="108" w:type="dxa"/>
            <w:bottom w:w="0" w:type="dxa"/>
            <w:right w:w="108" w:type="dxa"/>
          </w:tblCellMar>
        </w:tblPrEx>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●总部经济培育行动。出台《东胜区支持总部经济发展实施办法》，每年引进限额以上、或规模以上企业总部10家以上，促成已有总部开展新兴产业项目投资。</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●生产性服务业飞地孵化行动。鼓励工业园区探索生产性服务业“飞地孵化”，根据产业发展需求，建立侧重不同的“飞出地”和 “飞入地”各1处，促进两地间人才、资本、技术、市场、供应链等资源的双向流通和资源共享。</w:t>
            </w:r>
          </w:p>
        </w:tc>
      </w:tr>
    </w:tbl>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rPr>
          <w:rFonts w:hint="eastAsia" w:ascii="Times New Roman" w:hAnsi="Times New Roman" w:eastAsia="仿宋_GB2312"/>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bookmarkStart w:id="17" w:name="_Toc1835"/>
      <w:r>
        <w:rPr>
          <w:rFonts w:hint="eastAsia" w:ascii="Times New Roman" w:hAnsi="Times New Roman" w:eastAsia="黑体"/>
          <w:b/>
          <w:color w:val="000000" w:themeColor="text1"/>
          <w:sz w:val="32"/>
          <w:szCs w:val="32"/>
          <w14:textFill>
            <w14:solidFill>
              <w14:schemeClr w14:val="tx1"/>
            </w14:solidFill>
          </w14:textFill>
        </w:rPr>
        <w:t xml:space="preserve">第四章 </w:t>
      </w:r>
      <w:r>
        <w:rPr>
          <w:rFonts w:ascii="Times New Roman" w:hAnsi="Times New Roman" w:eastAsia="黑体"/>
          <w:b/>
          <w:color w:val="000000" w:themeColor="text1"/>
          <w:sz w:val="32"/>
          <w:szCs w:val="32"/>
          <w14:textFill>
            <w14:solidFill>
              <w14:schemeClr w14:val="tx1"/>
            </w14:solidFill>
          </w14:textFill>
        </w:rPr>
        <w:t>做</w:t>
      </w:r>
      <w:r>
        <w:rPr>
          <w:rFonts w:hint="eastAsia" w:ascii="Times New Roman" w:hAnsi="Times New Roman" w:eastAsia="黑体"/>
          <w:b/>
          <w:color w:val="000000" w:themeColor="text1"/>
          <w:sz w:val="32"/>
          <w:szCs w:val="32"/>
          <w14:textFill>
            <w14:solidFill>
              <w14:schemeClr w14:val="tx1"/>
            </w14:solidFill>
          </w14:textFill>
        </w:rPr>
        <w:t>优生活性服务业</w:t>
      </w:r>
      <w:bookmarkEnd w:id="17"/>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以满足人民群众日益增长的美好生活需要为目标，抓住</w:t>
      </w:r>
      <w:r>
        <w:rPr>
          <w:rFonts w:ascii="Times New Roman" w:hAnsi="Times New Roman" w:eastAsia="仿宋_GB2312"/>
          <w:color w:val="000000" w:themeColor="text1"/>
          <w:sz w:val="32"/>
          <w:szCs w:val="32"/>
          <w14:textFill>
            <w14:solidFill>
              <w14:schemeClr w14:val="tx1"/>
            </w14:solidFill>
          </w14:textFill>
        </w:rPr>
        <w:t>数字技术创新和后疫</w:t>
      </w:r>
      <w:r>
        <w:rPr>
          <w:rFonts w:hint="eastAsia" w:ascii="Times New Roman" w:hAnsi="Times New Roman" w:eastAsia="仿宋_GB2312"/>
          <w:color w:val="000000" w:themeColor="text1"/>
          <w:sz w:val="32"/>
          <w:szCs w:val="32"/>
          <w14:textFill>
            <w14:solidFill>
              <w14:schemeClr w14:val="tx1"/>
            </w14:solidFill>
          </w14:textFill>
        </w:rPr>
        <w:t>情时代</w:t>
      </w:r>
      <w:r>
        <w:rPr>
          <w:rFonts w:ascii="Times New Roman" w:hAnsi="Times New Roman" w:eastAsia="仿宋_GB2312"/>
          <w:color w:val="000000" w:themeColor="text1"/>
          <w:sz w:val="32"/>
          <w:szCs w:val="32"/>
          <w14:textFill>
            <w14:solidFill>
              <w14:schemeClr w14:val="tx1"/>
            </w14:solidFill>
          </w14:textFill>
        </w:rPr>
        <w:t>生活性服务业加速数字化转型升级</w:t>
      </w:r>
      <w:r>
        <w:rPr>
          <w:rFonts w:hint="eastAsia" w:ascii="Times New Roman" w:hAnsi="Times New Roman" w:eastAsia="仿宋_GB2312"/>
          <w:color w:val="000000" w:themeColor="text1"/>
          <w:sz w:val="32"/>
          <w:szCs w:val="32"/>
          <w14:textFill>
            <w14:solidFill>
              <w14:schemeClr w14:val="tx1"/>
            </w14:solidFill>
          </w14:textFill>
        </w:rPr>
        <w:t>机遇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积极培育生活性服务新业态、新模式，构建以数字为基础的新型消费体系，为拉动经济增长、推动“双循环”提供有力支撑和持续动力。</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18" w:name="_Toc8329"/>
      <w:r>
        <w:rPr>
          <w:rFonts w:hint="eastAsia" w:ascii="Times New Roman" w:hAnsi="Times New Roman" w:eastAsia="仿宋_GB2312"/>
          <w:color w:val="000000" w:themeColor="text1"/>
          <w14:textFill>
            <w14:solidFill>
              <w14:schemeClr w14:val="tx1"/>
            </w14:solidFill>
          </w14:textFill>
        </w:rPr>
        <w:t>第一节 文化旅游产业</w:t>
      </w:r>
      <w:bookmarkEnd w:id="18"/>
    </w:p>
    <w:p>
      <w:pPr>
        <w:pStyle w:val="5"/>
        <w:spacing w:before="0" w:after="0" w:line="560" w:lineRule="exact"/>
        <w:ind w:firstLine="643" w:firstLineChars="200"/>
        <w:rPr>
          <w:rFonts w:ascii="Times New Roman" w:hAnsi="Times New Roman" w:eastAsia="仿宋_GB2312"/>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展思路：发挥东胜区气候环境优势，以产业融合、功能复合为导向，将文化旅游产业打造为东胜区支柱性、引领性服务行业。围绕“建设鄂尔多斯城市休闲会客厅”总体目标，突出“全域化旅游”新主题，优化整合自然、人文特色资源，加快构建以文旅融合为主，以文旅与特色工业、生态建设、城郊农业大融合为支撑的文旅产业体系。力争到2025年，年接待游客突破600万人次，营业收入达到185亿元，基本建成“高品质宜游城市会客厅”。</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建立文旅产业全域融合体系，推动文旅产业与城乡建设、工业制造、科教康养等全领域跨界融合。主动融入呼包鄂榆城市群和东阿康中心城区一体化，推进动物园、海洋馆、植物园联动发展，秦直道遗址保护区与秦直道景区、秦直道博物馆一体化发展，繁荣城市休闲商业、娱乐业和康养产业，深入推进全域旅游。</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深化文旅产品聚集区建设。重点建设动植物园文化休闲区、秦汉融合文化旅游区、绒都工业文化旅游区、生态康养聚集区、中视文化休闲康养区、都市文化休闲商业区、西部滨水生态休闲娱乐区、草原生态文化游憩区、东部产业文化休闲区等九个聚集区建设。以 9 个产品聚集区为基本框架，强化文旅资源保护，以重大文旅项目为带动，促进聚集区产品升级、服务升级、吸引力升级。</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打造精品旅游线路。整合串联东胜区及周边丰富的旅游资源，着力打造东西、南北走向的两条精品旅游线路。沿210国道延伸的南北向文化旅游线路：响沙湾——万家惠休闲娱乐时尚商圈——中视影视文化基地——酒文化园——康巴什新区——蒙古源流——成吉思汗陵。沿109国道延伸的东西向生命健康旅游线路：三台基滨水乐园——生态康养集聚区——野生动物园、植物园——鄂尔多斯羊绒博览园——九城宫（草原漫瀚小镇）——秦直道——遗鸥国家自然保护区——鄂尔多斯草原。</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高品质发展夜间经济。重点支持食尚街、三口街、花鹿栖等文化旅游特色街区的基础设施，提升现有酒吧、茶吧、体验式餐馆、KTV、网吧等场所的环境水平和服务质量，打造推出一条集聚鄂尔多斯特色的美食步行街，推动夜间经济发展。提升购物中心、王府井金街、万达广场、“羊绒”一条街等核心商圈的环境水平，通过组织开展夜间购物节、特色商品展销节等形式增强游客的吸附能力。支持博物馆、图书馆、体育场馆延长开放时间，举办文化展演、体育赛事等惠民活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配套完善文旅服务网络。打造多元化住宿平台，包括高星级酒店（希尔顿、喜来登等）、商务度假酒店与快捷连锁酒店，并积极推出分时度假社区，选择1-2处空置率高的住宅区，采用统一租赁、市场化运营的模式，通过旅行社向外推介；建立多渠道营销推介体系，加强主流媒体宣传力度，与携程网、去哪儿网等自助游网络进行合作推广；发展智慧旅游，推动北斗系统在景区电子导览，电子地图应用。开展客群基础特征大数据分析，链接推送全域旅游资源信息，构建吃住行游购娱数字链。</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平台载体。整合优化现有文旅设施，充实重点文旅项目，着力打造9大文旅产品集聚区。</w:t>
      </w:r>
    </w:p>
    <w:tbl>
      <w:tblPr>
        <w:tblStyle w:val="17"/>
        <w:tblW w:w="8388" w:type="dxa"/>
        <w:tblInd w:w="0"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482" w:hRule="atLeast"/>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文旅产业平台载体</w:t>
            </w:r>
          </w:p>
        </w:tc>
      </w:tr>
      <w:tr>
        <w:tblPrEx>
          <w:tblCellMar>
            <w:top w:w="0" w:type="dxa"/>
            <w:left w:w="108" w:type="dxa"/>
            <w:bottom w:w="0" w:type="dxa"/>
            <w:right w:w="108" w:type="dxa"/>
          </w:tblCellMar>
        </w:tblPrEx>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●动植物园文化休闲区。重点推动动物园提升改造、敖包相会、奥莱小镇、城市会客厅等重点项目，推动鄂尔多斯野生动物园、植物园、文旅大厦一体化发展，打造自治区级的动植物园生态文化度假区。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秦汉融合文化旅游区。重点推动秦直道遗址公园、秦直道文化旅游区等重点项目建设，呈显“千古一道”在道路建设、国防建设、秦汉文化、民族融合文化及爱国主义教育的历史文化价值，建设成为体现东胜区黄河文化、历史文化的核心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●绒都工业文化旅游区。重点推动鄂绒工业旅游区、罕台绒纺街区、酒文化产业园等重点项目，打造两个“鄂尔多斯”品牌的工业文化旅游区。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●西部生态康养聚集区。重点推动鑫海颐和康养城、中华情社区居家养老服务中心等重点项目，因地制宜开发“康体养生”项目产品，进一步提升西部生态康养聚集区的接待能力和服务水平。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视文化休闲康养区。重点推动中视文化产业（东胜）基地项目，打造亚洲最大的封闭式文化旅游综合体，弥补冬季旅游产品不足。推动灶火壕村文化旅游升级项目，展现鄂尔多斯乡村发展时代精神的“新西口”，打造西口文化体验村、城里原乡旅游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●都市文化休闲商业区项目。重点推动三口街、花鹿栖、万达广场 、 雍贵中心、万正广场功能拓展项目，增强游客的吸附能力。</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●滨水生态休闲娱乐区。重点推动赛台基湖区提升项目，形成以城市滨水休闲娱乐为主要特色聚集区。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●草原生态文化游憩区。重点推动非洲草原、泊江海子遗鸥自然保护区等重点项目，建设以草原生态文化为核心的游憩区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●东部产业文化休闲区。重点推动铜川汽博园汽车小镇项目，打造铜川汽车文化休闲体验中心。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tc>
      </w:tr>
    </w:tbl>
    <w:p>
      <w:pPr>
        <w:pStyle w:val="4"/>
        <w:spacing w:before="0" w:after="0" w:line="560" w:lineRule="exact"/>
        <w:jc w:val="center"/>
        <w:rPr>
          <w:rFonts w:hint="eastAsia" w:ascii="Times New Roman" w:hAnsi="Times New Roman" w:eastAsia="仿宋_GB2312"/>
          <w:color w:val="000000" w:themeColor="text1"/>
          <w14:textFill>
            <w14:solidFill>
              <w14:schemeClr w14:val="tx1"/>
            </w14:solidFill>
          </w14:textFill>
        </w:rPr>
      </w:pPr>
      <w:bookmarkStart w:id="19" w:name="_Toc5758"/>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第二节 商贸服务业</w:t>
      </w:r>
      <w:bookmarkEnd w:id="19"/>
    </w:p>
    <w:p>
      <w:pPr>
        <w:spacing w:line="560" w:lineRule="exact"/>
        <w:rPr>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发展思路。以城市商圈、专业市场建设为重点，推进商贸、市场融合发展，汇聚人流、物流、信息流、资金流，着力打造区域新兴消费中心。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发展重点。高起点、高标准优化商贸平台布局，重点做强两大城市商圈、做优七大特色街区，着力提升东胜商贸服务业发展层次和品位。</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做强城市商圈。以老城综合百货购物商圈和铁西休闲娱乐时尚商圈为重点，推进城市综合体开发建设，提升区域商贸辐射带动能力。支持龙头企业提升改造商业配套设施，继续推进星河购物、大润发、王府井、雍景汇等城市商圈智慧化升级，全面提升消费环境。引导华研、万正等龙头企业，利用闲置商业与外地生产厂家对接合作建设实体展示体验店、服装批发市场、农副产品季节性交易市场等，提升东胜区商业对周边城市的影响力。</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集聚发展专业市场和农贸市场。以整合市场资源和推进市场升级为导向，以汽车、家居建材、小商品、奇石古玩等专业市场和农贸市场为载体，以铜川汽车博览园和万家惠农贸市场为重点，推进市场向规模化、现代化、信息化、规范化方向发展。加快健全农产品市场体系。组建农畜产品批发市场集团，打造农畜产品转入、产品价格发布等信息平台；开辟绿色通道，加快建设服务于东胜、康巴什新区的大型农畜产品交易集散港。谋划建设粮食批发市场和特色食品批发市场，满足东胜及周边地区生活需求。到2025年，各专业市场对周边城市的辐射能力明显增加，东胜区初步成为地区性专业生产资料、生活用品集散地。</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大力提振消费</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加快</w:t>
      </w:r>
      <w:r>
        <w:rPr>
          <w:rFonts w:hint="eastAsia"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快充场站建设</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鼓励新能源汽车消费</w:t>
      </w:r>
      <w:r>
        <w:rPr>
          <w:rFonts w:hint="eastAsia" w:ascii="Times New Roman" w:hAnsi="Times New Roman" w:eastAsia="仿宋_GB2312"/>
          <w:color w:val="000000" w:themeColor="text1"/>
          <w:sz w:val="32"/>
          <w:szCs w:val="32"/>
          <w14:textFill>
            <w14:solidFill>
              <w14:schemeClr w14:val="tx1"/>
            </w14:solidFill>
          </w14:textFill>
        </w:rPr>
        <w:t>；推进汽车下乡，农牧民购买3.5吨及以下载重量火车、1.6及以下排量乘用车给予政策支持。探索家电“以旧换新”财政奖补政策，促进家电消费。提升住宿餐饮服务水平，推进规范化、示范性经营，鼓励住宿餐饮企业以整合重组的方式开展连锁经营或搭乘知名网络平台、自媒体直播平台，开展互联网营销，全力提振住餐消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平台载体。依托互联网等信息技术，加快传统商业智慧化改造，建设智慧商圈。培育完善专业市场，构筑高效现代商贸体系。</w:t>
      </w:r>
    </w:p>
    <w:tbl>
      <w:tblPr>
        <w:tblStyle w:val="17"/>
        <w:tblW w:w="8388" w:type="dxa"/>
        <w:tblInd w:w="0"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482" w:hRule="atLeast"/>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商贸服务业平台载体</w:t>
            </w:r>
          </w:p>
        </w:tc>
      </w:tr>
      <w:tr>
        <w:tblPrEx>
          <w:tblCellMar>
            <w:top w:w="0" w:type="dxa"/>
            <w:left w:w="108" w:type="dxa"/>
            <w:bottom w:w="0" w:type="dxa"/>
            <w:right w:w="108" w:type="dxa"/>
          </w:tblCellMar>
        </w:tblPrEx>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智慧商圈。智慧化升级每天百货、购物中心、星河购物、万达、雍景汇等为核心商圈，引导企业运用大数据、区块链等数字技术，加快发展新零售，探索发展智能商业，构筑高效通畅的现代商贸服务体系。满足商务型、旅游型人群和本地居民购物休闲需求。</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专业市场。依托绒纺、酒业等特色产业，打造全国最具影响力的绒纺专业市场、鄂尔多斯白酒市场、现代化汽车主题（二手车）市场、鄂尔多斯现代能源机械市场、家具市场、绿色农贸市场和农畜产品交易市场。</w:t>
            </w:r>
          </w:p>
        </w:tc>
      </w:tr>
    </w:tbl>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2"/>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sectPr>
          <w:footerReference r:id="rId6" w:type="default"/>
          <w:pgSz w:w="11906" w:h="16838"/>
          <w:pgMar w:top="1440" w:right="1800" w:bottom="1440" w:left="1800" w:header="851" w:footer="992" w:gutter="0"/>
          <w:pgNumType w:start="1"/>
          <w:cols w:space="720" w:num="1"/>
          <w:docGrid w:type="lines" w:linePitch="312" w:charSpace="0"/>
        </w:sect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0" w:name="_Toc11231"/>
      <w:r>
        <w:rPr>
          <w:rFonts w:hint="eastAsia" w:ascii="Times New Roman" w:hAnsi="Times New Roman" w:eastAsia="仿宋_GB2312"/>
          <w:color w:val="000000" w:themeColor="text1"/>
          <w14:textFill>
            <w14:solidFill>
              <w14:schemeClr w14:val="tx1"/>
            </w14:solidFill>
          </w14:textFill>
        </w:rPr>
        <w:t>第三节 电子商务产业</w:t>
      </w:r>
      <w:bookmarkEnd w:id="20"/>
    </w:p>
    <w:p>
      <w:pPr>
        <w:pStyle w:val="5"/>
        <w:spacing w:before="0" w:after="0" w:line="560" w:lineRule="exact"/>
        <w:rPr>
          <w:rFonts w:ascii="Times New Roman" w:hAnsi="Times New Roman" w:eastAsia="仿宋_GB2312"/>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发展思路。瞄准中高端消费、数字经济、共享经济等热点领域，做大电子商务规模，促进商贸流通业线上线下融合互动，扩大网络消费。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发展重点。不断完善鄂尔多斯电子商务大厦功能，吸引更多优秀电商企业入驻，帮助本土企业走电子商务转型发展之路，推动新零售模式落地。</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特色商品电子商务。充分发挥和“世界绒都”的品牌影响力，结合城北市场物流集聚区建设，引导和支持龙头骨干物流企业，建设羊绒产品、绿色农畜产品等区域性特色商品的电商物流公共服务平台。以大量仓储物流设施吸引工厂产品入库，吸引电商机构进入，以电商交易规模吸引相关物流配送企业入驻，构建集“产品库、服务库、物流库”于一体的新型电商物流平台。立足本地仓储物流设施，积极与国内外知名快递物流公司开展仓储合作，构建本地仓库与外地仓库有机结合的电商配套物流服务网络。</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创新发展电子商务应用技术。依托东胜商业活跃优势和云计算产业优势，打造鄂尔多斯电子商务应用创新中心，加快培育电子商务技术服务企业。加快培育一批专业化电子商务服务商，积极引进国内外知名电子商务服务企业来东胜设立区域总部。着力完善云安全解决方案，推进海量存储、虚拟化和低功率等云计算技术在电子商务领域的应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发展平台。重点构建特色商品电商物流公共服务平台、电子商务应用创新中心和煤炭电子商务交易中心。</w:t>
      </w:r>
    </w:p>
    <w:tbl>
      <w:tblPr>
        <w:tblStyle w:val="17"/>
        <w:tblW w:w="8388" w:type="dxa"/>
        <w:tblInd w:w="0"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482" w:hRule="atLeast"/>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电子商务平台载体</w:t>
            </w:r>
          </w:p>
        </w:tc>
      </w:tr>
      <w:tr>
        <w:tblPrEx>
          <w:tblCellMar>
            <w:top w:w="0" w:type="dxa"/>
            <w:left w:w="108" w:type="dxa"/>
            <w:bottom w:w="0" w:type="dxa"/>
            <w:right w:w="108" w:type="dxa"/>
          </w:tblCellMar>
        </w:tblPrEx>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特色商品电商物流公共服务平台。做大电商产业园，依托罕台食品园区等载体，建立知名电商企业区域性仓储分拣中心，以质量检验、商务认证、资金融通、通关报检、产品销售、库存管理等专业性服务吸引更多电商机构进入。将线上消费数据纳入本地社会消费品零售总额统计系统。</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●电子商务应用创新中心。为中小电子商务企业提供平台开发、信息处理、数据托管、应用系统和软件运营等外包服务。 </w:t>
            </w:r>
          </w:p>
        </w:tc>
      </w:tr>
    </w:tbl>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outlineLvl w:val="0"/>
        <w:rPr>
          <w:rFonts w:ascii="Times New Roman" w:hAnsi="Times New Roman" w:eastAsia="黑体"/>
          <w:b/>
          <w:color w:val="000000" w:themeColor="text1"/>
          <w:sz w:val="32"/>
          <w:szCs w:val="32"/>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bookmarkStart w:id="21" w:name="_Toc3506"/>
      <w:r>
        <w:rPr>
          <w:rFonts w:hint="eastAsia" w:ascii="Times New Roman" w:hAnsi="Times New Roman" w:eastAsia="黑体"/>
          <w:b/>
          <w:color w:val="000000" w:themeColor="text1"/>
          <w:sz w:val="32"/>
          <w:szCs w:val="32"/>
          <w14:textFill>
            <w14:solidFill>
              <w14:schemeClr w14:val="tx1"/>
            </w14:solidFill>
          </w14:textFill>
        </w:rPr>
        <w:t xml:space="preserve">第五章 </w:t>
      </w:r>
      <w:r>
        <w:rPr>
          <w:rFonts w:ascii="Times New Roman" w:hAnsi="Times New Roman" w:eastAsia="黑体"/>
          <w:b/>
          <w:color w:val="000000" w:themeColor="text1"/>
          <w:sz w:val="32"/>
          <w:szCs w:val="32"/>
          <w14:textFill>
            <w14:solidFill>
              <w14:schemeClr w14:val="tx1"/>
            </w14:solidFill>
          </w14:textFill>
        </w:rPr>
        <w:t>做精</w:t>
      </w:r>
      <w:r>
        <w:rPr>
          <w:rFonts w:hint="eastAsia" w:ascii="Times New Roman" w:hAnsi="Times New Roman" w:eastAsia="黑体"/>
          <w:b/>
          <w:color w:val="000000" w:themeColor="text1"/>
          <w:sz w:val="32"/>
          <w:szCs w:val="32"/>
          <w14:textFill>
            <w14:solidFill>
              <w14:schemeClr w14:val="tx1"/>
            </w14:solidFill>
          </w14:textFill>
        </w:rPr>
        <w:t>公共服务业</w:t>
      </w:r>
      <w:bookmarkEnd w:id="21"/>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以提高居民生活品质、提升公共服务水平和促进社会和谐发展为目标，全面推进文教卫体、社会保障、社区家政和公共市政等服务业提升发展、优质发展，进一步优化服务业发展环境。</w:t>
      </w: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2" w:name="_Toc11079"/>
      <w:r>
        <w:rPr>
          <w:rFonts w:hint="eastAsia" w:ascii="Times New Roman" w:hAnsi="Times New Roman" w:eastAsia="仿宋_GB2312"/>
          <w:color w:val="000000" w:themeColor="text1"/>
          <w14:textFill>
            <w14:solidFill>
              <w14:schemeClr w14:val="tx1"/>
            </w14:solidFill>
          </w14:textFill>
        </w:rPr>
        <w:t>第一节 文教卫体服务</w:t>
      </w:r>
      <w:bookmarkEnd w:id="22"/>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提标扩面为重点，继续推进教育、文化、卫生、体育等公共服务设施优化布局，扩大基本公共服务均等化覆盖面，进一步提升对外来常住人口的服务水平，建成广覆盖、优服务、大惠民的文教卫体设施网络。</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公共文化服务。加强公共文化服务体系的软、硬件建设，基本形成10分钟文化服务圈。着力加强公共文化人才队伍建设，大力推进国家公共文化服务体系示范区创建工作，力争在全市率先形成覆盖城乡、富有特色的公共文化服务体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发展教育培训。优化教育资源布局，加大教育资金投入，提升发展素质教育，重点发展学前教育、职业教育、培训经济。完善学前教育设施布局，重点推进幼儿园、小学、中学等项目的新建或改扩建工程；重点抓好职业教育，以教育园区为平台，开展专业职业技术教育，为企业培养技能型人才；积极发展培训经济，以高端精英培训、商务交流培训、企业管理培训等为重点，做强特色培训经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改善医疗卫生服务。加强综合医院、专科医院、基层医疗卫生机构建设，深化推进基层医疗卫生体制改革，构建以市直医院为龙头、区属医疗卫生机构为骨干、社区卫生服务站、民营医院和基层门诊为基础的三级医疗卫生服务体系。强化公共卫生管理职能，建立健全疾病预防控制体系和医疗救治体系，提高公共卫生服务水平和突发公共卫生事件应急能力。</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体育竞技。着力加快体育设施建设，积极创建健康城市。兴建一批社区性体育设施和健身娱乐场所，广泛开展全民健身运动，增强国民体质；支持发展竞技体育，举办和承办更多更高级别的体育赛事，力争成为1项全国性体育赛事或国际性体育赛事的固定举办地。努力培育体育市场，壮大体育产业。</w:t>
      </w: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3" w:name="_Toc20106"/>
      <w:r>
        <w:rPr>
          <w:rFonts w:hint="eastAsia" w:ascii="Times New Roman" w:hAnsi="Times New Roman" w:eastAsia="仿宋_GB2312"/>
          <w:color w:val="000000" w:themeColor="text1"/>
          <w14:textFill>
            <w14:solidFill>
              <w14:schemeClr w14:val="tx1"/>
            </w14:solidFill>
          </w14:textFill>
        </w:rPr>
        <w:t>第二节 社会保障服务</w:t>
      </w:r>
      <w:bookmarkEnd w:id="23"/>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加大社会保障投入，完善就业、养老、医疗等基本社会保障服务，加快发展社会福利和社会救助事业，进一步扩大社会保障覆盖面，逐步建立与东胜区经济社会发展水平相适应、有利于促进社会公平正义的社会保障服务体系。到2025年，力争社会保障参保面达到96%。</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发展重点。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完善社会就业服务。坚持把就业放在经济社会发展更加突出的位置，以创业促就业、政策促就业、培训促就业、服务促就业，努力扩大就业规模。加强就业指导服务，以人才市场、人力资源市场、农村劳动力转移服务中心等为主平台，推进就业信息联网建设，建立实名制的就业失业登记管理信息系统，进一步完善劳动力就业体系。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——加强基本社保服务。建立健全养老、医疗、失业等基本社会保险制度，完善最低生活保障制度，加快建立政府主导、社会参与、全民关怀、惠及城乡的社会保障服务体系。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养老服务体系。以构建智慧健康和养老产业体系为目标，发展社会化养老产业。重点完善鑫海颐和院、中华情服务功能，以医养结合为特色，吸引避暑旅居、养老消费群；提升社会化养老机构服务质量和入住率，鼓励发展社区养老、老年人日间照料、老年人临时托管、居家养老、互助型养老等形式的养老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——加大社会福利投入。发展新型社会福利服务，完善社会福利设施，加快建成一批养老院、残疾人救助站和儿童福利院。加强残疾人和弱势群体帮扶救助，强化对社会弱势群体的保障和救助责任。</w:t>
      </w: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4" w:name="_Toc24878"/>
      <w:r>
        <w:rPr>
          <w:rFonts w:hint="eastAsia" w:ascii="Times New Roman" w:hAnsi="Times New Roman" w:eastAsia="仿宋_GB2312"/>
          <w:color w:val="000000" w:themeColor="text1"/>
          <w14:textFill>
            <w14:solidFill>
              <w14:schemeClr w14:val="tx1"/>
            </w14:solidFill>
          </w14:textFill>
        </w:rPr>
        <w:t>第三节 社区家政服务</w:t>
      </w:r>
      <w:bookmarkEnd w:id="24"/>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发展思路。积极引导社区家政服务业向专业化、社会化、网络化发展，支持和引导大中专毕业生、失业人员、转移劳动力进入社区家政服务业，逐步推行从业人员执证上岗制度。</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家政服务。大力发展便民商业、餐饮娱乐、家电维修、养老托幼、保险理财、医疗保健、心理咨询等居民生活服务业，逐步建立起结构合理、产权清晰、管理科学的家政服务体系。充分应用物联网科技，提升居家养老智能系统服务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——优化社区服务。完善社区服务设施，重点建设便民超市、物业管理、信息中介、法律援助、社区日间照料中心等服务实体，加快推进“数字社区”建设，提升社区服务整体水平。</w:t>
      </w:r>
    </w:p>
    <w:p>
      <w:pPr>
        <w:pStyle w:val="4"/>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5" w:name="_Toc8877"/>
      <w:r>
        <w:rPr>
          <w:rFonts w:hint="eastAsia" w:ascii="Times New Roman" w:hAnsi="Times New Roman" w:eastAsia="仿宋_GB2312"/>
          <w:color w:val="000000" w:themeColor="text1"/>
          <w14:textFill>
            <w14:solidFill>
              <w14:schemeClr w14:val="tx1"/>
            </w14:solidFill>
          </w14:textFill>
        </w:rPr>
        <w:t>第四节 公共市政服务</w:t>
      </w:r>
      <w:bookmarkEnd w:id="25"/>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发展思路。加大市政设施建设和公共管理投入，结合城镇人口集聚和城区扩展，科学规划、有序完善城市道路、给排水、天然气、景观绿化等市政设施网络。</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——加快市政设施建设。加快推进以城市道路工程、供水工程、天然气供应工程等为重点的市政设施建设，为人口集聚发展提供必要支撑。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——实施城市绿化景观工程。大力推进中心绿地、休闲公园、城市道路等绿化工程，积极开展林木绿地认建、认养等多种形式的公众参与绿化活动，改善人居环境。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——优化城镇管理服务。结合智慧东胜建设工程实施，大力创新城镇建设管理机制，着力加强社会治安和市容市貌治理，科学配置和优化养护公共设施，加快提升城市发展品位。</w:t>
      </w:r>
    </w:p>
    <w:p>
      <w:pPr>
        <w:pStyle w:val="5"/>
        <w:spacing w:before="0" w:after="0" w:line="560" w:lineRule="exact"/>
        <w:ind w:firstLine="640" w:firstLineChars="200"/>
        <w:rPr>
          <w:rFonts w:ascii="Times New Roman" w:hAnsi="Times New Roman" w:eastAsia="仿宋_GB2312"/>
          <w:b w:val="0"/>
          <w:color w:val="000000" w:themeColor="text1"/>
          <w14:textFill>
            <w14:solidFill>
              <w14:schemeClr w14:val="tx1"/>
            </w14:solidFill>
          </w14:textFill>
        </w:rPr>
      </w:pPr>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bookmarkStart w:id="26" w:name="_Toc26076"/>
    </w:p>
    <w:p>
      <w:pPr>
        <w:spacing w:line="560" w:lineRule="exact"/>
        <w:jc w:val="center"/>
        <w:outlineLvl w:val="0"/>
        <w:rPr>
          <w:rFonts w:ascii="Times New Roman" w:hAnsi="Times New Roman" w:eastAsia="黑体"/>
          <w:b/>
          <w:color w:val="000000" w:themeColor="text1"/>
          <w:sz w:val="32"/>
          <w:szCs w:val="32"/>
          <w14:textFill>
            <w14:solidFill>
              <w14:schemeClr w14:val="tx1"/>
            </w14:solidFill>
          </w14:textFill>
        </w:rPr>
      </w:pPr>
      <w:r>
        <w:rPr>
          <w:rFonts w:hint="eastAsia" w:ascii="Times New Roman" w:hAnsi="Times New Roman" w:eastAsia="黑体"/>
          <w:b/>
          <w:color w:val="000000" w:themeColor="text1"/>
          <w:sz w:val="32"/>
          <w:szCs w:val="32"/>
          <w14:textFill>
            <w14:solidFill>
              <w14:schemeClr w14:val="tx1"/>
            </w14:solidFill>
          </w14:textFill>
        </w:rPr>
        <w:t>第六章 保障措施</w:t>
      </w:r>
      <w:bookmarkEnd w:id="26"/>
    </w:p>
    <w:p>
      <w:pPr>
        <w:pStyle w:val="2"/>
        <w:spacing w:line="560" w:lineRule="exact"/>
        <w:rPr>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加强政策和机制创新，落实工作举措，进一步提升政策动力、机制活力、工作能力，推动服务业加快发展、协调发展、优质发展。</w:t>
      </w:r>
    </w:p>
    <w:p>
      <w:pPr>
        <w:pStyle w:val="2"/>
        <w:spacing w:line="560" w:lineRule="exact"/>
        <w:rPr>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7" w:name="_Toc27003"/>
      <w:r>
        <w:rPr>
          <w:rFonts w:hint="eastAsia" w:ascii="Times New Roman" w:hAnsi="Times New Roman" w:eastAsia="仿宋_GB2312"/>
          <w:color w:val="000000" w:themeColor="text1"/>
          <w14:textFill>
            <w14:solidFill>
              <w14:schemeClr w14:val="tx1"/>
            </w14:solidFill>
          </w14:textFill>
        </w:rPr>
        <w:t>第一节 加大政策扶持力度</w:t>
      </w:r>
      <w:bookmarkEnd w:id="27"/>
    </w:p>
    <w:p>
      <w:pPr>
        <w:spacing w:line="560" w:lineRule="exact"/>
        <w:rPr>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大政府扶持力度，以统筹扶持资金、优化项目审批、突出行业指导等手段引导服务业健康发展。充实服务业引导资金。梳理整合各归口扶持资金，统盘考虑、统筹使用；探索以行业切块使用服务业引导资金，加强考核，按年度动态调整切块额度。优化服务业项目审批流程。强调手续灵活、权限下放，特别是对企业投资项目，除审慎发展产业外，均实行快捷审批。推进</w:t>
      </w:r>
      <w:r>
        <w:rPr>
          <w:rFonts w:hint="eastAsia" w:ascii="Times New Roman" w:hAnsi="Times New Roman" w:eastAsia="仿宋_GB2312"/>
          <w:color w:val="000000" w:themeColor="text1"/>
          <w:sz w:val="32"/>
          <w:szCs w:val="32"/>
          <w14:textFill>
            <w14:solidFill>
              <w14:schemeClr w14:val="tx1"/>
            </w14:solidFill>
          </w14:textFill>
        </w:rPr>
        <w:t>工业</w:t>
      </w:r>
      <w:r>
        <w:rPr>
          <w:rFonts w:ascii="Times New Roman" w:hAnsi="Times New Roman" w:eastAsia="仿宋_GB2312"/>
          <w:color w:val="000000" w:themeColor="text1"/>
          <w:sz w:val="32"/>
          <w:szCs w:val="32"/>
          <w14:textFill>
            <w14:solidFill>
              <w14:schemeClr w14:val="tx1"/>
            </w14:solidFill>
          </w14:textFill>
        </w:rPr>
        <w:t>企业主辅分离。</w:t>
      </w:r>
      <w:r>
        <w:rPr>
          <w:rFonts w:hint="eastAsia" w:ascii="Times New Roman" w:hAnsi="Times New Roman" w:eastAsia="仿宋_GB2312"/>
          <w:color w:val="000000" w:themeColor="text1"/>
          <w:sz w:val="32"/>
          <w:szCs w:val="32"/>
          <w14:textFill>
            <w14:solidFill>
              <w14:schemeClr w14:val="tx1"/>
            </w14:solidFill>
          </w14:textFill>
        </w:rPr>
        <w:t>出台</w:t>
      </w:r>
      <w:r>
        <w:rPr>
          <w:rFonts w:ascii="Times New Roman" w:hAnsi="Times New Roman" w:eastAsia="仿宋_GB2312"/>
          <w:color w:val="000000" w:themeColor="text1"/>
          <w:sz w:val="32"/>
          <w:szCs w:val="32"/>
          <w14:textFill>
            <w14:solidFill>
              <w14:schemeClr w14:val="tx1"/>
            </w14:solidFill>
          </w14:textFill>
        </w:rPr>
        <w:t>市场准入、税费、用地</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方面扶持政策，</w:t>
      </w:r>
      <w:r>
        <w:rPr>
          <w:rFonts w:hint="eastAsia" w:ascii="Times New Roman" w:hAnsi="Times New Roman" w:eastAsia="仿宋_GB2312"/>
          <w:color w:val="000000" w:themeColor="text1"/>
          <w:sz w:val="32"/>
          <w:szCs w:val="32"/>
          <w14:textFill>
            <w14:solidFill>
              <w14:schemeClr w14:val="tx1"/>
            </w14:solidFill>
          </w14:textFill>
        </w:rPr>
        <w:t>鼓励</w:t>
      </w:r>
      <w:r>
        <w:rPr>
          <w:rFonts w:ascii="Times New Roman" w:hAnsi="Times New Roman" w:eastAsia="仿宋_GB2312"/>
          <w:color w:val="000000" w:themeColor="text1"/>
          <w:sz w:val="32"/>
          <w:szCs w:val="32"/>
          <w14:textFill>
            <w14:solidFill>
              <w14:schemeClr w14:val="tx1"/>
            </w14:solidFill>
          </w14:textFill>
        </w:rPr>
        <w:t>煤炭、绒纺、装备制造</w:t>
      </w:r>
      <w:r>
        <w:rPr>
          <w:rFonts w:hint="eastAsia" w:ascii="Times New Roman" w:hAnsi="Times New Roman" w:eastAsia="仿宋_GB2312"/>
          <w:color w:val="000000" w:themeColor="text1"/>
          <w:sz w:val="32"/>
          <w:szCs w:val="32"/>
          <w14:textFill>
            <w14:solidFill>
              <w14:schemeClr w14:val="tx1"/>
            </w14:solidFill>
          </w14:textFill>
        </w:rPr>
        <w:t>等工业企业</w:t>
      </w:r>
      <w:r>
        <w:rPr>
          <w:rFonts w:ascii="Times New Roman" w:hAnsi="Times New Roman" w:eastAsia="仿宋_GB2312"/>
          <w:color w:val="000000" w:themeColor="text1"/>
          <w:sz w:val="32"/>
          <w:szCs w:val="32"/>
          <w14:textFill>
            <w14:solidFill>
              <w14:schemeClr w14:val="tx1"/>
            </w14:solidFill>
          </w14:textFill>
        </w:rPr>
        <w:t>分离发展研发设计、</w:t>
      </w:r>
      <w:r>
        <w:rPr>
          <w:rFonts w:hint="eastAsia" w:ascii="Times New Roman" w:hAnsi="Times New Roman" w:eastAsia="仿宋_GB2312"/>
          <w:color w:val="000000" w:themeColor="text1"/>
          <w:sz w:val="32"/>
          <w:szCs w:val="32"/>
          <w14:textFill>
            <w14:solidFill>
              <w14:schemeClr w14:val="tx1"/>
            </w14:solidFill>
          </w14:textFill>
        </w:rPr>
        <w:t>物流配送、采购分销等</w:t>
      </w:r>
      <w:r>
        <w:rPr>
          <w:rFonts w:ascii="Times New Roman" w:hAnsi="Times New Roman" w:eastAsia="仿宋_GB2312"/>
          <w:color w:val="000000" w:themeColor="text1"/>
          <w:sz w:val="32"/>
          <w:szCs w:val="32"/>
          <w14:textFill>
            <w14:solidFill>
              <w14:schemeClr w14:val="tx1"/>
            </w14:solidFill>
          </w14:textFill>
        </w:rPr>
        <w:t>专业服务，引导开展服务外包。</w:t>
      </w:r>
    </w:p>
    <w:p>
      <w:pPr>
        <w:pStyle w:val="2"/>
        <w:spacing w:line="560" w:lineRule="exact"/>
        <w:ind w:firstLine="630"/>
        <w:rPr>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8" w:name="_Toc2693"/>
      <w:r>
        <w:rPr>
          <w:rFonts w:hint="eastAsia" w:ascii="Times New Roman" w:hAnsi="Times New Roman" w:eastAsia="仿宋_GB2312"/>
          <w:color w:val="000000" w:themeColor="text1"/>
          <w14:textFill>
            <w14:solidFill>
              <w14:schemeClr w14:val="tx1"/>
            </w14:solidFill>
          </w14:textFill>
        </w:rPr>
        <w:t>第二节 强化要素保障</w:t>
      </w:r>
      <w:bookmarkEnd w:id="28"/>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加强人才、土地、资金等资源要素的区域协调配置。一加强人才引进培养。积极推进创业</w:t>
      </w:r>
      <w:r>
        <w:rPr>
          <w:rFonts w:hint="eastAsia" w:ascii="Times New Roman" w:hAnsi="Times New Roman" w:eastAsia="仿宋_GB2312"/>
          <w:color w:val="000000" w:themeColor="text1"/>
          <w:sz w:val="32"/>
          <w:szCs w:val="32"/>
          <w14:textFill>
            <w14:solidFill>
              <w14:schemeClr w14:val="tx1"/>
            </w14:solidFill>
          </w14:textFill>
        </w:rPr>
        <w:t>就业</w:t>
      </w:r>
      <w:r>
        <w:rPr>
          <w:rFonts w:ascii="Times New Roman" w:hAnsi="Times New Roman" w:eastAsia="仿宋_GB2312"/>
          <w:color w:val="000000" w:themeColor="text1"/>
          <w:sz w:val="32"/>
          <w:szCs w:val="32"/>
          <w14:textFill>
            <w14:solidFill>
              <w14:schemeClr w14:val="tx1"/>
            </w14:solidFill>
          </w14:textFill>
        </w:rPr>
        <w:t>计划，营造优质创业环境；建立健全产业人才信息库，积极引进规划、管理、经贸、金融、物流、科技、文化等专业人才；依托职业学院等教育资源，加大人才培养力度。加强土地利用保障。切实保障服务业项目用地需求，对符合土地利用总体规划、城镇建设规划、区产业政策和供地政策的服务业重大项目，优先纳入土地供应年度计划，优先办理农用地转（征）用报批手续，及时安排建设用地指标，并积极争取列入市和自治区重点项目库。加强资金保障。加大财政投入对科技研发、电子商务等领域公共服务平台建设的支持力度，积极开展多渠道融资。</w:t>
      </w:r>
    </w:p>
    <w:p>
      <w:pPr>
        <w:pStyle w:val="5"/>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29" w:name="_Toc10598"/>
      <w:r>
        <w:rPr>
          <w:rFonts w:hint="eastAsia" w:ascii="Times New Roman" w:hAnsi="Times New Roman" w:eastAsia="仿宋_GB2312"/>
          <w:color w:val="000000" w:themeColor="text1"/>
          <w14:textFill>
            <w14:solidFill>
              <w14:schemeClr w14:val="tx1"/>
            </w14:solidFill>
          </w14:textFill>
        </w:rPr>
        <w:t>第三节 加强组织考核</w:t>
      </w:r>
      <w:bookmarkEnd w:id="29"/>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充分发挥东胜区加快现代服务业发展领导小组的职能作用，推进财政、</w:t>
      </w:r>
      <w:r>
        <w:rPr>
          <w:rFonts w:hint="eastAsia" w:ascii="Times New Roman" w:hAnsi="Times New Roman" w:eastAsia="仿宋_GB2312"/>
          <w:color w:val="000000" w:themeColor="text1"/>
          <w:sz w:val="32"/>
          <w:szCs w:val="32"/>
          <w14:textFill>
            <w14:solidFill>
              <w14:schemeClr w14:val="tx1"/>
            </w14:solidFill>
          </w14:textFill>
        </w:rPr>
        <w:t>自然资源</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住建</w:t>
      </w:r>
      <w:r>
        <w:rPr>
          <w:rFonts w:ascii="Times New Roman" w:hAnsi="Times New Roman" w:eastAsia="仿宋_GB2312"/>
          <w:color w:val="000000" w:themeColor="text1"/>
          <w:sz w:val="32"/>
          <w:szCs w:val="32"/>
          <w14:textFill>
            <w14:solidFill>
              <w14:schemeClr w14:val="tx1"/>
            </w14:solidFill>
          </w14:textFill>
        </w:rPr>
        <w:t>、交通、商务、文旅等相关部门之间加强沟通和协调，形成工作合力。定期召开服务业发展领导小组联席会议，加强服务业工作的宏观指导、综合协调、项目推进等工作，建立服务业工作实绩考核制度，进一步建立完善服务业工作机构，强化人员组成结构。</w:t>
      </w:r>
    </w:p>
    <w:p>
      <w:pPr>
        <w:pStyle w:val="2"/>
        <w:spacing w:line="560" w:lineRule="exact"/>
        <w:rPr>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30" w:name="_Toc30135"/>
      <w:r>
        <w:rPr>
          <w:rFonts w:hint="eastAsia" w:ascii="Times New Roman" w:hAnsi="Times New Roman" w:eastAsia="仿宋_GB2312"/>
          <w:color w:val="000000" w:themeColor="text1"/>
          <w14:textFill>
            <w14:solidFill>
              <w14:schemeClr w14:val="tx1"/>
            </w14:solidFill>
          </w14:textFill>
        </w:rPr>
        <w:t>第四节 创新运营管理模式</w:t>
      </w:r>
      <w:bookmarkEnd w:id="30"/>
    </w:p>
    <w:p>
      <w:pPr>
        <w:spacing w:line="560" w:lineRule="exact"/>
        <w:rPr>
          <w:color w:val="000000" w:themeColor="text1"/>
          <w14:textFill>
            <w14:solidFill>
              <w14:schemeClr w14:val="tx1"/>
            </w14:solidFill>
          </w14:textFill>
        </w:rPr>
      </w:pPr>
    </w:p>
    <w:p>
      <w:pPr>
        <w:spacing w:line="560" w:lineRule="exact"/>
        <w:ind w:firstLine="63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积极探索整体开发、专业托管、连锁运营等运营模式，提升服务业发展水平。推进重点载体整体开发。积极引入知名集团公司，探索实施服务业功能区块整体开发运营模式，实现土地集约、设施完善、业态复合的综合叠加效用。针对特色平台实施专业托管。重点结合科技信息、电子商务等平台建设，实施专业化托管，带动行业整体服务水平提高；</w:t>
      </w:r>
      <w:r>
        <w:rPr>
          <w:rFonts w:hint="eastAsia" w:ascii="Times New Roman" w:hAnsi="Times New Roman" w:eastAsia="仿宋_GB2312"/>
          <w:color w:val="000000" w:themeColor="text1"/>
          <w:sz w:val="32"/>
          <w:szCs w:val="32"/>
          <w14:textFill>
            <w14:solidFill>
              <w14:schemeClr w14:val="tx1"/>
            </w14:solidFill>
          </w14:textFill>
        </w:rPr>
        <w:t>引导商贸、文旅</w:t>
      </w:r>
      <w:r>
        <w:rPr>
          <w:rFonts w:ascii="Times New Roman" w:hAnsi="Times New Roman" w:eastAsia="仿宋_GB2312"/>
          <w:color w:val="000000" w:themeColor="text1"/>
          <w:sz w:val="32"/>
          <w:szCs w:val="32"/>
          <w14:textFill>
            <w14:solidFill>
              <w14:schemeClr w14:val="tx1"/>
            </w14:solidFill>
          </w14:textFill>
        </w:rPr>
        <w:t>、物流等</w:t>
      </w:r>
      <w:r>
        <w:rPr>
          <w:rFonts w:hint="eastAsia" w:ascii="Times New Roman" w:hAnsi="Times New Roman" w:eastAsia="仿宋_GB2312"/>
          <w:color w:val="000000" w:themeColor="text1"/>
          <w:sz w:val="32"/>
          <w:szCs w:val="32"/>
          <w14:textFill>
            <w14:solidFill>
              <w14:schemeClr w14:val="tx1"/>
            </w14:solidFill>
          </w14:textFill>
        </w:rPr>
        <w:t>行业的骨干企业积极推行</w:t>
      </w:r>
      <w:r>
        <w:rPr>
          <w:rFonts w:ascii="Times New Roman" w:hAnsi="Times New Roman" w:eastAsia="仿宋_GB2312"/>
          <w:color w:val="000000" w:themeColor="text1"/>
          <w:sz w:val="32"/>
          <w:szCs w:val="32"/>
          <w14:textFill>
            <w14:solidFill>
              <w14:schemeClr w14:val="tx1"/>
            </w14:solidFill>
          </w14:textFill>
        </w:rPr>
        <w:t>连锁运营、合作联盟等方式，不断提高市场占有率。</w:t>
      </w:r>
    </w:p>
    <w:p>
      <w:pPr>
        <w:pStyle w:val="5"/>
        <w:spacing w:before="0" w:after="0" w:line="560" w:lineRule="exact"/>
        <w:rPr>
          <w:rFonts w:ascii="Times New Roman" w:hAnsi="Times New Roman" w:eastAsia="仿宋_GB2312"/>
          <w:color w:val="000000" w:themeColor="text1"/>
          <w14:textFill>
            <w14:solidFill>
              <w14:schemeClr w14:val="tx1"/>
            </w14:solidFill>
          </w14:textFill>
        </w:rPr>
      </w:pPr>
    </w:p>
    <w:p>
      <w:pPr>
        <w:pStyle w:val="4"/>
        <w:spacing w:before="0" w:after="0" w:line="560" w:lineRule="exact"/>
        <w:jc w:val="center"/>
        <w:rPr>
          <w:rFonts w:ascii="Times New Roman" w:hAnsi="Times New Roman" w:eastAsia="仿宋_GB2312"/>
          <w:color w:val="000000" w:themeColor="text1"/>
          <w14:textFill>
            <w14:solidFill>
              <w14:schemeClr w14:val="tx1"/>
            </w14:solidFill>
          </w14:textFill>
        </w:rPr>
      </w:pPr>
      <w:bookmarkStart w:id="31" w:name="_Toc18714"/>
      <w:r>
        <w:rPr>
          <w:rFonts w:hint="eastAsia" w:ascii="Times New Roman" w:hAnsi="Times New Roman" w:eastAsia="仿宋_GB2312"/>
          <w:color w:val="000000" w:themeColor="text1"/>
          <w14:textFill>
            <w14:solidFill>
              <w14:schemeClr w14:val="tx1"/>
            </w14:solidFill>
          </w14:textFill>
        </w:rPr>
        <w:t>第五节 健全统计体系</w:t>
      </w:r>
      <w:bookmarkEnd w:id="31"/>
    </w:p>
    <w:p>
      <w:pPr>
        <w:spacing w:line="560" w:lineRule="exact"/>
        <w:rPr>
          <w:color w:val="000000" w:themeColor="text1"/>
          <w14:textFill>
            <w14:solidFill>
              <w14:schemeClr w14:val="tx1"/>
            </w14:solidFill>
          </w14:textFill>
        </w:rPr>
      </w:pPr>
    </w:p>
    <w:p>
      <w:pPr>
        <w:spacing w:line="560" w:lineRule="exact"/>
        <w:ind w:firstLine="640" w:firstLineChars="200"/>
        <w:rPr>
          <w:rFonts w:ascii="Times New Roman" w:hAnsi="Times New Roman"/>
          <w:snapToGrid w:val="0"/>
          <w:color w:val="000000" w:themeColor="text1"/>
          <w:w w:val="0"/>
          <w:kern w:val="0"/>
          <w:sz w:val="16"/>
          <w:szCs w:val="16"/>
          <w:u w:color="000000"/>
          <w:shd w:val="clear" w:color="000000" w:fill="000000"/>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按照“科学分类、规范统计、健全考核”要求，有效开展服务业统计督查工作，切实提高服务业统计数据质量。按照以</w:t>
      </w:r>
      <w:r>
        <w:rPr>
          <w:rFonts w:hint="eastAsia" w:ascii="Times New Roman" w:hAnsi="Times New Roman" w:eastAsia="仿宋_GB2312"/>
          <w:color w:val="000000" w:themeColor="text1"/>
          <w:sz w:val="32"/>
          <w:szCs w:val="32"/>
          <w14:textFill>
            <w14:solidFill>
              <w14:schemeClr w14:val="tx1"/>
            </w14:solidFill>
          </w14:textFill>
        </w:rPr>
        <w:t>生产性服务业、生活性</w:t>
      </w:r>
      <w:r>
        <w:rPr>
          <w:rFonts w:ascii="Times New Roman" w:hAnsi="Times New Roman" w:eastAsia="仿宋_GB2312"/>
          <w:color w:val="000000" w:themeColor="text1"/>
          <w:sz w:val="32"/>
          <w:szCs w:val="32"/>
          <w14:textFill>
            <w14:solidFill>
              <w14:schemeClr w14:val="tx1"/>
            </w14:solidFill>
          </w14:textFill>
        </w:rPr>
        <w:t>服务业</w:t>
      </w:r>
      <w:r>
        <w:rPr>
          <w:rFonts w:hint="eastAsia" w:ascii="Times New Roman" w:hAnsi="Times New Roman" w:eastAsia="仿宋_GB2312"/>
          <w:color w:val="000000" w:themeColor="text1"/>
          <w:sz w:val="32"/>
          <w:szCs w:val="32"/>
          <w14:textFill>
            <w14:solidFill>
              <w14:schemeClr w14:val="tx1"/>
            </w14:solidFill>
          </w14:textFill>
        </w:rPr>
        <w:t>和公共服务业</w:t>
      </w:r>
      <w:r>
        <w:rPr>
          <w:rFonts w:ascii="Times New Roman" w:hAnsi="Times New Roman" w:eastAsia="仿宋_GB2312"/>
          <w:color w:val="000000" w:themeColor="text1"/>
          <w:sz w:val="32"/>
          <w:szCs w:val="32"/>
          <w14:textFill>
            <w14:solidFill>
              <w14:schemeClr w14:val="tx1"/>
            </w14:solidFill>
          </w14:textFill>
        </w:rPr>
        <w:t>行业体系发展要求，配套完善服务业统计制度。探索设置“统一领导、综合协调、分工负责、上下互动”的推进机制，建立各部门服务业发展通报制度。</w:t>
      </w:r>
    </w:p>
    <w:p>
      <w:pPr>
        <w:spacing w:line="560" w:lineRule="exact"/>
        <w:rPr>
          <w:rFonts w:ascii="Times New Roman" w:hAnsi="Times New Roman"/>
          <w:snapToGrid w:val="0"/>
          <w:color w:val="000000" w:themeColor="text1"/>
          <w:w w:val="0"/>
          <w:kern w:val="0"/>
          <w:sz w:val="16"/>
          <w:szCs w:val="16"/>
          <w:u w:color="000000"/>
          <w:shd w:val="clear" w:color="000000" w:fill="000000"/>
          <w14:textFill>
            <w14:solidFill>
              <w14:schemeClr w14:val="tx1"/>
            </w14:solidFill>
          </w14:textFill>
        </w:rPr>
      </w:pPr>
    </w:p>
    <w:p>
      <w:pPr>
        <w:spacing w:line="560" w:lineRule="exact"/>
        <w:rPr>
          <w:rFonts w:ascii="Times New Roman" w:hAnsi="Times New Roman"/>
          <w:snapToGrid w:val="0"/>
          <w:color w:val="000000" w:themeColor="text1"/>
          <w:w w:val="0"/>
          <w:kern w:val="0"/>
          <w:sz w:val="16"/>
          <w:szCs w:val="16"/>
          <w:u w:color="000000"/>
          <w:shd w:val="clear" w:color="000000" w:fill="000000"/>
          <w14:textFill>
            <w14:solidFill>
              <w14:schemeClr w14:val="tx1"/>
            </w14:solidFill>
          </w14:textFill>
        </w:rPr>
      </w:pPr>
    </w:p>
    <w:p>
      <w:pPr>
        <w:spacing w:line="560" w:lineRule="exact"/>
        <w:rPr>
          <w:rFonts w:ascii="Times New Roman" w:hAnsi="Times New Roman"/>
          <w:snapToGrid w:val="0"/>
          <w:color w:val="000000" w:themeColor="text1"/>
          <w:w w:val="0"/>
          <w:kern w:val="0"/>
          <w:sz w:val="16"/>
          <w:szCs w:val="16"/>
          <w:u w:color="000000"/>
          <w:shd w:val="clear" w:color="000000" w:fill="000000"/>
          <w14:textFill>
            <w14:solidFill>
              <w14:schemeClr w14:val="tx1"/>
            </w14:solidFill>
          </w14:textFill>
        </w:rPr>
      </w:pPr>
    </w:p>
    <w:sectPr>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40</w:t>
    </w:r>
    <w:r>
      <w:rPr>
        <w:rFonts w:ascii="Times New Roman" w:hAnsi="Times New Roman"/>
        <w:sz w:val="24"/>
        <w:szCs w:val="24"/>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0E8F8"/>
    <w:multiLevelType w:val="singleLevel"/>
    <w:tmpl w:val="3740E8F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jEyYjJiYjI2ZTcyYjg0M2FiMTIyYjFhNzVmOTMifQ=="/>
  </w:docVars>
  <w:rsids>
    <w:rsidRoot w:val="0061770A"/>
    <w:rsid w:val="00153702"/>
    <w:rsid w:val="00202727"/>
    <w:rsid w:val="002222F2"/>
    <w:rsid w:val="004D3F42"/>
    <w:rsid w:val="005005FF"/>
    <w:rsid w:val="005F1086"/>
    <w:rsid w:val="0061770A"/>
    <w:rsid w:val="006601CF"/>
    <w:rsid w:val="006A2540"/>
    <w:rsid w:val="007106B3"/>
    <w:rsid w:val="0078132A"/>
    <w:rsid w:val="008E56E9"/>
    <w:rsid w:val="009D3626"/>
    <w:rsid w:val="00A41435"/>
    <w:rsid w:val="00AC0C1B"/>
    <w:rsid w:val="00AF3BBD"/>
    <w:rsid w:val="00BF6D48"/>
    <w:rsid w:val="00C01D1C"/>
    <w:rsid w:val="00C0753A"/>
    <w:rsid w:val="00E8654F"/>
    <w:rsid w:val="02781AC2"/>
    <w:rsid w:val="11372175"/>
    <w:rsid w:val="14175C4A"/>
    <w:rsid w:val="215317A0"/>
    <w:rsid w:val="28D15931"/>
    <w:rsid w:val="29FF5FC6"/>
    <w:rsid w:val="2A927A22"/>
    <w:rsid w:val="2C8C5EE8"/>
    <w:rsid w:val="2F4959DD"/>
    <w:rsid w:val="33244657"/>
    <w:rsid w:val="3E7F2AE0"/>
    <w:rsid w:val="4CBC5715"/>
    <w:rsid w:val="52333E1B"/>
    <w:rsid w:val="69D5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qFormat="1" w:unhideWhenUsed="0" w:uiPriority="99"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6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qFormat/>
    <w:uiPriority w:val="99"/>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1"/>
    <w:link w:val="72"/>
    <w:semiHidden/>
    <w:qFormat/>
    <w:uiPriority w:val="99"/>
    <w:pPr>
      <w:snapToGrid w:val="0"/>
      <w:jc w:val="left"/>
    </w:pPr>
    <w:rPr>
      <w:sz w:val="18"/>
      <w:szCs w:val="18"/>
    </w:rPr>
  </w:style>
  <w:style w:type="paragraph" w:styleId="7">
    <w:name w:val="Document Map"/>
    <w:basedOn w:val="1"/>
    <w:link w:val="68"/>
    <w:semiHidden/>
    <w:qFormat/>
    <w:uiPriority w:val="99"/>
    <w:rPr>
      <w:rFonts w:ascii="宋体"/>
      <w:sz w:val="18"/>
      <w:szCs w:val="18"/>
    </w:rPr>
  </w:style>
  <w:style w:type="paragraph" w:styleId="8">
    <w:name w:val="Body Text Indent"/>
    <w:basedOn w:val="1"/>
    <w:qFormat/>
    <w:uiPriority w:val="0"/>
    <w:pPr>
      <w:spacing w:after="120"/>
      <w:ind w:left="420" w:leftChars="200"/>
    </w:pPr>
  </w:style>
  <w:style w:type="paragraph" w:styleId="9">
    <w:name w:val="Balloon Text"/>
    <w:basedOn w:val="1"/>
    <w:link w:val="69"/>
    <w:semiHidden/>
    <w:qFormat/>
    <w:uiPriority w:val="99"/>
    <w:rPr>
      <w:sz w:val="18"/>
      <w:szCs w:val="18"/>
    </w:rPr>
  </w:style>
  <w:style w:type="paragraph" w:styleId="10">
    <w:name w:val="footer"/>
    <w:basedOn w:val="1"/>
    <w:link w:val="67"/>
    <w:qFormat/>
    <w:uiPriority w:val="99"/>
    <w:pPr>
      <w:tabs>
        <w:tab w:val="center" w:pos="4153"/>
        <w:tab w:val="right" w:pos="8306"/>
      </w:tabs>
      <w:snapToGrid w:val="0"/>
      <w:jc w:val="left"/>
    </w:pPr>
    <w:rPr>
      <w:sz w:val="18"/>
      <w:szCs w:val="18"/>
    </w:rPr>
  </w:style>
  <w:style w:type="paragraph" w:styleId="11">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39"/>
    <w:pPr>
      <w:tabs>
        <w:tab w:val="right" w:leader="dot" w:pos="8296"/>
      </w:tabs>
      <w:spacing w:line="216" w:lineRule="auto"/>
    </w:pPr>
    <w:rPr>
      <w:rFonts w:ascii="Times New Roman" w:hAnsi="Times New Roman" w:eastAsia="黑体"/>
      <w:sz w:val="28"/>
      <w:szCs w:val="28"/>
    </w:rPr>
  </w:style>
  <w:style w:type="paragraph" w:styleId="13">
    <w:name w:val="toc 2"/>
    <w:basedOn w:val="1"/>
    <w:next w:val="1"/>
    <w:qFormat/>
    <w:locked/>
    <w:uiPriority w:val="39"/>
    <w:pPr>
      <w:ind w:left="420" w:leftChars="200"/>
    </w:pPr>
    <w:rPr>
      <w:rFonts w:eastAsia="仿宋_GB2312"/>
      <w:sz w:val="30"/>
    </w:rPr>
  </w:style>
  <w:style w:type="paragraph" w:styleId="14">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8"/>
    <w:qFormat/>
    <w:locked/>
    <w:uiPriority w:val="0"/>
    <w:pPr>
      <w:spacing w:before="240" w:after="60"/>
      <w:jc w:val="left"/>
      <w:outlineLvl w:val="0"/>
    </w:pPr>
    <w:rPr>
      <w:rFonts w:ascii="等线 Light" w:hAnsi="等线 Light" w:eastAsia="黑体"/>
      <w:bCs/>
      <w:szCs w:val="32"/>
    </w:rPr>
  </w:style>
  <w:style w:type="character" w:styleId="19">
    <w:name w:val="Strong"/>
    <w:qFormat/>
    <w:uiPriority w:val="99"/>
    <w:rPr>
      <w:rFonts w:cs="Times New Roman"/>
      <w:b/>
      <w:bCs/>
    </w:rPr>
  </w:style>
  <w:style w:type="character" w:styleId="20">
    <w:name w:val="page number"/>
    <w:qFormat/>
    <w:uiPriority w:val="99"/>
    <w:rPr>
      <w:rFonts w:cs="Times New Roman"/>
    </w:rPr>
  </w:style>
  <w:style w:type="character" w:styleId="21">
    <w:name w:val="FollowedHyperlink"/>
    <w:semiHidden/>
    <w:unhideWhenUsed/>
    <w:qFormat/>
    <w:uiPriority w:val="99"/>
    <w:rPr>
      <w:color w:val="800080"/>
      <w:u w:val="single"/>
    </w:rPr>
  </w:style>
  <w:style w:type="character" w:styleId="22">
    <w:name w:val="Emphasis"/>
    <w:qFormat/>
    <w:locked/>
    <w:uiPriority w:val="20"/>
    <w:rPr>
      <w:rFonts w:cs="Times New Roman"/>
      <w:color w:val="CC0000"/>
    </w:rPr>
  </w:style>
  <w:style w:type="character" w:styleId="23">
    <w:name w:val="Hyperlink"/>
    <w:qFormat/>
    <w:uiPriority w:val="99"/>
    <w:rPr>
      <w:rFonts w:cs="Times New Roman"/>
      <w:color w:val="0000FF"/>
      <w:u w:val="single"/>
    </w:rPr>
  </w:style>
  <w:style w:type="character" w:styleId="24">
    <w:name w:val="footnote reference"/>
    <w:semiHidden/>
    <w:qFormat/>
    <w:uiPriority w:val="99"/>
    <w:rPr>
      <w:rFonts w:cs="Times New Roman"/>
      <w:vertAlign w:val="superscript"/>
    </w:rPr>
  </w:style>
  <w:style w:type="paragraph" w:customStyle="1" w:styleId="25">
    <w:name w:val="列出段落1"/>
    <w:basedOn w:val="1"/>
    <w:qFormat/>
    <w:uiPriority w:val="99"/>
    <w:pPr>
      <w:ind w:firstLine="420" w:firstLineChars="200"/>
    </w:p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31">
    <w:name w:val="font10"/>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2">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xl65"/>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39">
    <w:name w:val="xl70"/>
    <w:basedOn w:val="1"/>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40">
    <w:name w:val="xl71"/>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41">
    <w:name w:val="xl72"/>
    <w:basedOn w:val="1"/>
    <w:qFormat/>
    <w:uiPriority w:val="0"/>
    <w:pPr>
      <w:widowControl/>
      <w:spacing w:before="100" w:beforeAutospacing="1" w:after="100" w:afterAutospacing="1"/>
      <w:jc w:val="center"/>
    </w:pPr>
    <w:rPr>
      <w:rFonts w:ascii="Times New Roman" w:hAnsi="Times New Roman"/>
      <w:kern w:val="0"/>
      <w:sz w:val="20"/>
      <w:szCs w:val="20"/>
    </w:rPr>
  </w:style>
  <w:style w:type="paragraph" w:customStyle="1" w:styleId="42">
    <w:name w:val="xl73"/>
    <w:basedOn w:val="1"/>
    <w:qFormat/>
    <w:uiPriority w:val="0"/>
    <w:pPr>
      <w:widowControl/>
      <w:spacing w:before="100" w:beforeAutospacing="1" w:after="100" w:afterAutospacing="1"/>
      <w:jc w:val="center"/>
    </w:pPr>
    <w:rPr>
      <w:rFonts w:ascii="Times New Roman" w:hAnsi="Times New Roman"/>
      <w:b/>
      <w:bCs/>
      <w:kern w:val="0"/>
      <w:sz w:val="20"/>
      <w:szCs w:val="20"/>
    </w:rPr>
  </w:style>
  <w:style w:type="paragraph" w:customStyle="1" w:styleId="43">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44">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45">
    <w:name w:val="xl7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4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48">
    <w:name w:val="xl79"/>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49">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50">
    <w:name w:val="xl81"/>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
    <w:name w:val="xl8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8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Char Char Char Char Char Char Char Char Char Char Char Char1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62">
    <w:name w:val="标题 1 Char"/>
    <w:link w:val="3"/>
    <w:qFormat/>
    <w:uiPriority w:val="99"/>
    <w:rPr>
      <w:rFonts w:ascii="Times New Roman" w:hAnsi="Times New Roman" w:eastAsia="宋体" w:cs="Times New Roman"/>
      <w:b/>
      <w:bCs/>
      <w:kern w:val="44"/>
      <w:sz w:val="44"/>
      <w:szCs w:val="44"/>
    </w:rPr>
  </w:style>
  <w:style w:type="character" w:customStyle="1" w:styleId="63">
    <w:name w:val="标题 2 Char"/>
    <w:link w:val="4"/>
    <w:qFormat/>
    <w:uiPriority w:val="99"/>
    <w:rPr>
      <w:rFonts w:ascii="Cambria" w:hAnsi="Cambria" w:eastAsia="宋体" w:cs="Times New Roman"/>
      <w:b/>
      <w:bCs/>
      <w:sz w:val="32"/>
      <w:szCs w:val="32"/>
    </w:rPr>
  </w:style>
  <w:style w:type="character" w:customStyle="1" w:styleId="64">
    <w:name w:val="标题 3 Char"/>
    <w:link w:val="5"/>
    <w:qFormat/>
    <w:uiPriority w:val="99"/>
    <w:rPr>
      <w:rFonts w:ascii="Calibri" w:hAnsi="Calibri" w:eastAsia="宋体" w:cs="Times New Roman"/>
      <w:b/>
      <w:bCs/>
      <w:sz w:val="32"/>
      <w:szCs w:val="32"/>
    </w:rPr>
  </w:style>
  <w:style w:type="character" w:customStyle="1" w:styleId="65">
    <w:name w:val="标题 4 Char"/>
    <w:link w:val="6"/>
    <w:qFormat/>
    <w:uiPriority w:val="99"/>
    <w:rPr>
      <w:rFonts w:ascii="Cambria" w:hAnsi="Cambria" w:eastAsia="宋体" w:cs="Times New Roman"/>
      <w:b/>
      <w:bCs/>
      <w:sz w:val="28"/>
      <w:szCs w:val="28"/>
    </w:rPr>
  </w:style>
  <w:style w:type="character" w:customStyle="1" w:styleId="66">
    <w:name w:val="页眉 Char"/>
    <w:link w:val="11"/>
    <w:qFormat/>
    <w:uiPriority w:val="99"/>
    <w:rPr>
      <w:rFonts w:cs="Times New Roman"/>
      <w:sz w:val="18"/>
      <w:szCs w:val="18"/>
    </w:rPr>
  </w:style>
  <w:style w:type="character" w:customStyle="1" w:styleId="67">
    <w:name w:val="页脚 Char"/>
    <w:link w:val="10"/>
    <w:qFormat/>
    <w:uiPriority w:val="99"/>
    <w:rPr>
      <w:rFonts w:cs="Times New Roman"/>
      <w:sz w:val="18"/>
      <w:szCs w:val="18"/>
    </w:rPr>
  </w:style>
  <w:style w:type="character" w:customStyle="1" w:styleId="68">
    <w:name w:val="文档结构图 Char"/>
    <w:link w:val="7"/>
    <w:qFormat/>
    <w:uiPriority w:val="99"/>
    <w:rPr>
      <w:rFonts w:ascii="宋体" w:hAnsi="Calibri" w:eastAsia="宋体" w:cs="Times New Roman"/>
      <w:sz w:val="18"/>
      <w:szCs w:val="18"/>
    </w:rPr>
  </w:style>
  <w:style w:type="character" w:customStyle="1" w:styleId="69">
    <w:name w:val="批注框文本 Char"/>
    <w:link w:val="9"/>
    <w:qFormat/>
    <w:uiPriority w:val="99"/>
    <w:rPr>
      <w:rFonts w:ascii="Calibri" w:hAnsi="Calibri" w:eastAsia="宋体" w:cs="Times New Roman"/>
      <w:sz w:val="18"/>
      <w:szCs w:val="18"/>
    </w:rPr>
  </w:style>
  <w:style w:type="character" w:customStyle="1" w:styleId="70">
    <w:name w:val="apple-converted-space"/>
    <w:qFormat/>
    <w:uiPriority w:val="99"/>
    <w:rPr>
      <w:rFonts w:cs="Times New Roman"/>
    </w:rPr>
  </w:style>
  <w:style w:type="character" w:customStyle="1" w:styleId="71">
    <w:name w:val="HTML 预设格式 Char"/>
    <w:link w:val="14"/>
    <w:qFormat/>
    <w:uiPriority w:val="99"/>
    <w:rPr>
      <w:rFonts w:ascii="宋体" w:hAnsi="宋体" w:eastAsia="宋体" w:cs="Times New Roman"/>
      <w:kern w:val="0"/>
      <w:sz w:val="20"/>
      <w:szCs w:val="20"/>
    </w:rPr>
  </w:style>
  <w:style w:type="character" w:customStyle="1" w:styleId="72">
    <w:name w:val="脚注文本 Char"/>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2FF0C-F2F4-4923-8D14-23B40A56ECF2}">
  <ds:schemaRefs/>
</ds:datastoreItem>
</file>

<file path=docProps/app.xml><?xml version="1.0" encoding="utf-8"?>
<Properties xmlns="http://schemas.openxmlformats.org/officeDocument/2006/extended-properties" xmlns:vt="http://schemas.openxmlformats.org/officeDocument/2006/docPropsVTypes">
  <Template>Normal</Template>
  <Pages>43</Pages>
  <Words>18713</Words>
  <Characters>19148</Characters>
  <Lines>152</Lines>
  <Paragraphs>42</Paragraphs>
  <TotalTime>0</TotalTime>
  <ScaleCrop>false</ScaleCrop>
  <LinksUpToDate>false</LinksUpToDate>
  <CharactersWithSpaces>19606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2013-12-26T03:20:00Z</dcterms:created>
  <dc:creator>admin</dc:creator>
  <cp:lastModifiedBy>演示人</cp:lastModifiedBy>
  <cp:lastPrinted>2023-05-12T03:16:00Z</cp:lastPrinted>
  <dcterms:modified xsi:type="dcterms:W3CDTF">2024-10-25T07:40:21Z</dcterms:modified>
  <dc:title>鄂尔多斯市东胜区服务业发展规划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DDE4B7C15E5F4C788C8CCBA121B85CE2_13</vt:lpwstr>
  </property>
</Properties>
</file>