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358775</wp:posOffset>
                </wp:positionV>
                <wp:extent cx="5760085" cy="0"/>
                <wp:effectExtent l="0" t="0" r="0" b="0"/>
                <wp:wrapNone/>
                <wp:docPr id="2" name="直线 2"/>
                <wp:cNvGraphicFramePr/>
                <a:graphic xmlns:a="http://schemas.openxmlformats.org/drawingml/2006/main">
                  <a:graphicData uri="http://schemas.microsoft.com/office/word/2010/wordprocessingShape">
                    <wps:wsp>
                      <wps:cNvCnPr/>
                      <wps:spPr>
                        <a:xfrm flipV="1">
                          <a:off x="0" y="0"/>
                          <a:ext cx="5760085" cy="0"/>
                        </a:xfrm>
                        <a:prstGeom prst="line">
                          <a:avLst/>
                        </a:prstGeom>
                        <a:ln w="2794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55pt;margin-top:28.25pt;height:0pt;width:453.55pt;z-index:251660288;mso-width-relative:page;mso-height-relative:page;" filled="f" stroked="t" coordsize="21600,21600" o:gfxdata="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v8sitgAAAAJAQAADwAAAAAAAAABACAAAAAiAAAAZHJzL2Rvd25yZXYueG1sUEsBAhQA&#10;FAAAAAgAh07iQH5KwpryAQAA5gMAAA4AAAAAAAAAAQAgAAAAJwEAAGRycy9lMm9Eb2MueG1sUEsF&#10;BgAAAAAGAAYAWQEAAIsFAAAAAA==&#10;">
                <v:fill on="f" focussize="0,0"/>
                <v:stroke weight="2.2pt" color="#FF0000" joinstyle="round"/>
                <v:imagedata o:title=""/>
                <o:lock v:ext="edit" aspectratio="f"/>
              </v:line>
            </w:pict>
          </mc:Fallback>
        </mc:AlternateContent>
      </w:r>
      <w:r>
        <w:rPr>
          <w:rFonts w:hint="eastAsia" w:ascii="仿宋_GB2312" w:eastAsia="仿宋_GB2312"/>
          <w:sz w:val="32"/>
        </w:rPr>
        <w:t>东政发〔</w:t>
      </w:r>
      <w:r>
        <w:rPr>
          <w:rFonts w:ascii="仿宋_GB2312" w:eastAsia="仿宋_GB2312"/>
          <w:sz w:val="32"/>
        </w:rPr>
        <w:t>20</w:t>
      </w:r>
      <w:r>
        <w:rPr>
          <w:rFonts w:hint="eastAsia" w:ascii="仿宋_GB2312" w:eastAsia="仿宋_GB2312"/>
          <w:sz w:val="32"/>
        </w:rPr>
        <w:t>23</w:t>
      </w:r>
      <w:r>
        <w:rPr>
          <w:rFonts w:ascii="仿宋_GB2312" w:eastAsia="仿宋_GB2312"/>
          <w:sz w:val="32"/>
        </w:rPr>
        <w:t>〕</w:t>
      </w:r>
      <w:r>
        <w:rPr>
          <w:rFonts w:hint="eastAsia" w:ascii="仿宋_GB2312" w:eastAsia="仿宋_GB2312"/>
          <w:sz w:val="32"/>
        </w:rPr>
        <w:t>1</w:t>
      </w:r>
      <w:r>
        <w:rPr>
          <w:rFonts w:hint="eastAsia" w:eastAsia="仿宋_GB2312"/>
          <w:sz w:val="32"/>
        </w:rPr>
        <w:t>号</w:t>
      </w:r>
    </w:p>
    <w:p>
      <w:pPr>
        <w:spacing w:line="600" w:lineRule="exact"/>
        <w:jc w:val="center"/>
      </w:pPr>
    </w:p>
    <w:p>
      <w:pPr>
        <w:spacing w:line="600" w:lineRule="exact"/>
        <w:jc w:val="center"/>
      </w:pPr>
    </w:p>
    <w:p>
      <w:pPr>
        <w:spacing w:line="54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鄂尔多斯市东胜区人民政府关于2023年度</w:t>
      </w:r>
    </w:p>
    <w:p>
      <w:pPr>
        <w:spacing w:line="54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东胜区能源行业安全生产监督检查计划的批复</w:t>
      </w:r>
    </w:p>
    <w:p>
      <w:pPr>
        <w:spacing w:line="540" w:lineRule="exact"/>
        <w:rPr>
          <w:rFonts w:hint="eastAsia" w:ascii="方正小标宋简体" w:hAnsi="方正小标宋简体" w:eastAsia="方正小标宋简体" w:cs="方正小标宋简体"/>
          <w:sz w:val="44"/>
          <w:szCs w:val="44"/>
        </w:r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鄂尔多斯市东胜区能源局：</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你单位《关于2023年度东胜区能源行业安全生产监督检查计划》(东能报〔2022〕182号)收悉。经研究，原则同意该安全生产监督检查计划，请你单位认真组织实施。</w:t>
      </w:r>
    </w:p>
    <w:p>
      <w:pPr>
        <w:spacing w:line="540" w:lineRule="exact"/>
        <w:rPr>
          <w:rFonts w:ascii="Times New Roman" w:hAnsi="Times New Roman" w:eastAsia="宋体" w:cs="Times New Roman"/>
          <w:sz w:val="32"/>
          <w:szCs w:val="24"/>
        </w:r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鄂尔多斯市东胜区人民政府</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w:t>
      </w:r>
    </w:p>
    <w:p>
      <w:pPr>
        <w:adjustRightInd w:val="0"/>
        <w:snapToGrid w:val="0"/>
        <w:spacing w:line="600" w:lineRule="exact"/>
        <w:jc w:val="center"/>
        <w:rPr>
          <w:rFonts w:ascii="方正小标宋_GBK" w:hAnsi="方正小标宋简体" w:eastAsia="方正小标宋_GBK" w:cs="方正小标宋简体"/>
          <w:sz w:val="44"/>
          <w:szCs w:val="44"/>
        </w:rPr>
        <w:sectPr>
          <w:headerReference r:id="rId3" w:type="default"/>
          <w:footerReference r:id="rId4" w:type="default"/>
          <w:footerReference r:id="rId5" w:type="even"/>
          <w:pgSz w:w="11906" w:h="16838"/>
          <w:pgMar w:top="4082" w:right="1474" w:bottom="1985" w:left="1588" w:header="851" w:footer="1191" w:gutter="0"/>
          <w:pgNumType w:fmt="numberInDash"/>
          <w:cols w:space="425" w:num="1"/>
          <w:docGrid w:type="linesAndChars" w:linePitch="312" w:charSpace="0"/>
        </w:sectPr>
      </w:pPr>
    </w:p>
    <w:p>
      <w:pPr>
        <w:adjustRightInd w:val="0"/>
        <w:snapToGrid w:val="0"/>
        <w:spacing w:line="60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2023年度东胜区能源行业安全</w:t>
      </w:r>
    </w:p>
    <w:p>
      <w:pPr>
        <w:adjustRightInd w:val="0"/>
        <w:snapToGrid w:val="0"/>
        <w:spacing w:line="600" w:lineRule="exact"/>
        <w:jc w:val="center"/>
        <w:rPr>
          <w:rFonts w:hint="eastAsia" w:ascii="方正小标宋_GBK" w:hAnsi="黑体" w:eastAsia="方正小标宋_GBK" w:cs="黑体"/>
          <w:sz w:val="44"/>
          <w:szCs w:val="44"/>
        </w:rPr>
      </w:pPr>
      <w:r>
        <w:rPr>
          <w:rFonts w:hint="eastAsia" w:ascii="方正小标宋_GBK" w:hAnsi="方正小标宋简体" w:eastAsia="方正小标宋_GBK" w:cs="方正小标宋简体"/>
          <w:sz w:val="44"/>
          <w:szCs w:val="44"/>
        </w:rPr>
        <w:t>生产监督检查计划</w:t>
      </w:r>
    </w:p>
    <w:p>
      <w:pPr>
        <w:adjustRightInd w:val="0"/>
        <w:snapToGrid w:val="0"/>
        <w:spacing w:line="600" w:lineRule="exact"/>
        <w:rPr>
          <w:rFonts w:hint="eastAsia" w:ascii="黑体" w:hAnsi="黑体" w:eastAsia="黑体" w:cs="黑体"/>
          <w:b/>
          <w:bCs/>
          <w:sz w:val="44"/>
          <w:szCs w:val="44"/>
        </w:rPr>
      </w:pPr>
    </w:p>
    <w:p>
      <w:pPr>
        <w:widowControl/>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rPr>
        <w:t xml:space="preserve">  </w:t>
      </w:r>
      <w:r>
        <w:rPr>
          <w:rFonts w:hint="eastAsia" w:ascii="仿宋_GB2312" w:hAnsi="Times New Roman" w:eastAsia="仿宋_GB2312" w:cs="Times New Roman"/>
          <w:color w:val="000000"/>
          <w:sz w:val="32"/>
          <w:szCs w:val="32"/>
        </w:rPr>
        <w:t>为进一步规范安全生产监管执法行为，认真履行安全生产监督管理职责，提高依法治安水平，根据《中华人民共和国安全生产法》《安全生产年度监督检查计划编制办法》和《煤矿安全监管执法计划编制办法（试行）》及《国家矿山安全监察局综合司关于</w:t>
      </w:r>
      <w:r>
        <w:rPr>
          <w:rFonts w:ascii="仿宋_GB2312" w:hAnsi="Times New Roman" w:eastAsia="仿宋_GB2312" w:cs="Times New Roman"/>
          <w:color w:val="000000"/>
          <w:sz w:val="32"/>
          <w:szCs w:val="32"/>
        </w:rPr>
        <w:t>组织编制</w:t>
      </w:r>
      <w:r>
        <w:rPr>
          <w:rFonts w:hint="eastAsia" w:ascii="仿宋_GB2312" w:hAnsi="Times New Roman" w:eastAsia="仿宋_GB2312" w:cs="Times New Roman"/>
          <w:color w:val="000000"/>
          <w:sz w:val="32"/>
          <w:szCs w:val="32"/>
        </w:rPr>
        <w:t>2023</w:t>
      </w:r>
      <w:r>
        <w:rPr>
          <w:rFonts w:ascii="仿宋_GB2312" w:hAnsi="Times New Roman" w:eastAsia="仿宋_GB2312" w:cs="Times New Roman"/>
          <w:color w:val="000000"/>
          <w:sz w:val="32"/>
          <w:szCs w:val="32"/>
        </w:rPr>
        <w:t>年煤矿安全监管监察执法工作计划的通知</w:t>
      </w:r>
      <w:r>
        <w:rPr>
          <w:rFonts w:hint="eastAsia" w:ascii="仿宋_GB2312" w:hAnsi="Times New Roman" w:eastAsia="仿宋_GB2312" w:cs="Times New Roman"/>
          <w:color w:val="000000"/>
          <w:sz w:val="32"/>
          <w:szCs w:val="32"/>
        </w:rPr>
        <w:t>》等要求，结合东胜区实际，制定本计划。</w:t>
      </w:r>
    </w:p>
    <w:p>
      <w:pPr>
        <w:adjustRightInd w:val="0"/>
        <w:snapToGrid w:val="0"/>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sz w:val="32"/>
          <w:szCs w:val="32"/>
        </w:rPr>
        <w:t xml:space="preserve"> 一、指导思想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Times New Roman" w:eastAsia="仿宋_GB2312" w:cs="Times New Roman"/>
          <w:color w:val="000000"/>
          <w:sz w:val="32"/>
          <w:szCs w:val="32"/>
        </w:rPr>
        <w:t>认真贯彻落实习近平总书记关于安全生产重要论述，牢固树立安全发展理念，强化红线意识，严格规范精准监管执法，持续提升重大风险防控能力，坚决遏制重特大事故，</w:t>
      </w:r>
      <w:r>
        <w:rPr>
          <w:rFonts w:ascii="仿宋_GB2312" w:hAnsi="Times New Roman" w:eastAsia="仿宋_GB2312" w:cs="Times New Roman"/>
          <w:color w:val="000000"/>
          <w:sz w:val="32"/>
          <w:szCs w:val="32"/>
        </w:rPr>
        <w:t>努力减少一般事故，</w:t>
      </w:r>
      <w:r>
        <w:rPr>
          <w:rFonts w:hint="eastAsia" w:ascii="仿宋_GB2312" w:hAnsi="Times New Roman" w:eastAsia="仿宋_GB2312" w:cs="Times New Roman"/>
          <w:color w:val="000000"/>
          <w:sz w:val="32"/>
          <w:szCs w:val="32"/>
        </w:rPr>
        <w:t>保持煤矿和洗（选）煤厂、煤炭集装站安全生产形势稳定，保障电力系统安全稳定运行和电力可靠供应，有效管控油气长输管道高后果区， 推</w:t>
      </w:r>
      <w:r>
        <w:rPr>
          <w:rFonts w:ascii="仿宋_GB2312" w:hAnsi="Times New Roman" w:eastAsia="仿宋_GB2312" w:cs="Times New Roman"/>
          <w:color w:val="000000"/>
          <w:sz w:val="32"/>
          <w:szCs w:val="32"/>
        </w:rPr>
        <w:t>进</w:t>
      </w:r>
      <w:r>
        <w:rPr>
          <w:rFonts w:hint="eastAsia" w:ascii="仿宋_GB2312" w:hAnsi="Times New Roman" w:eastAsia="仿宋_GB2312" w:cs="Times New Roman"/>
          <w:color w:val="000000"/>
          <w:sz w:val="32"/>
          <w:szCs w:val="32"/>
        </w:rPr>
        <w:t>能源行业</w:t>
      </w:r>
      <w:r>
        <w:rPr>
          <w:rFonts w:ascii="仿宋_GB2312" w:hAnsi="Times New Roman" w:eastAsia="仿宋_GB2312" w:cs="Times New Roman"/>
          <w:color w:val="000000"/>
          <w:sz w:val="32"/>
          <w:szCs w:val="32"/>
        </w:rPr>
        <w:t>安全</w:t>
      </w:r>
      <w:r>
        <w:rPr>
          <w:rFonts w:hint="eastAsia" w:ascii="仿宋_GB2312" w:hAnsi="Times New Roman" w:eastAsia="仿宋_GB2312" w:cs="Times New Roman"/>
          <w:color w:val="000000"/>
          <w:sz w:val="32"/>
          <w:szCs w:val="32"/>
        </w:rPr>
        <w:t>生产</w:t>
      </w:r>
      <w:r>
        <w:rPr>
          <w:rFonts w:ascii="仿宋_GB2312" w:hAnsi="Times New Roman" w:eastAsia="仿宋_GB2312" w:cs="Times New Roman"/>
          <w:color w:val="000000"/>
          <w:sz w:val="32"/>
          <w:szCs w:val="32"/>
        </w:rPr>
        <w:t>治理体系和治理能力现代化</w:t>
      </w:r>
      <w:r>
        <w:rPr>
          <w:rFonts w:hint="eastAsia" w:ascii="仿宋_GB2312" w:hAnsi="Times New Roman" w:eastAsia="仿宋_GB2312" w:cs="Times New Roman"/>
          <w:color w:val="000000"/>
          <w:sz w:val="32"/>
          <w:szCs w:val="32"/>
        </w:rPr>
        <w:t>，严格落实安全生产工作十五条硬措施，提升能源行业安全生产监管及安全管理水平。</w:t>
      </w:r>
    </w:p>
    <w:p>
      <w:pPr>
        <w:numPr>
          <w:ilvl w:val="0"/>
          <w:numId w:val="1"/>
        </w:num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目标任务</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通过实施安全生产监督检查计划，加大监督检查工作力度，推动企业严格落实安全生产主体责任，提升安全生产管理水平，严格遵守安全生产法律法规，完善安全生产责任体系，及时排查和整改各类问题隐患，有效预防和减少生产安全事故，实现安全生产形势总体稳定。</w:t>
      </w:r>
    </w:p>
    <w:p>
      <w:pPr>
        <w:numPr>
          <w:ilvl w:val="0"/>
          <w:numId w:val="1"/>
        </w:num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监督检查计划编制基础</w:t>
      </w:r>
    </w:p>
    <w:p>
      <w:pPr>
        <w:adjustRightInd w:val="0"/>
        <w:snapToGrid w:val="0"/>
        <w:spacing w:line="600" w:lineRule="exact"/>
        <w:rPr>
          <w:rFonts w:hint="eastAsia" w:ascii="楷体_GB2312" w:hAnsi="楷体" w:eastAsia="楷体_GB2312" w:cs="仿宋_GB2312"/>
          <w:b/>
          <w:bCs/>
          <w:sz w:val="32"/>
          <w:szCs w:val="32"/>
        </w:rPr>
      </w:pPr>
      <w:r>
        <w:rPr>
          <w:rFonts w:hint="eastAsia" w:ascii="仿宋_GB2312" w:hAnsi="仿宋_GB2312" w:eastAsia="仿宋_GB2312" w:cs="仿宋_GB2312"/>
          <w:b/>
          <w:bCs/>
          <w:sz w:val="32"/>
          <w:szCs w:val="32"/>
        </w:rPr>
        <w:t xml:space="preserve">    </w:t>
      </w:r>
      <w:r>
        <w:rPr>
          <w:rFonts w:hint="eastAsia" w:ascii="楷体_GB2312" w:hAnsi="楷体" w:eastAsia="楷体_GB2312" w:cs="楷体_GB2312"/>
          <w:sz w:val="32"/>
          <w:szCs w:val="32"/>
        </w:rPr>
        <w:t>（一）企业基本情况</w:t>
      </w:r>
    </w:p>
    <w:p>
      <w:pPr>
        <w:spacing w:line="60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东胜区现有煤炭生产经营企业51家，其中井工煤矿10座(核定生产能力7190万吨/年)、露天煤矿19座(核定生产能力5200万吨/年)，申报标准化体系矿井26座（一级10座、二级15座、三级1座）;煤炭经营企业20家（核定（设计）洗选能力2900万吨/年）；煤炭集装站2家（设计发运能力1500万吨/年)。电力企业6家（国电东胜热电、蒙泰热电、北郊热电、北源热电、东胜供电分公司、铁西供电分公司）；油气长输管道企业5家（内蒙古西部天然气管道运行有限责任公司、内蒙古新圣天然气管道有限公司、中石油北京天然气管道有限公司、中石油呼和浩特输油气分公司、内蒙古华屹天然气管道有限公司），油气管道7条（天然气管道5条：新圣天然气苏东准管道、西部天然气长呼管道主/复线、陕京四线管道、大东管道，石油管道2条：中石油呼包鄂成品油管道、长呼原油管道）；新能源企业4家（内蒙古淮能西部生态科技有限公司、内蒙古伊泰新能源开发有限公司、国电内蒙古东胜热电有限公司、鄂尔多斯市国华新能源科技有限公司）。</w:t>
      </w:r>
    </w:p>
    <w:p>
      <w:pPr>
        <w:adjustRightInd w:val="0"/>
        <w:snapToGrid w:val="0"/>
        <w:spacing w:line="600" w:lineRule="exact"/>
        <w:rPr>
          <w:rFonts w:hint="eastAsia" w:ascii="楷体_GB2312" w:hAnsi="仿宋_GB2312" w:eastAsia="楷体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 w:eastAsia="楷体_GB2312" w:cs="楷体_GB2312"/>
          <w:sz w:val="32"/>
          <w:szCs w:val="32"/>
        </w:rPr>
        <w:t>（二）监督检查方式</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监督检查主要分为日常检查、专项检查、标准化检查、双随机抽查、集中执法、巡查盯守等6种检查方式，按照有关规定和工作需要选择检查方式。</w:t>
      </w:r>
    </w:p>
    <w:p>
      <w:pPr>
        <w:adjustRightInd w:val="0"/>
        <w:snapToGrid w:val="0"/>
        <w:spacing w:line="600" w:lineRule="exact"/>
        <w:ind w:firstLine="640" w:firstLineChars="200"/>
        <w:rPr>
          <w:rFonts w:hint="eastAsia" w:ascii="楷体_GB2312" w:hAnsi="楷体" w:eastAsia="楷体_GB2312" w:cs="楷体_GB2312"/>
          <w:sz w:val="32"/>
          <w:szCs w:val="32"/>
        </w:rPr>
      </w:pPr>
      <w:r>
        <w:rPr>
          <w:rFonts w:hint="eastAsia" w:ascii="楷体_GB2312" w:hAnsi="楷体" w:eastAsia="楷体_GB2312" w:cs="楷体_GB2312"/>
          <w:sz w:val="32"/>
          <w:szCs w:val="32"/>
        </w:rPr>
        <w:t>（三）企业分类</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煤矿安监局关于煤矿分类监管监察工作的指导意见》（〔2018〕15号）《内蒙古自治区人民政府办公厅关于进一步落实中央企业煤矿安全监管责任推进煤矿安全生产分级监管有关事宜的通知》（内政办发〔2018〕24号）有关要求，结合企业安全生产标准化动态达标情况，以安全风险管控为主线，根据安全管理、灾害程度、生产布局等因素分将负责监管的企业为A、B、C、D四类。</w:t>
      </w:r>
    </w:p>
    <w:p>
      <w:pPr>
        <w:adjustRightInd w:val="0"/>
        <w:snapToGrid w:val="0"/>
        <w:spacing w:line="600" w:lineRule="exact"/>
        <w:ind w:firstLine="640" w:firstLineChars="200"/>
        <w:rPr>
          <w:rFonts w:hint="eastAsia" w:ascii="楷体_GB2312" w:hAnsi="楷体_GB2312" w:eastAsia="楷体_GB2312" w:cs="楷体_GB2312"/>
          <w:sz w:val="32"/>
          <w:szCs w:val="32"/>
        </w:rPr>
      </w:pPr>
      <w:r>
        <w:rPr>
          <w:rFonts w:hint="eastAsia" w:ascii="楷体_GB2312" w:hAnsi="楷体" w:eastAsia="楷体_GB2312" w:cs="楷体_GB2312"/>
          <w:sz w:val="32"/>
          <w:szCs w:val="32"/>
        </w:rPr>
        <w:t>（四）监督检查周期</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1.日常检查。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常检查分为一般检查和重点检查两种方式。一般检查指对正常生产且安全保障程度较高的A类企业开展日常性监督检查，每季度检查1次;重点检查指对正常生产、新建（技改）且安全保障程度一般和较低的B、C类企业开展日常性监督检查，每季度检查2次；对长期停产停工的D类企业每月巡查盯守。</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2.专项检查。</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深化专项行动，坚持查大系统、控大风险、治大灾害、除大隐患、防大事故，按照东胜区及上级部门专项检查工作安排，开展“一通三防”、顶板、机电管理、提升运输、水害防治、打非治违、安全教育培训等方面专项检查，预计全年开展4次专项检查，将所有负责监管企业全部纳入专项检查范围。</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3.标准化检查。</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煤监局关于印发&lt;煤矿安全生产标准化管理体系考核定级办法（试行）&gt;和&lt;煤矿安全生产标准化管理体系基本要求及评分方法（试行）&gt;的通知》（煤安监行管〔2020〕16号）相关要求，实行分级管理，对正常生产煤矿实施1次全覆盖动态验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4.双随机抽查。</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办公厅关于推广随机抽查规范事中事后监管的通知》（国办发〔2015〕58号）《国家安全监管总局关于印发推进安全生产监督检查随机抽查工作实施方案的通知》（安监总政法〔2015〕108号）相关要求，充分利用内蒙古自治区部门协同监管平台，每季度随机抽查企业不少于6家次。</w: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5.集中执法。</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在“两会”、中秋、国庆、元旦、春节等重大活动和节假日期间开展集中执法行动，确保重点时期安全生产形势稳定。</w:t>
      </w:r>
    </w:p>
    <w:p>
      <w:pPr>
        <w:adjustRightInd w:val="0"/>
        <w:snapToGrid w:val="0"/>
        <w:spacing w:line="560" w:lineRule="exact"/>
        <w:rPr>
          <w:rFonts w:hint="eastAsia" w:ascii="楷体" w:hAnsi="楷体" w:eastAsia="楷体" w:cs="楷体_GB2312"/>
          <w:sz w:val="32"/>
          <w:szCs w:val="32"/>
        </w:rPr>
      </w:pPr>
      <w:r>
        <w:rPr>
          <w:rFonts w:hint="eastAsia" w:ascii="黑体" w:hAnsi="黑体" w:eastAsia="黑体" w:cs="黑体"/>
          <w:sz w:val="32"/>
          <w:szCs w:val="32"/>
        </w:rPr>
        <w:t xml:space="preserve">    四、监管执法力量及执法工作日的确定</w:t>
      </w:r>
    </w:p>
    <w:p>
      <w:pPr>
        <w:adjustRightInd w:val="0"/>
        <w:snapToGrid w:val="0"/>
        <w:spacing w:line="560" w:lineRule="exact"/>
        <w:rPr>
          <w:rFonts w:hint="eastAsia" w:ascii="楷体_GB2312" w:hAnsi="楷体" w:eastAsia="楷体_GB2312" w:cs="楷体_GB2312"/>
          <w:sz w:val="32"/>
          <w:szCs w:val="32"/>
        </w:rPr>
      </w:pPr>
      <w:r>
        <w:rPr>
          <w:rFonts w:hint="eastAsia" w:ascii="黑体" w:hAnsi="黑体" w:eastAsia="黑体" w:cs="黑体"/>
          <w:sz w:val="32"/>
          <w:szCs w:val="32"/>
        </w:rPr>
        <w:t xml:space="preserve">    </w:t>
      </w:r>
      <w:r>
        <w:rPr>
          <w:rFonts w:hint="eastAsia" w:ascii="楷体_GB2312" w:hAnsi="楷体" w:eastAsia="楷体_GB2312" w:cs="楷体_GB2312"/>
          <w:sz w:val="32"/>
          <w:szCs w:val="32"/>
        </w:rPr>
        <w:t>（一）监督检查人员数量</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东胜区能源管理综合行政执法大队共设有7个执法中队，持证执法人员35人，每次参与监督检查的执法人员不少于3人。</w:t>
      </w:r>
    </w:p>
    <w:p>
      <w:pPr>
        <w:adjustRightInd w:val="0"/>
        <w:snapToGrid w:val="0"/>
        <w:spacing w:line="600" w:lineRule="exact"/>
        <w:rPr>
          <w:rFonts w:hint="eastAsia" w:ascii="楷体_GB2312" w:hAnsi="楷体" w:eastAsia="楷体_GB2312" w:cs="楷体_GB2312"/>
          <w:sz w:val="32"/>
          <w:szCs w:val="32"/>
        </w:rPr>
      </w:pPr>
      <w:r>
        <w:rPr>
          <w:rFonts w:hint="eastAsia" w:ascii="楷体" w:hAnsi="楷体" w:eastAsia="楷体" w:cs="楷体_GB2312"/>
          <w:sz w:val="32"/>
          <w:szCs w:val="32"/>
        </w:rPr>
        <w:t xml:space="preserve">    </w:t>
      </w:r>
      <w:r>
        <w:rPr>
          <w:rFonts w:hint="eastAsia" w:ascii="楷体_GB2312" w:hAnsi="楷体" w:eastAsia="楷体_GB2312" w:cs="楷体_GB2312"/>
          <w:sz w:val="32"/>
          <w:szCs w:val="32"/>
        </w:rPr>
        <w:t>（二）总法定工作日的确定（8715个工作日）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国家有关法定工作日的规定和节假日安排，以及纳入监管执法人员的数量等情况，计算总法定工作日数。总法定工作日包括监管执法工作日、非监管执法工作日；总法定工作日数等于国家法定工作日和纳入监管执法人员的人数的乘积。总执法工作日=国家法定工作日（全年天数-全年公休日数-国家法定节假日数）×监管执法人员数量=（365-105-11）×35=8715个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说明：全年总天数365天，双休日105天，元旦、春节、清明、五一、端午、国庆、中秋法定节假日11天，执法人员35人。</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1.监管执法工作日的确定（5697个工作日）。</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监管执法工作日包括对煤炭、电力、油气长输管道、新能源生产经营企业进行安全检查；完成本级人民政府或者上级安全监管部门安排的监管执法工作任务；参与煤炭生产经营企业生产安全事故调查和处理；调查核实安全生产投诉举报；配合开展安全生产宣传教育培训；办理行政复议、行政应诉；煤矿安全生产标准化考核评级动态检查工作；参加上级人民政府及其相关部门组织开展的安全生产督查检查等需要参与配合的执法活动。</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（1）日常检查工作日的确定。</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一般检查工作日（企业个数×次/季度×执法人数）17×1×4×3=204个工作日。</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重点检查工作日（企业个数×次/季度×执法人数）48×2×4×3=1152个工作日。</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巡查盯守工作日（长期停产企业数×次/月×执法人数）5××12×3=180个工作日。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（2）专项检查工作日的确定。</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专项检查工作日（企业个数×次数×检查人数）=68×5×3=1020个工作日。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（3）煤矿安全生产标准化体系动态检查工作日确定（企业个数×次数×执法人数）=26×1×3=78个工作日。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（4）双随机抽查（企业个数×次数/季度×执法人数）=6×4×3=72个工作日。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（5）集中执法工作日（企业个数×次数×执法人数）=68×5×3=1020个工作日。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（6）完成本级人民政府或者上级安全监管部门安排的监管执法工作日（企业个数×次数×执法人数）=68×4×3=816个工作日。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说明：预计本年度区政府或者上级安全监管部门开展安全大检查4次（以实际为准），参与执法检查人员3人。</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（7）组织企业生产安全事故调查和处理工作日（件数×调查工作日×执法人数）=3×10×5=150个工作日。</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（8）调查核实安全生产投诉举报工作日（件数×核查工作日×执法人数）=30×5×3=450个工作日。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（9）办理行政处罚、行政复议、行政应诉工作日（件数×办理工作日×执法人数）=20×8×3=480个工作日。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（10）配合开展安全生产宣传教育培训（次数×筹备开展工作日×执法人数）=5×5×3=75个工作日。 </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2.非监管执法工作日的确定（3018个工作日）。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非监管执法工作日是指机关值班、学习、培训、考核、会议，资料整理归档、统计分析、档案管理等工作和事项，法定年休假、探亲假、婚（丧）假、病假、事假及参加党群活动等总安排所占用的工作日。</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1）机关值班：每人每年约5天，共计5×35人=175工作日。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（2）学习、培训、考核、会议每人每月约3天，3×12月×35人=1680工作日。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（3）病假、事假，每人每年约10天，共计10×35人=350工作日。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（4）法定年休假、婚（丧）假，每人每年约10天，共计10×35人=350工作日。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（5）参加党群活动，每人每年10天，共计10×35人=350工作日。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（6）其他日常工作（执法案卷评比、资料整理归档、统计分析、档案管理等工作和事项）和上级交办的工作，预计需要113个工作日。</w:t>
      </w:r>
    </w:p>
    <w:p>
      <w:pPr>
        <w:numPr>
          <w:ilvl w:val="0"/>
          <w:numId w:val="2"/>
        </w:num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安全生产监督检查内容</w:t>
      </w:r>
    </w:p>
    <w:p>
      <w:pPr>
        <w:adjustRightInd w:val="0"/>
        <w:snapToGrid w:val="0"/>
        <w:spacing w:line="600" w:lineRule="exact"/>
        <w:ind w:firstLine="640" w:firstLineChars="200"/>
        <w:rPr>
          <w:rFonts w:hint="eastAsia" w:ascii="楷体_GB2312" w:hAnsi="楷体" w:eastAsia="楷体_GB2312" w:cs="楷体_GB2312"/>
          <w:sz w:val="32"/>
          <w:szCs w:val="32"/>
        </w:rPr>
      </w:pPr>
      <w:r>
        <w:rPr>
          <w:rFonts w:hint="eastAsia" w:ascii="楷体_GB2312" w:hAnsi="楷体" w:eastAsia="楷体_GB2312" w:cs="楷体_GB2312"/>
          <w:sz w:val="32"/>
          <w:szCs w:val="32"/>
        </w:rPr>
        <w:t>（一）共性检查内容</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1.贯彻执行国家有关安全生产的法律、法规、规章、规程、标准和技术规范等情况；建立全员安全生产责任制及执行情况。</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2.依法设置安全生产与职业病危害防治管理机构和配备安全生产管理人员及装备情况；安全生产管理制度、操作规程、作业规程，安全生产计划和安全技术防范措施制定执行情况。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事故隐患排查治理责任体系，企业主要负责人、领导班子成员进行日常性的监督检查情况，对作业场所、生产系统、设施设备、岗位人员等方面开展隐患排查、治理、记录、上报和督办、验收记录等情况；对于重大事故隐患，企业主要负责人负责组织制定治理方案及按照“责任、措施、资金、时限和预案”五落实原则整改情况；重大危险源登记建档、定期检测、监控评估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三项岗位”接受安全生产教育、培训，取得安全生产知识和管理能力考核合格证及特种作业人员持证上岗情况；其他从业人员未经培训上岗作业的；向从业人员如实告知作业场所和工作岗位存在的危险因素、防范措施以及事故应急措施的情况；建立安全生产教育和培训档案，实现“一人一档、一期一档”，如实记录安全生产教育和培训的时间、内容、参加人员以及考核结果等情况；安全教育培训教育经费的提取实用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5.制定年度安全费提取计划，并按计划使用，建立安全费提取和使用台账，是否为一线工人缴纳安全生产责任险。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立、健全职业卫生档案和劳动者健康监护档案，定期对工作场所进行职业病危害因素检测、评价，告知从业人员作业场所（岗位）职业危害和应急处置等情况；为从业人员提供符合国家标准或者行业标准的劳动防护用品，并监督、教育从业人员按照使用规则正确佩戴和使用的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7.制定、实施生产安全事故应急预案，定期组织应急预案演练及应急救援器材、设备、和物资的配备、维护、保养等情况。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8.安全监测监控系统运行及数据存储情况。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9.规范外委施工队管理，严禁外包工程发生分包、层层转包等现象。</w:t>
      </w:r>
    </w:p>
    <w:p>
      <w:pPr>
        <w:spacing w:line="600" w:lineRule="exact"/>
        <w:ind w:firstLine="640" w:firstLineChars="200"/>
        <w:rPr>
          <w:rFonts w:hint="eastAsia" w:ascii="楷体_GB2312" w:hAnsi="楷体" w:eastAsia="楷体_GB2312" w:cs="宋体"/>
          <w:color w:val="000000"/>
          <w:kern w:val="0"/>
          <w:sz w:val="32"/>
          <w:szCs w:val="32"/>
        </w:rPr>
      </w:pPr>
      <w:r>
        <w:rPr>
          <w:rFonts w:hint="eastAsia" w:ascii="楷体_GB2312" w:hAnsi="楷体" w:eastAsia="楷体_GB2312" w:cs="楷体_GB2312"/>
          <w:sz w:val="32"/>
          <w:szCs w:val="32"/>
        </w:rPr>
        <w:t>（二）</w:t>
      </w:r>
      <w:r>
        <w:rPr>
          <w:rFonts w:hint="eastAsia" w:ascii="楷体_GB2312" w:hAnsi="楷体_GB2312" w:eastAsia="楷体_GB2312" w:cs="楷体_GB2312"/>
          <w:color w:val="000000"/>
          <w:kern w:val="0"/>
          <w:sz w:val="32"/>
          <w:szCs w:val="32"/>
        </w:rPr>
        <w:t>能源企业上级公司</w:t>
      </w:r>
    </w:p>
    <w:p>
      <w:pPr>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1.机构设置和人员配备情况。是否牢固树立安全发展理念，坚守安全红线，强化法治意识；是否设置安全生产管理机构，配齐专职安全生产管理人员，落实对所属企业的安全管理职责。</w:t>
      </w:r>
    </w:p>
    <w:p>
      <w:pPr>
        <w:spacing w:line="560" w:lineRule="exac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2.管理制度和责任制落实情况。是否建立健全以主要负责人为首的安全生产责任制，履行《</w:t>
      </w:r>
      <w:r>
        <w:rPr>
          <w:rFonts w:hint="eastAsia" w:ascii="仿宋_GB2312" w:hAnsi="仿宋" w:eastAsia="仿宋_GB2312" w:cs="仿宋"/>
          <w:color w:val="000000"/>
          <w:sz w:val="32"/>
          <w:szCs w:val="32"/>
          <w:lang w:val="en-US" w:eastAsia="zh-CN"/>
        </w:rPr>
        <w:t>中华人民共和国</w:t>
      </w:r>
      <w:r>
        <w:rPr>
          <w:rFonts w:hint="eastAsia" w:ascii="仿宋_GB2312" w:hAnsi="仿宋" w:eastAsia="仿宋_GB2312" w:cs="仿宋"/>
          <w:color w:val="000000"/>
          <w:sz w:val="32"/>
          <w:szCs w:val="32"/>
        </w:rPr>
        <w:t>安全生产法》规定的职责；是否制定并落实安全生产目标管理、投入、奖惩、技术措施审批、培训、办公会议制度、安全检查制度、安全风险分级管控制度、隐患排查治理制度等，实现对所属企业的有效安全管理和监督检查。</w:t>
      </w:r>
    </w:p>
    <w:p>
      <w:pPr>
        <w:spacing w:line="560" w:lineRule="exac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3.安全生产投入情况。是否保证所属企业的安全投入，足额提取和使用安全费。</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4.生产计划和经营指标制定情况。生产经营决策是否听取安全生产管理机构及安全生产管理人员的意见；是否超能力、超强度、超定员下达生产计划或经营指标。</w:t>
      </w:r>
    </w:p>
    <w:p>
      <w:pPr>
        <w:spacing w:line="560" w:lineRule="exact"/>
        <w:ind w:firstLine="640" w:firstLineChars="200"/>
        <w:rPr>
          <w:rFonts w:hint="eastAsia" w:ascii="Calibri" w:hAnsi="Calibri" w:eastAsia="宋体" w:cs="Times New Roman"/>
          <w:snapToGrid w:val="0"/>
          <w:color w:val="000000"/>
          <w:kern w:val="0"/>
          <w:szCs w:val="24"/>
        </w:rPr>
      </w:pPr>
      <w:r>
        <w:rPr>
          <w:rFonts w:hint="eastAsia" w:ascii="仿宋_GB2312" w:hAnsi="仿宋" w:eastAsia="仿宋_GB2312" w:cs="仿宋"/>
          <w:color w:val="000000"/>
          <w:sz w:val="32"/>
          <w:szCs w:val="32"/>
        </w:rPr>
        <w:t>5.重点时段安全管控情况。是否按照季度变化、节假日、重大事项等时间节点，采取特殊管控措施。是否向所属企业派驻工作组，对承担保供企业，是否落实派驻工作组的要求等。</w:t>
      </w:r>
    </w:p>
    <w:p>
      <w:pPr>
        <w:adjustRightInd w:val="0"/>
        <w:snapToGrid w:val="0"/>
        <w:spacing w:line="560" w:lineRule="exact"/>
        <w:ind w:firstLine="640" w:firstLineChars="200"/>
        <w:rPr>
          <w:rFonts w:hint="eastAsia" w:ascii="楷体_GB2312" w:hAnsi="楷体" w:eastAsia="楷体_GB2312" w:cs="楷体_GB2312"/>
          <w:sz w:val="32"/>
          <w:szCs w:val="32"/>
        </w:rPr>
      </w:pPr>
      <w:r>
        <w:rPr>
          <w:rFonts w:hint="eastAsia" w:ascii="楷体_GB2312" w:hAnsi="楷体" w:eastAsia="楷体_GB2312" w:cs="楷体_GB2312"/>
          <w:sz w:val="32"/>
          <w:szCs w:val="32"/>
        </w:rPr>
        <w:t>（三）煤炭监管方面</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1.正常生产企业依法取得相关证照并按照设计、许可批准的范围组织生产经营情况；新（改、扩）建工程项目安全生产“三同时”审批并按照批准的安全设施设计组织施工等情况。</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2.“五假五超”违法违规行为情况。</w:t>
      </w:r>
      <w:r>
        <w:rPr>
          <w:rFonts w:hint="eastAsia" w:ascii="仿宋_GB2312" w:hAnsi="宋体" w:eastAsia="仿宋_GB2312" w:cs="宋体"/>
          <w:kern w:val="0"/>
          <w:sz w:val="32"/>
          <w:szCs w:val="32"/>
        </w:rPr>
        <w:t>是否存在超能力、超强度、超定员组织生产，上级公司是否向所属煤矿超额下达生产指标的，煤炭赋存条件较好的煤矿是否突击蛮干。是否存在超层越界开采和违法违规开采保安煤柱，是否以假图纸、假密闭等隐瞒作业地点生产。</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w:t>
      </w:r>
      <w:r>
        <w:rPr>
          <w:rFonts w:hint="eastAsia" w:ascii="仿宋_GB2312" w:hAnsi="宋体" w:eastAsia="仿宋_GB2312" w:cs="宋体"/>
          <w:kern w:val="0"/>
          <w:sz w:val="32"/>
          <w:szCs w:val="32"/>
        </w:rPr>
        <w:t>是否采用巷道式采煤等国家明令禁止使用的采煤方法、设备、工艺。</w:t>
      </w:r>
      <w:bookmarkStart w:id="0" w:name="_GoBack"/>
      <w:bookmarkEnd w:id="0"/>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4.安全生产标准化体系建设情况；对上级监管部门标准化抽查提出问题整改情况；安全生产标准化系统使用情况。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5.安全生产责任险投保工作情况。是否为所有从业人员缴纳安全生产责任险。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6.生产经营场所和有关设施、设备上设置安全警示标志情况；对</w:t>
      </w:r>
      <w:r>
        <w:rPr>
          <w:rFonts w:hint="eastAsia" w:ascii="仿宋_GB2312" w:hAnsi="仿宋_GB2312" w:eastAsia="仿宋_GB2312" w:cs="仿宋_GB2312"/>
          <w:spacing w:val="-6"/>
          <w:sz w:val="32"/>
          <w:szCs w:val="32"/>
        </w:rPr>
        <w:t>各种设备、设施定期进行检测检验、维护保养并做好记录等情况。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建立事故隐患排查治理责任体系，对作业场所、生产系统、设施设备、岗位人员等方面开展隐患排查、治理、记录、上报和督办、验收记录等情况；对于重大事故隐患，煤矿企业主要负责人负责组织制定治理方案及按照“责任、措施、资金、时限和预案”五落实原则整改情况；重大危险源登记建档、定期检测、监控评估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煤炭生产经营企业安全生产主体责任落实情况；按照国家、自治区、鄂尔多斯市、东胜区政府开展安全生产大检查（专项检查）贯彻执行情况；企业内部或委托第三方开展安全生产隐患自检自改工作情况；安全生产管理资料统一规范管理存档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sz w:val="32"/>
          <w:szCs w:val="32"/>
        </w:rPr>
        <w:t>9.</w:t>
      </w:r>
      <w:r>
        <w:rPr>
          <w:rFonts w:hint="eastAsia" w:ascii="仿宋_GB2312" w:hAnsi="宋体" w:eastAsia="仿宋_GB2312" w:cs="宋体"/>
          <w:kern w:val="0"/>
          <w:sz w:val="32"/>
          <w:szCs w:val="32"/>
        </w:rPr>
        <w:t xml:space="preserve"> 安全监控系统功能是否完善、运行是否正常，是否存在井下违规放炮、动火，是否存在瓦斯超限作业。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10.企业主要负责人、领导班子成员和副总工程师带班进行日常性的监督检查情况。</w:t>
      </w:r>
    </w:p>
    <w:p>
      <w:pPr>
        <w:adjustRightInd w:val="0"/>
        <w:snapToGrid w:val="0"/>
        <w:spacing w:line="560" w:lineRule="exact"/>
        <w:ind w:firstLine="640" w:firstLineChars="200"/>
        <w:rPr>
          <w:rFonts w:hint="eastAsia" w:ascii="楷体_GB2312" w:hAnsi="楷体" w:eastAsia="楷体_GB2312" w:cs="楷体_GB2312"/>
          <w:sz w:val="32"/>
          <w:szCs w:val="32"/>
        </w:rPr>
      </w:pPr>
      <w:r>
        <w:rPr>
          <w:rFonts w:hint="eastAsia" w:ascii="楷体" w:hAnsi="楷体" w:eastAsia="楷体" w:cs="楷体_GB2312"/>
          <w:sz w:val="32"/>
          <w:szCs w:val="32"/>
        </w:rPr>
        <w:t xml:space="preserve"> </w:t>
      </w:r>
      <w:r>
        <w:rPr>
          <w:rFonts w:hint="eastAsia" w:ascii="楷体_GB2312" w:hAnsi="楷体" w:eastAsia="楷体_GB2312" w:cs="楷体_GB2312"/>
          <w:sz w:val="32"/>
          <w:szCs w:val="32"/>
        </w:rPr>
        <w:t>（四）油气长输管道监管方面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1.建立安全危害因素评价表、环境因素清单、职业健康危害因素风险评价表及重大危险源清单，制定有效控制措施。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2.建立特种设备与可燃气体报警器、防雷、防静电接地、安全阀台账，按规定定期进行校验。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3.制定有各岗位安全操作规程，动火、动土等高风险作业审批制度。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4.加强管线安全管理。划定有油气设施保护范围，并向社会公布。设置有油气设施保护装置和警示标志。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5.对管道损伤及变形、防腐层和绝热层、管道附件和安全装置、管道防护带和覆土、管道标志桩、锚固墩、测试桩、围栅、拉</w:t>
      </w:r>
      <w:r>
        <w:rPr>
          <w:rFonts w:hint="eastAsia" w:ascii="仿宋_GB2312" w:hAnsi="仿宋_GB2312" w:eastAsia="仿宋_GB2312" w:cs="仿宋_GB2312"/>
          <w:spacing w:val="-6"/>
          <w:sz w:val="32"/>
          <w:szCs w:val="32"/>
        </w:rPr>
        <w:t>索、标志牌、电法保护系统等定期检测，建立有完善的检测档案。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6.管道监控与数据采集系统具备信息远传、连锁保护、信息存储和报警等功能。管道沿线设置的里程桩、转角桩等标志桩和警示桩齐全完好。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清管有规程、有方案，清管周期合理；对报废油气管道及时进行彻底清理。高、低压泄压伐保持完好，定期检验。按规定设置管道泄漏检测报警、可燃气体泄漏检测报警、火灾报警系统和检测仪，每年进行一次校验。管道阀门、管线焊接点、压力容器完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场站、泵站安全管理。站场选址和总平面布置与建筑物、铁路、公路等安全保护距离符合规定要求。电动阀门符合防爆要求，限位开关及零部件灵活好用，有编号、无渗漏。转动设备联轴器防护罩完好、设备接地良好。定期对输油气泵润滑、维护保养。生产场所根据场所特点设立安全警示标志。</w:t>
      </w:r>
    </w:p>
    <w:p>
      <w:pPr>
        <w:adjustRightInd w:val="0"/>
        <w:snapToGrid w:val="0"/>
        <w:spacing w:line="600" w:lineRule="exact"/>
        <w:ind w:firstLine="640" w:firstLineChars="200"/>
        <w:rPr>
          <w:rFonts w:hint="eastAsia" w:ascii="楷体_GB2312" w:hAnsi="楷体" w:eastAsia="楷体_GB2312" w:cs="楷体_GB2312"/>
          <w:sz w:val="32"/>
          <w:szCs w:val="32"/>
        </w:rPr>
      </w:pPr>
      <w:r>
        <w:rPr>
          <w:rFonts w:hint="eastAsia" w:ascii="楷体_GB2312" w:hAnsi="楷体" w:eastAsia="楷体_GB2312" w:cs="楷体_GB2312"/>
          <w:sz w:val="32"/>
          <w:szCs w:val="32"/>
        </w:rPr>
        <w:t>（五）电力监管方面</w:t>
      </w:r>
    </w:p>
    <w:p>
      <w:pPr>
        <w:spacing w:line="60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各种规程是否齐全、是否按规定修编典型操作票和现场规程是否正确，是否按规定进行了审查、批准。设备或接线变更后是否及时进行了修改，职工对现场规程和典型操作票是否掌握，是否会在实际工作中运用，并能严格执行。</w:t>
      </w:r>
    </w:p>
    <w:p>
      <w:pPr>
        <w:widowControl/>
        <w:adjustRightInd w:val="0"/>
        <w:snapToGrid w:val="0"/>
        <w:spacing w:line="60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发、变系统运行方式是否合理，变电站、载波站的直流、蓄电池设备有无重大缺陷，是否满足正常、事故情况下保护及自动装置和开关的动作要求，保护装置是否按方案正确投入，低压交直流熔断器的配置是否合理，是否满足配合原则，现场图纸和实际是否相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宋体"/>
          <w:snapToGrid w:val="0"/>
          <w:kern w:val="0"/>
          <w:sz w:val="32"/>
          <w:szCs w:val="32"/>
        </w:rPr>
        <w:t>3.“两票三制”是否认真执行，工作负责人能否在工作中认真履行监护职责，有无失去监督作用参加工作的行为。是否严格执行了工作票的许可、间断、转移和终结制度，是否存在无票作业或擅自扩大工作范围的严重违章现象，安全监督岗是否到位，是否发挥了安全纠察作用。</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仿宋_GB2312" w:eastAsia="仿宋_GB2312" w:cs="仿宋_GB2312"/>
          <w:sz w:val="32"/>
          <w:szCs w:val="32"/>
        </w:rPr>
        <w:t>4.</w:t>
      </w:r>
      <w:r>
        <w:rPr>
          <w:rFonts w:hint="eastAsia" w:ascii="仿宋_GB2312" w:hAnsi="宋体" w:eastAsia="仿宋_GB2312" w:cs="宋体"/>
          <w:snapToGrid w:val="0"/>
          <w:kern w:val="0"/>
          <w:sz w:val="32"/>
          <w:szCs w:val="32"/>
        </w:rPr>
        <w:t xml:space="preserve"> 施工现场、工作现场有无违章指挥、违章作业、违反劳动纪律的现象，反违章制度是否能严格执行，现场监督和反违章纠查有无漏洞，反事故措施是否制定并认真落实，是否体现了“保人身”“保电网”“保设备”的原则。</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仿宋_GB2312" w:eastAsia="仿宋_GB2312" w:cs="仿宋_GB2312"/>
          <w:sz w:val="32"/>
          <w:szCs w:val="32"/>
        </w:rPr>
        <w:t>5.</w:t>
      </w:r>
      <w:r>
        <w:rPr>
          <w:rFonts w:hint="eastAsia" w:ascii="仿宋_GB2312" w:hAnsi="宋体" w:eastAsia="仿宋_GB2312" w:cs="宋体"/>
          <w:snapToGrid w:val="0"/>
          <w:kern w:val="0"/>
          <w:sz w:val="32"/>
          <w:szCs w:val="32"/>
        </w:rPr>
        <w:t>发电车间、变电站的控制盘、保护盘、高低压柜的电缆的孔洞是否密封，生产性房间的门窗有无损坏，防小动物检查制度是否认真执行，防小动物设施是否完好、措施是否到位。</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6.做好设备的安全防护工作，各种生产设备有无影响安全的重大问题，各种管道、构架有无严重腐蚀、渗漏的现象，各种支持瓷瓶有无裂纹、损伤和缺陷，一般缺陷的消除是否进行了计划安排。</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7.按照《防止电力生产重大事故的二十五项重点要求》，是否存在重大事故隐患，继电保护及自动装置有无重大缺陷，主设备有无修试超期，防雷设备健康状况是否良好，避雷针、接地网接地电阻是否合格，避雷针保护范围是否符合规程要求，尤其经过改造或扩建的发、变电设备区是否存在避雷针保护死区，地网及设备接地引线截面是否经过校核和按规定进行了开挖检查，并满足系统短路容量。</w:t>
      </w:r>
    </w:p>
    <w:p>
      <w:pPr>
        <w:spacing w:line="560" w:lineRule="exact"/>
        <w:ind w:firstLine="640" w:firstLineChars="200"/>
        <w:rPr>
          <w:rFonts w:hint="eastAsia" w:ascii="楷体_GB2312" w:hAnsi="宋体" w:eastAsia="楷体_GB2312" w:cs="宋体"/>
          <w:snapToGrid w:val="0"/>
          <w:kern w:val="0"/>
          <w:sz w:val="32"/>
          <w:szCs w:val="32"/>
        </w:rPr>
      </w:pPr>
      <w:r>
        <w:rPr>
          <w:rFonts w:hint="eastAsia" w:ascii="楷体_GB2312" w:hAnsi="楷体" w:eastAsia="楷体_GB2312" w:cs="楷体_GB2312"/>
          <w:sz w:val="32"/>
          <w:szCs w:val="32"/>
        </w:rPr>
        <w:t>（六）新能源监管方面</w:t>
      </w:r>
    </w:p>
    <w:p>
      <w:pPr>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1.设备产品是否符合相关质量要求，是否制定了应对灾害天气方案或预案，人员是否经过专业培训、持证上岗。</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2.检查组件的阴影检查：检查组件排布是否已规避房屋的遮挡；电池板是否有积尘、树叶、鸟粪，及时清理干净；检测电池板的外观，是否有明显破损、变形；每串电池板的连接状况是否良好。</w:t>
      </w:r>
    </w:p>
    <w:p>
      <w:pPr>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3.线缆检查：</w:t>
      </w:r>
      <w:r>
        <w:rPr>
          <w:rFonts w:ascii="仿宋_GB2312" w:hAnsi="宋体" w:eastAsia="仿宋_GB2312" w:cs="宋体"/>
          <w:snapToGrid w:val="0"/>
          <w:kern w:val="0"/>
          <w:sz w:val="32"/>
          <w:szCs w:val="32"/>
        </w:rPr>
        <w:t>直流线缆套</w:t>
      </w:r>
      <w:r>
        <w:rPr>
          <w:rFonts w:hint="eastAsia" w:ascii="仿宋_GB2312" w:hAnsi="宋体" w:eastAsia="仿宋_GB2312" w:cs="宋体"/>
          <w:snapToGrid w:val="0"/>
          <w:kern w:val="0"/>
          <w:sz w:val="32"/>
          <w:szCs w:val="32"/>
        </w:rPr>
        <w:t>是否</w:t>
      </w:r>
      <w:r>
        <w:rPr>
          <w:rFonts w:ascii="仿宋_GB2312" w:hAnsi="宋体" w:eastAsia="仿宋_GB2312" w:cs="宋体"/>
          <w:snapToGrid w:val="0"/>
          <w:kern w:val="0"/>
          <w:sz w:val="32"/>
          <w:szCs w:val="32"/>
        </w:rPr>
        <w:t>暴露在外，布线</w:t>
      </w:r>
      <w:r>
        <w:rPr>
          <w:rFonts w:hint="eastAsia" w:ascii="仿宋_GB2312" w:hAnsi="宋体" w:eastAsia="仿宋_GB2312" w:cs="宋体"/>
          <w:snapToGrid w:val="0"/>
          <w:kern w:val="0"/>
          <w:sz w:val="32"/>
          <w:szCs w:val="32"/>
        </w:rPr>
        <w:t>是否</w:t>
      </w:r>
      <w:r>
        <w:rPr>
          <w:rFonts w:ascii="仿宋_GB2312" w:hAnsi="宋体" w:eastAsia="仿宋_GB2312" w:cs="宋体"/>
          <w:snapToGrid w:val="0"/>
          <w:kern w:val="0"/>
          <w:sz w:val="32"/>
          <w:szCs w:val="32"/>
        </w:rPr>
        <w:t>合理</w:t>
      </w:r>
      <w:r>
        <w:rPr>
          <w:rFonts w:hint="eastAsia" w:ascii="仿宋_GB2312" w:hAnsi="宋体" w:eastAsia="仿宋_GB2312" w:cs="宋体"/>
          <w:snapToGrid w:val="0"/>
          <w:kern w:val="0"/>
          <w:sz w:val="32"/>
          <w:szCs w:val="32"/>
        </w:rPr>
        <w:t>，交流线缆选用是否符合线路载流量和压降的要求；逆变器的直流端子正极里面的接触片是否压接错误，露出太多，逆变器的外观、名牌、面板跟按键是否正常。</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4.</w:t>
      </w:r>
      <w:r>
        <w:rPr>
          <w:rFonts w:ascii="仿宋_GB2312" w:hAnsi="宋体" w:eastAsia="仿宋_GB2312" w:cs="宋体"/>
          <w:snapToGrid w:val="0"/>
          <w:kern w:val="0"/>
          <w:sz w:val="32"/>
          <w:szCs w:val="32"/>
        </w:rPr>
        <w:t>配电柜检查</w:t>
      </w:r>
      <w:r>
        <w:rPr>
          <w:rFonts w:hint="eastAsia" w:ascii="仿宋_GB2312" w:hAnsi="宋体" w:eastAsia="仿宋_GB2312" w:cs="宋体"/>
          <w:snapToGrid w:val="0"/>
          <w:kern w:val="0"/>
          <w:sz w:val="32"/>
          <w:szCs w:val="32"/>
        </w:rPr>
        <w:t>：</w:t>
      </w:r>
      <w:r>
        <w:rPr>
          <w:rFonts w:ascii="仿宋_GB2312" w:hAnsi="宋体" w:eastAsia="仿宋_GB2312" w:cs="宋体"/>
          <w:snapToGrid w:val="0"/>
          <w:kern w:val="0"/>
          <w:sz w:val="32"/>
          <w:szCs w:val="32"/>
        </w:rPr>
        <w:t>配电柜内部的接线</w:t>
      </w:r>
      <w:r>
        <w:rPr>
          <w:rFonts w:hint="eastAsia" w:ascii="仿宋_GB2312" w:hAnsi="宋体" w:eastAsia="仿宋_GB2312" w:cs="宋体"/>
          <w:snapToGrid w:val="0"/>
          <w:kern w:val="0"/>
          <w:sz w:val="32"/>
          <w:szCs w:val="32"/>
        </w:rPr>
        <w:t>是否符合</w:t>
      </w:r>
      <w:r>
        <w:rPr>
          <w:rFonts w:ascii="仿宋_GB2312" w:hAnsi="宋体" w:eastAsia="仿宋_GB2312" w:cs="宋体"/>
          <w:snapToGrid w:val="0"/>
          <w:kern w:val="0"/>
          <w:sz w:val="32"/>
          <w:szCs w:val="32"/>
        </w:rPr>
        <w:t>规范，配电柜里的设备开关规格是否符合要求</w:t>
      </w:r>
      <w:r>
        <w:rPr>
          <w:rFonts w:hint="eastAsia" w:ascii="仿宋_GB2312" w:hAnsi="宋体" w:eastAsia="仿宋_GB2312" w:cs="宋体"/>
          <w:snapToGrid w:val="0"/>
          <w:kern w:val="0"/>
          <w:sz w:val="32"/>
          <w:szCs w:val="32"/>
        </w:rPr>
        <w:t>，</w:t>
      </w:r>
      <w:r>
        <w:rPr>
          <w:rFonts w:ascii="仿宋_GB2312" w:hAnsi="宋体" w:eastAsia="仿宋_GB2312" w:cs="宋体"/>
          <w:snapToGrid w:val="0"/>
          <w:kern w:val="0"/>
          <w:sz w:val="32"/>
          <w:szCs w:val="32"/>
        </w:rPr>
        <w:t>开关分合闸</w:t>
      </w:r>
      <w:r>
        <w:rPr>
          <w:rFonts w:hint="eastAsia" w:ascii="仿宋_GB2312" w:hAnsi="宋体" w:eastAsia="仿宋_GB2312" w:cs="宋体"/>
          <w:snapToGrid w:val="0"/>
          <w:kern w:val="0"/>
          <w:sz w:val="32"/>
          <w:szCs w:val="32"/>
        </w:rPr>
        <w:t>是否</w:t>
      </w:r>
      <w:r>
        <w:rPr>
          <w:rFonts w:ascii="仿宋_GB2312" w:hAnsi="宋体" w:eastAsia="仿宋_GB2312" w:cs="宋体"/>
          <w:snapToGrid w:val="0"/>
          <w:kern w:val="0"/>
          <w:sz w:val="32"/>
          <w:szCs w:val="32"/>
        </w:rPr>
        <w:t>灵活可靠</w:t>
      </w:r>
      <w:r>
        <w:rPr>
          <w:rFonts w:hint="eastAsia" w:ascii="仿宋_GB2312" w:hAnsi="宋体" w:eastAsia="仿宋_GB2312" w:cs="宋体"/>
          <w:snapToGrid w:val="0"/>
          <w:kern w:val="0"/>
          <w:sz w:val="32"/>
          <w:szCs w:val="32"/>
        </w:rPr>
        <w:t>；</w:t>
      </w:r>
      <w:r>
        <w:rPr>
          <w:rFonts w:ascii="仿宋_GB2312" w:hAnsi="宋体" w:eastAsia="仿宋_GB2312" w:cs="宋体"/>
          <w:snapToGrid w:val="0"/>
          <w:kern w:val="0"/>
          <w:sz w:val="32"/>
          <w:szCs w:val="32"/>
        </w:rPr>
        <w:t>防雷浪涌保护器是否失效</w:t>
      </w:r>
      <w:r>
        <w:rPr>
          <w:rFonts w:hint="eastAsia" w:ascii="仿宋_GB2312" w:hAnsi="宋体" w:eastAsia="仿宋_GB2312" w:cs="宋体"/>
          <w:snapToGrid w:val="0"/>
          <w:kern w:val="0"/>
          <w:sz w:val="32"/>
          <w:szCs w:val="32"/>
        </w:rPr>
        <w:t>。</w:t>
      </w:r>
    </w:p>
    <w:p>
      <w:pPr>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5.</w:t>
      </w:r>
      <w:r>
        <w:rPr>
          <w:rFonts w:ascii="仿宋_GB2312" w:hAnsi="宋体" w:eastAsia="仿宋_GB2312" w:cs="宋体"/>
          <w:snapToGrid w:val="0"/>
          <w:kern w:val="0"/>
          <w:sz w:val="32"/>
          <w:szCs w:val="32"/>
        </w:rPr>
        <w:t>光伏系统的接地</w:t>
      </w:r>
      <w:r>
        <w:rPr>
          <w:rFonts w:hint="eastAsia" w:ascii="仿宋_GB2312" w:hAnsi="宋体" w:eastAsia="仿宋_GB2312" w:cs="宋体"/>
          <w:snapToGrid w:val="0"/>
          <w:kern w:val="0"/>
          <w:sz w:val="32"/>
          <w:szCs w:val="32"/>
        </w:rPr>
        <w:t>：</w:t>
      </w:r>
      <w:r>
        <w:rPr>
          <w:rFonts w:ascii="仿宋_GB2312" w:hAnsi="宋体" w:eastAsia="仿宋_GB2312" w:cs="宋体"/>
          <w:snapToGrid w:val="0"/>
          <w:kern w:val="0"/>
          <w:sz w:val="32"/>
          <w:szCs w:val="32"/>
        </w:rPr>
        <w:t>支架（组件）接地、逆变器外壳接地、输出端PE接地、交流侧防雷接地和配电柜接地</w:t>
      </w:r>
      <w:r>
        <w:rPr>
          <w:rFonts w:hint="eastAsia" w:ascii="仿宋_GB2312" w:hAnsi="宋体" w:eastAsia="仿宋_GB2312" w:cs="宋体"/>
          <w:snapToGrid w:val="0"/>
          <w:kern w:val="0"/>
          <w:sz w:val="32"/>
          <w:szCs w:val="32"/>
        </w:rPr>
        <w:t>等的</w:t>
      </w:r>
      <w:r>
        <w:rPr>
          <w:rFonts w:ascii="仿宋_GB2312" w:hAnsi="宋体" w:eastAsia="仿宋_GB2312" w:cs="宋体"/>
          <w:snapToGrid w:val="0"/>
          <w:kern w:val="0"/>
          <w:sz w:val="32"/>
          <w:szCs w:val="32"/>
        </w:rPr>
        <w:t>接地电阻</w:t>
      </w:r>
      <w:r>
        <w:rPr>
          <w:rFonts w:hint="eastAsia" w:ascii="仿宋_GB2312" w:hAnsi="宋体" w:eastAsia="仿宋_GB2312" w:cs="宋体"/>
          <w:snapToGrid w:val="0"/>
          <w:kern w:val="0"/>
          <w:sz w:val="32"/>
          <w:szCs w:val="32"/>
        </w:rPr>
        <w:t>是否符合要求</w:t>
      </w:r>
      <w:r>
        <w:rPr>
          <w:rFonts w:ascii="仿宋_GB2312" w:hAnsi="宋体" w:eastAsia="仿宋_GB2312" w:cs="宋体"/>
          <w:snapToGrid w:val="0"/>
          <w:kern w:val="0"/>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六、监督检查计划实施</w:t>
      </w:r>
    </w:p>
    <w:p>
      <w:pPr>
        <w:spacing w:line="560" w:lineRule="exact"/>
        <w:rPr>
          <w:rFonts w:hint="eastAsia" w:ascii="楷体_GB2312" w:hAnsi="楷体"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sz w:val="32"/>
          <w:szCs w:val="32"/>
        </w:rPr>
        <w:t xml:space="preserve"> </w:t>
      </w:r>
      <w:r>
        <w:rPr>
          <w:rFonts w:hint="eastAsia" w:ascii="楷体_GB2312" w:hAnsi="楷体" w:eastAsia="楷体_GB2312" w:cs="楷体_GB2312"/>
          <w:sz w:val="32"/>
          <w:szCs w:val="32"/>
        </w:rPr>
        <w:t>（一）检查计划安排</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（1）上一年度12月至当年1月份开展能源企业岁末年初期间安全生产；</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（2）2月份开展复工复产和安全培训专项检查；</w:t>
      </w:r>
    </w:p>
    <w:p>
      <w:pPr>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（3）3月份开展“一通三防”专项检查；</w:t>
      </w:r>
    </w:p>
    <w:p>
      <w:pPr>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（4）4月份开展顶板防治专项和“五一”节假日期间安全大检查；</w:t>
      </w:r>
    </w:p>
    <w:p>
      <w:pPr>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（5）5月份开展主体责任落实及上级公司专项检查；</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（6）6月份开展“防汛”专项检查；</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（7）7月份开展机电专项检查；</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（8）8月份开展能源企业外包施工队伍专项检查；</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（9）9月份开展“打非治违”专项整治工作和国庆期间安全生产检查,重点检查能源企业及上级公司主体责任落实情况；</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（10）10月份开展提升运输专项检查；</w:t>
      </w:r>
    </w:p>
    <w:p>
      <w:pPr>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（11）11月份开展应急处置救援情况的监督检查；</w:t>
      </w:r>
    </w:p>
    <w:p>
      <w:pPr>
        <w:numPr>
          <w:ilvl w:val="0"/>
          <w:numId w:val="3"/>
        </w:num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开展岁末年初安全生产集中整治。</w:t>
      </w:r>
    </w:p>
    <w:p>
      <w:pPr>
        <w:spacing w:line="560" w:lineRule="exact"/>
        <w:ind w:firstLine="640" w:firstLineChars="200"/>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开展专项检查或集中整治期间可聘请专家查隐患。</w:t>
      </w:r>
    </w:p>
    <w:p>
      <w:pPr>
        <w:spacing w:line="560" w:lineRule="exact"/>
        <w:ind w:firstLine="640" w:firstLineChars="200"/>
        <w:rPr>
          <w:rFonts w:hint="eastAsia" w:ascii="楷体_GB2312" w:hAnsi="楷体" w:eastAsia="楷体_GB2312" w:cs="仿宋_GB2312"/>
          <w:sz w:val="32"/>
          <w:szCs w:val="32"/>
        </w:rPr>
      </w:pPr>
      <w:r>
        <w:rPr>
          <w:rFonts w:hint="eastAsia" w:ascii="楷体_GB2312" w:hAnsi="楷体" w:eastAsia="楷体_GB2312" w:cs="楷体_GB2312"/>
          <w:sz w:val="32"/>
          <w:szCs w:val="32"/>
        </w:rPr>
        <w:t>（二）编制现场检查方案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年度监督检查计划中拟定的检查内容及检查方式，在上月26日前制定本月度监督检查计划，根据月度监督检查计划有针对性地制定《现场检查方案》，现场检查方案应当明确检查对象名称、检查内容、检查方式、检查日期、检查地点、检查执法人员等相关事项。</w:t>
      </w:r>
    </w:p>
    <w:p>
      <w:pPr>
        <w:spacing w:line="560" w:lineRule="exact"/>
        <w:ind w:firstLine="640" w:firstLineChars="200"/>
        <w:rPr>
          <w:rFonts w:hint="eastAsia" w:ascii="楷体_GB2312" w:hAnsi="楷体" w:eastAsia="楷体_GB2312" w:cs="楷体_GB2312"/>
          <w:sz w:val="32"/>
          <w:szCs w:val="32"/>
        </w:rPr>
      </w:pPr>
      <w:r>
        <w:rPr>
          <w:rFonts w:hint="eastAsia" w:ascii="楷体_GB2312" w:hAnsi="楷体" w:eastAsia="楷体_GB2312" w:cs="楷体_GB2312"/>
          <w:sz w:val="32"/>
          <w:szCs w:val="32"/>
        </w:rPr>
        <w:t>（三）计划实施调整</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年度监督检查计划在实施过程中，因上级新的工作部署，导致检查时间延期或者提前，由各监管中队报执法大队主要负责人签字批准同意后可延期或者提前进行检查。</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年度监督检查计划实施期间，因临时新增全国性或区域性的专项整治活动，应当在每次的现场检查方案中将该专项整治活动同年度监督检查计划的检查安排合并，对计划安排的检查内容和专项整治内容一起检查，不能将专项整治活动替代本月的检查。</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七、工作要求</w:t>
      </w:r>
    </w:p>
    <w:p>
      <w:pPr>
        <w:adjustRightInd w:val="0"/>
        <w:snapToGrid w:val="0"/>
        <w:spacing w:line="560" w:lineRule="exact"/>
        <w:rPr>
          <w:rFonts w:hint="eastAsia" w:ascii="楷体_GB2312" w:hAnsi="楷体" w:eastAsia="楷体_GB2312" w:cs="楷体_GB2312"/>
          <w:sz w:val="32"/>
          <w:szCs w:val="32"/>
        </w:rPr>
      </w:pPr>
      <w:r>
        <w:rPr>
          <w:rFonts w:hint="eastAsia" w:ascii="楷体" w:hAnsi="楷体" w:eastAsia="楷体" w:cs="楷体_GB2312"/>
          <w:sz w:val="32"/>
          <w:szCs w:val="32"/>
        </w:rPr>
        <w:t xml:space="preserve">    </w:t>
      </w:r>
      <w:r>
        <w:rPr>
          <w:rFonts w:hint="eastAsia" w:ascii="楷体_GB2312" w:hAnsi="楷体" w:eastAsia="楷体_GB2312" w:cs="楷体_GB2312"/>
          <w:sz w:val="32"/>
          <w:szCs w:val="32"/>
        </w:rPr>
        <w:t>（一）严格规范执法程序</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执法人员要严格按照行政执法程序规定，规范执法行为，正确使用各类执法文书，对检查中发现的事故隐患应当按照相关规定及时依法处理，不断提高安全生产执法工作水平，树立执法人员良好执法形象。</w:t>
      </w:r>
    </w:p>
    <w:p>
      <w:pPr>
        <w:adjustRightInd w:val="0"/>
        <w:snapToGrid w:val="0"/>
        <w:spacing w:line="560" w:lineRule="exact"/>
        <w:rPr>
          <w:rFonts w:hint="eastAsia" w:ascii="楷体_GB2312" w:hAnsi="仿宋_GB2312" w:eastAsia="楷体_GB2312" w:cs="仿宋_GB2312"/>
          <w:sz w:val="32"/>
          <w:szCs w:val="32"/>
        </w:rPr>
      </w:pPr>
      <w:r>
        <w:rPr>
          <w:rFonts w:hint="eastAsia" w:ascii="楷体" w:hAnsi="楷体" w:eastAsia="楷体" w:cs="楷体_GB2312"/>
          <w:sz w:val="32"/>
          <w:szCs w:val="32"/>
        </w:rPr>
        <w:t xml:space="preserve">    </w:t>
      </w:r>
      <w:r>
        <w:rPr>
          <w:rFonts w:hint="eastAsia" w:ascii="楷体_GB2312" w:hAnsi="楷体" w:eastAsia="楷体_GB2312" w:cs="楷体_GB2312"/>
          <w:sz w:val="32"/>
          <w:szCs w:val="32"/>
        </w:rPr>
        <w:t>（二）采取有力措施，严格隐患整治</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各项检查中排查出的问题和隐患，执法大队要建立台账，督促煤矿企业按照整改措施、责任、资金、时限和预案“五落实”的要求，督促企业整改隐患，并及时进行复查销号。对于煤矿存在的重大隐患，严格执行挂牌督办制度，并按有关规定、程序作出严肃处理。</w:t>
      </w:r>
    </w:p>
    <w:p>
      <w:pPr>
        <w:adjustRightInd w:val="0"/>
        <w:snapToGrid w:val="0"/>
        <w:spacing w:line="560" w:lineRule="exact"/>
        <w:ind w:firstLine="480" w:firstLineChars="150"/>
        <w:rPr>
          <w:rFonts w:hint="eastAsia" w:ascii="楷体_GB2312" w:hAnsi="楷体" w:eastAsia="楷体_GB2312" w:cs="楷体_GB2312"/>
          <w:sz w:val="32"/>
          <w:szCs w:val="32"/>
        </w:rPr>
      </w:pPr>
      <w:r>
        <w:rPr>
          <w:rFonts w:hint="eastAsia" w:ascii="楷体_GB2312" w:hAnsi="楷体" w:eastAsia="楷体_GB2312" w:cs="楷体_GB2312"/>
          <w:sz w:val="32"/>
          <w:szCs w:val="32"/>
        </w:rPr>
        <w:t>（三）加大行政处罚力度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对检查中发现生产经营单位或者有关人员有违反安全生产法律法规的行为，严格按照有关法律法规给予行政处罚。</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附件：1.2023年监督检查煤矿企业名单</w:t>
      </w:r>
    </w:p>
    <w:p>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11"/>
          <w:sz w:val="32"/>
          <w:szCs w:val="32"/>
        </w:rPr>
        <w:t>2023年监督检查煤炭经营企业和煤炭集装站企业名单</w:t>
      </w:r>
    </w:p>
    <w:p>
      <w:pPr>
        <w:adjustRightInd w:val="0"/>
        <w:snapToGrid w:val="0"/>
        <w:spacing w:line="560" w:lineRule="exact"/>
        <w:ind w:firstLine="1600" w:firstLineChars="500"/>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17"/>
          <w:sz w:val="32"/>
          <w:szCs w:val="32"/>
        </w:rPr>
        <w:t>2023年监督检查电力、油气长输管道、新能源企业名单</w:t>
      </w:r>
    </w:p>
    <w:p>
      <w:pPr>
        <w:spacing w:line="600" w:lineRule="exact"/>
        <w:ind w:left="1750" w:leftChars="700" w:hanging="280" w:hangingChars="100"/>
        <w:rPr>
          <w:rFonts w:ascii="仿宋_GB2312" w:eastAsia="仿宋_GB2312"/>
          <w:spacing w:val="-20"/>
          <w:sz w:val="32"/>
          <w:szCs w:val="32"/>
        </w:rPr>
      </w:pPr>
    </w:p>
    <w:p>
      <w:pPr>
        <w:spacing w:line="600" w:lineRule="exact"/>
        <w:ind w:firstLine="640" w:firstLineChars="200"/>
        <w:jc w:val="left"/>
        <w:rPr>
          <w:rFonts w:hint="eastAsia" w:ascii="仿宋_GB2312" w:eastAsia="仿宋_GB2312"/>
          <w:sz w:val="32"/>
          <w:szCs w:val="32"/>
        </w:rPr>
      </w:pPr>
    </w:p>
    <w:p>
      <w:pPr>
        <w:spacing w:line="600" w:lineRule="exact"/>
        <w:ind w:firstLine="640" w:firstLineChars="200"/>
        <w:jc w:val="left"/>
        <w:rPr>
          <w:rFonts w:hint="eastAsia" w:ascii="仿宋_GB2312" w:eastAsia="仿宋_GB2312"/>
          <w:sz w:val="32"/>
          <w:szCs w:val="32"/>
        </w:rPr>
      </w:pPr>
    </w:p>
    <w:p>
      <w:pPr>
        <w:spacing w:line="600" w:lineRule="exact"/>
        <w:ind w:firstLine="640" w:firstLineChars="200"/>
        <w:jc w:val="left"/>
        <w:rPr>
          <w:rFonts w:hint="eastAsia"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275" w:firstLineChars="98"/>
        <w:rPr>
          <w:rFonts w:ascii="仿宋_GB2312" w:eastAsia="仿宋_GB2312"/>
          <w:sz w:val="28"/>
        </w:rPr>
      </w:pPr>
      <w:r>
        <w:rPr>
          <w:rFonts w:ascii="仿宋_GB2312" w:eastAsia="仿宋_GB2312"/>
          <w:b/>
          <w:bCs/>
          <w:sz w:val="28"/>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5615940" cy="0"/>
                <wp:effectExtent l="0" t="0" r="0" b="0"/>
                <wp:wrapNone/>
                <wp:docPr id="3" name="直线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3pt;height:0pt;width:442.2pt;z-index:251660288;mso-width-relative:page;mso-height-relative:page;" filled="f" stroked="t" coordsize="21600,21600" o:gfxdata="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F6FW7TAAAA&#10;BAEAAA8AAAAAAAAAAQAgAAAAIgAAAGRycy9kb3ducmV2LnhtbFBLAQIUABQAAAAIAIdO4kDA3T06&#10;6QEAANsDAAAOAAAAAAAAAAEAIAAAACIBAABkcnMvZTJvRG9jLnhtbFBLBQYAAAAABgAGAFkBAAB9&#10;BQAAAAA=&#10;">
                <v:fill on="f" focussize="0,0"/>
                <v:stroke color="#000000" joinstyle="round"/>
                <v:imagedata o:title=""/>
                <o:lock v:ext="edit" aspectratio="f"/>
              </v:line>
            </w:pict>
          </mc:Fallback>
        </mc:AlternateContent>
      </w:r>
      <w:r>
        <w:rPr>
          <w:rFonts w:ascii="仿宋_GB2312" w:eastAsia="仿宋_GB2312"/>
          <w:b/>
          <w:bCs/>
          <w:sz w:val="28"/>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418465</wp:posOffset>
                </wp:positionV>
                <wp:extent cx="5615940" cy="0"/>
                <wp:effectExtent l="0" t="0" r="0" b="0"/>
                <wp:wrapNone/>
                <wp:docPr id="1" name="直线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32.95pt;height:0pt;width:442.2pt;z-index:251659264;mso-width-relative:page;mso-height-relative:page;" filled="f" stroked="t" coordsize="21600,21600" o:gfxdata="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IOSEzUAAAA&#10;BgEAAA8AAAAAAAAAAQAgAAAAIgAAAGRycy9kb3ducmV2LnhtbFBLAQIUABQAAAAIAIdO4kCsLunp&#10;6AEAANs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23年1月3日</w:t>
      </w:r>
      <w:r>
        <w:rPr>
          <w:rFonts w:hint="eastAsia" w:ascii="仿宋_GB2312" w:eastAsia="仿宋_GB2312"/>
          <w:sz w:val="28"/>
          <w:szCs w:val="32"/>
        </w:rPr>
        <w:t>印发</w:t>
      </w:r>
    </w:p>
    <w:sectPr>
      <w:pgSz w:w="11906" w:h="16838"/>
      <w:pgMar w:top="2098" w:right="1474" w:bottom="1985" w:left="1588" w:header="851" w:footer="119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270476879"/>
      <w:docPartObj>
        <w:docPartGallery w:val="autotext"/>
      </w:docPartObj>
    </w:sdtPr>
    <w:sdtEndPr>
      <w:rPr>
        <w:rFonts w:ascii="宋体" w:hAnsi="宋体" w:eastAsia="宋体"/>
        <w:sz w:val="28"/>
        <w:szCs w:val="28"/>
      </w:rPr>
    </w:sdtEndPr>
    <w:sdtContent>
      <w:p>
        <w:pPr>
          <w:pStyle w:val="3"/>
          <w:ind w:right="1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80"/>
      <w:jc w:val="right"/>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2 -</w:t>
    </w:r>
    <w:r>
      <w:rPr>
        <w:rFonts w:ascii="宋体" w:hAnsi="宋体"/>
        <w:sz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B9722"/>
    <w:multiLevelType w:val="singleLevel"/>
    <w:tmpl w:val="AE2B9722"/>
    <w:lvl w:ilvl="0" w:tentative="0">
      <w:start w:val="12"/>
      <w:numFmt w:val="decimal"/>
      <w:suff w:val="nothing"/>
      <w:lvlText w:val="（%1）"/>
      <w:lvlJc w:val="left"/>
    </w:lvl>
  </w:abstractNum>
  <w:abstractNum w:abstractNumId="1">
    <w:nsid w:val="5A431670"/>
    <w:multiLevelType w:val="singleLevel"/>
    <w:tmpl w:val="5A431670"/>
    <w:lvl w:ilvl="0" w:tentative="0">
      <w:start w:val="2"/>
      <w:numFmt w:val="chineseCounting"/>
      <w:suff w:val="nothing"/>
      <w:lvlText w:val="%1、"/>
      <w:lvlJc w:val="left"/>
    </w:lvl>
  </w:abstractNum>
  <w:abstractNum w:abstractNumId="2">
    <w:nsid w:val="5A449D35"/>
    <w:multiLevelType w:val="singleLevel"/>
    <w:tmpl w:val="5A449D35"/>
    <w:lvl w:ilvl="0" w:tentative="0">
      <w:start w:val="5"/>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00282D8A"/>
    <w:rsid w:val="00013632"/>
    <w:rsid w:val="00015849"/>
    <w:rsid w:val="000E2E67"/>
    <w:rsid w:val="0013029F"/>
    <w:rsid w:val="00131FE9"/>
    <w:rsid w:val="001841E7"/>
    <w:rsid w:val="001F5C33"/>
    <w:rsid w:val="001F62EC"/>
    <w:rsid w:val="0020439F"/>
    <w:rsid w:val="00282D8A"/>
    <w:rsid w:val="00296906"/>
    <w:rsid w:val="002C7E1D"/>
    <w:rsid w:val="002E361B"/>
    <w:rsid w:val="00304E01"/>
    <w:rsid w:val="0030628F"/>
    <w:rsid w:val="003169DF"/>
    <w:rsid w:val="00382EDD"/>
    <w:rsid w:val="00465F54"/>
    <w:rsid w:val="00490DCF"/>
    <w:rsid w:val="004F50AD"/>
    <w:rsid w:val="00510926"/>
    <w:rsid w:val="00537ADB"/>
    <w:rsid w:val="00546910"/>
    <w:rsid w:val="00572553"/>
    <w:rsid w:val="005971A6"/>
    <w:rsid w:val="005B20D4"/>
    <w:rsid w:val="00616542"/>
    <w:rsid w:val="006B4018"/>
    <w:rsid w:val="006C2F49"/>
    <w:rsid w:val="0077529C"/>
    <w:rsid w:val="00785456"/>
    <w:rsid w:val="007B24FB"/>
    <w:rsid w:val="007B3AC5"/>
    <w:rsid w:val="007B79F8"/>
    <w:rsid w:val="007C3B69"/>
    <w:rsid w:val="007E493F"/>
    <w:rsid w:val="007F1111"/>
    <w:rsid w:val="008C2739"/>
    <w:rsid w:val="00A56382"/>
    <w:rsid w:val="00A678CA"/>
    <w:rsid w:val="00AD3A2A"/>
    <w:rsid w:val="00B439DC"/>
    <w:rsid w:val="00BF665C"/>
    <w:rsid w:val="00C515E0"/>
    <w:rsid w:val="00C727B7"/>
    <w:rsid w:val="00C95FA9"/>
    <w:rsid w:val="00CA464D"/>
    <w:rsid w:val="00CB6436"/>
    <w:rsid w:val="00CC3830"/>
    <w:rsid w:val="00CD319E"/>
    <w:rsid w:val="00CE3CB8"/>
    <w:rsid w:val="00CF79E5"/>
    <w:rsid w:val="00DF6C6F"/>
    <w:rsid w:val="00E87A98"/>
    <w:rsid w:val="00F2303B"/>
    <w:rsid w:val="00F76A4A"/>
    <w:rsid w:val="00F76F14"/>
    <w:rsid w:val="277F7A8C"/>
    <w:rsid w:val="57D74F8F"/>
    <w:rsid w:val="7BDFFBE1"/>
    <w:rsid w:val="FF1F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8045</Words>
  <Characters>8313</Characters>
  <Lines>61</Lines>
  <Paragraphs>17</Paragraphs>
  <TotalTime>20</TotalTime>
  <ScaleCrop>false</ScaleCrop>
  <LinksUpToDate>false</LinksUpToDate>
  <CharactersWithSpaces>8499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2023-01-04T18:11:00Z</dcterms:created>
  <dc:creator>鄂尔多斯市东胜区人民政府</dc:creator>
  <cp:lastModifiedBy>莎莎</cp:lastModifiedBy>
  <dcterms:modified xsi:type="dcterms:W3CDTF">2023-06-30T01:16:20Z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4CD02097DF914945BF280C8A96549A81_13</vt:lpwstr>
  </property>
</Properties>
</file>