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center"/>
      </w:pPr>
      <w:r>
        <mc:AlternateContent>
          <mc:Choice Requires="wps">
            <w:drawing>
              <wp:anchor distT="0" distB="0" distL="114300" distR="114300" simplePos="0" relativeHeight="251660288" behindDoc="0" locked="0" layoutInCell="1" allowOverlap="1">
                <wp:simplePos x="0" y="0"/>
                <wp:positionH relativeFrom="column">
                  <wp:posOffset>-108585</wp:posOffset>
                </wp:positionH>
                <wp:positionV relativeFrom="paragraph">
                  <wp:posOffset>358775</wp:posOffset>
                </wp:positionV>
                <wp:extent cx="5760085" cy="0"/>
                <wp:effectExtent l="0" t="0" r="0" b="0"/>
                <wp:wrapNone/>
                <wp:docPr id="2" name="直线 2"/>
                <wp:cNvGraphicFramePr/>
                <a:graphic xmlns:a="http://schemas.openxmlformats.org/drawingml/2006/main">
                  <a:graphicData uri="http://schemas.microsoft.com/office/word/2010/wordprocessingShape">
                    <wps:wsp>
                      <wps:cNvCnPr/>
                      <wps:spPr>
                        <a:xfrm flipV="1">
                          <a:off x="0" y="0"/>
                          <a:ext cx="5760085" cy="0"/>
                        </a:xfrm>
                        <a:prstGeom prst="line">
                          <a:avLst/>
                        </a:prstGeom>
                        <a:ln w="27940" cap="flat" cmpd="sng">
                          <a:solidFill>
                            <a:srgbClr val="FF0000"/>
                          </a:solidFill>
                          <a:prstDash val="solid"/>
                          <a:headEnd type="none" w="med" len="med"/>
                          <a:tailEnd type="none" w="med" len="med"/>
                        </a:ln>
                      </wps:spPr>
                      <wps:bodyPr upright="1"/>
                    </wps:wsp>
                  </a:graphicData>
                </a:graphic>
              </wp:anchor>
            </w:drawing>
          </mc:Choice>
          <mc:Fallback>
            <w:pict>
              <v:line id="直线 2" o:spid="_x0000_s1026" o:spt="20" style="position:absolute;left:0pt;flip:y;margin-left:-8.55pt;margin-top:28.25pt;height:0pt;width:453.55pt;z-index:251660288;mso-width-relative:page;mso-height-relative:page;" filled="f" stroked="t" coordsize="21600,21600" o:gfxdata="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nv8sitgAAAAJAQAADwAAAAAAAAABACAAAAAiAAAAZHJzL2Rvd25yZXYueG1sUEsBAhQA&#10;FAAAAAgAh07iQH5KwpryAQAA5gMAAA4AAAAAAAAAAQAgAAAAJwEAAGRycy9lMm9Eb2MueG1sUEsF&#10;BgAAAAAGAAYAWQEAAIsFAAAAAA==&#10;">
                <v:fill on="f" focussize="0,0"/>
                <v:stroke weight="2.2pt" color="#FF0000" joinstyle="round"/>
                <v:imagedata o:title=""/>
                <o:lock v:ext="edit" aspectratio="f"/>
              </v:line>
            </w:pict>
          </mc:Fallback>
        </mc:AlternateContent>
      </w:r>
      <w:r>
        <w:rPr>
          <w:rFonts w:hint="eastAsia" w:ascii="仿宋_GB2312" w:eastAsia="仿宋_GB2312"/>
          <w:sz w:val="32"/>
        </w:rPr>
        <w:t>东政发〔</w:t>
      </w:r>
      <w:r>
        <w:rPr>
          <w:rFonts w:ascii="仿宋_GB2312" w:eastAsia="仿宋_GB2312"/>
          <w:sz w:val="32"/>
        </w:rPr>
        <w:t>20</w:t>
      </w:r>
      <w:r>
        <w:rPr>
          <w:rFonts w:hint="eastAsia" w:ascii="仿宋_GB2312" w:eastAsia="仿宋_GB2312"/>
          <w:sz w:val="32"/>
        </w:rPr>
        <w:t>23</w:t>
      </w:r>
      <w:r>
        <w:rPr>
          <w:rFonts w:ascii="仿宋_GB2312" w:eastAsia="仿宋_GB2312"/>
          <w:sz w:val="32"/>
        </w:rPr>
        <w:t>〕</w:t>
      </w:r>
      <w:r>
        <w:rPr>
          <w:rFonts w:hint="eastAsia" w:ascii="仿宋_GB2312" w:eastAsia="仿宋_GB2312"/>
          <w:sz w:val="32"/>
        </w:rPr>
        <w:t>1</w:t>
      </w:r>
      <w:r>
        <w:rPr>
          <w:rFonts w:hint="eastAsia" w:eastAsia="仿宋_GB2312"/>
          <w:sz w:val="32"/>
        </w:rPr>
        <w:t>号</w:t>
      </w:r>
    </w:p>
    <w:p>
      <w:pPr>
        <w:spacing w:line="600" w:lineRule="exact"/>
        <w:jc w:val="center"/>
      </w:pPr>
    </w:p>
    <w:p>
      <w:pPr>
        <w:spacing w:line="600" w:lineRule="exact"/>
        <w:jc w:val="center"/>
      </w:pPr>
    </w:p>
    <w:p>
      <w:pPr>
        <w:spacing w:line="540" w:lineRule="exact"/>
        <w:jc w:val="center"/>
        <w:rPr>
          <w:rFonts w:hint="eastAsia" w:ascii="方正小标宋_GBK" w:hAnsi="方正小标宋简体" w:eastAsia="方正小标宋_GBK" w:cs="方正小标宋简体"/>
          <w:sz w:val="44"/>
          <w:szCs w:val="44"/>
        </w:rPr>
      </w:pPr>
      <w:r>
        <w:rPr>
          <w:rFonts w:hint="eastAsia" w:ascii="方正小标宋_GBK" w:hAnsi="方正小标宋简体" w:eastAsia="方正小标宋_GBK" w:cs="方正小标宋简体"/>
          <w:sz w:val="44"/>
          <w:szCs w:val="44"/>
        </w:rPr>
        <w:t>鄂尔多斯市东胜区人民政府关于2023年度</w:t>
      </w:r>
    </w:p>
    <w:p>
      <w:pPr>
        <w:spacing w:line="540" w:lineRule="exact"/>
        <w:jc w:val="center"/>
        <w:rPr>
          <w:rFonts w:hint="eastAsia" w:ascii="方正小标宋_GBK" w:hAnsi="方正小标宋简体" w:eastAsia="方正小标宋_GBK" w:cs="方正小标宋简体"/>
          <w:sz w:val="44"/>
          <w:szCs w:val="44"/>
        </w:rPr>
      </w:pPr>
      <w:r>
        <w:rPr>
          <w:rFonts w:hint="eastAsia" w:ascii="方正小标宋_GBK" w:hAnsi="方正小标宋简体" w:eastAsia="方正小标宋_GBK" w:cs="方正小标宋简体"/>
          <w:sz w:val="44"/>
          <w:szCs w:val="44"/>
        </w:rPr>
        <w:t>东胜区能源行业安全生产监督检查计划的批复</w:t>
      </w:r>
    </w:p>
    <w:p>
      <w:pPr>
        <w:spacing w:line="540" w:lineRule="exact"/>
        <w:rPr>
          <w:rFonts w:hint="eastAsia" w:ascii="方正小标宋简体" w:hAnsi="方正小标宋简体" w:eastAsia="方正小标宋简体" w:cs="方正小标宋简体"/>
          <w:sz w:val="44"/>
          <w:szCs w:val="44"/>
        </w:rPr>
      </w:pPr>
    </w:p>
    <w:p>
      <w:pPr>
        <w:spacing w:line="54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鄂尔多斯市东胜区能源局：</w:t>
      </w:r>
    </w:p>
    <w:p>
      <w:pPr>
        <w:spacing w:line="54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你单位《关于2023年度东胜区能源行业安全生产监督检查计划》(东能报〔2022〕182号)收悉。经研究，原则同意该安全生产监督检查计划，请你单位认真组织实施。</w:t>
      </w:r>
    </w:p>
    <w:p>
      <w:pPr>
        <w:spacing w:line="540" w:lineRule="exact"/>
        <w:rPr>
          <w:rFonts w:ascii="Times New Roman" w:hAnsi="Times New Roman" w:eastAsia="宋体" w:cs="Times New Roman"/>
          <w:sz w:val="32"/>
          <w:szCs w:val="24"/>
        </w:rPr>
      </w:pPr>
    </w:p>
    <w:p>
      <w:pPr>
        <w:spacing w:line="54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鄂尔多斯市东胜区人民政府</w:t>
      </w:r>
    </w:p>
    <w:p>
      <w:pPr>
        <w:spacing w:line="54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2023年</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日</w:t>
      </w:r>
    </w:p>
    <w:p>
      <w:pPr>
        <w:adjustRightInd w:val="0"/>
        <w:snapToGrid w:val="0"/>
        <w:spacing w:line="600" w:lineRule="exact"/>
        <w:jc w:val="center"/>
        <w:rPr>
          <w:rFonts w:ascii="方正小标宋_GBK" w:hAnsi="方正小标宋简体" w:eastAsia="方正小标宋_GBK" w:cs="方正小标宋简体"/>
          <w:sz w:val="44"/>
          <w:szCs w:val="44"/>
        </w:rPr>
        <w:sectPr>
          <w:headerReference r:id="rId3" w:type="default"/>
          <w:footerReference r:id="rId4" w:type="default"/>
          <w:footerReference r:id="rId5" w:type="even"/>
          <w:pgSz w:w="11906" w:h="16838"/>
          <w:pgMar w:top="4082" w:right="1474" w:bottom="1985" w:left="1588" w:header="851" w:footer="1191" w:gutter="0"/>
          <w:pgNumType w:fmt="numberInDash"/>
          <w:cols w:space="425" w:num="1"/>
          <w:docGrid w:type="linesAndChars" w:linePitch="312" w:charSpace="0"/>
        </w:sectPr>
      </w:pPr>
    </w:p>
    <w:p>
      <w:pPr>
        <w:adjustRightInd w:val="0"/>
        <w:snapToGrid w:val="0"/>
        <w:spacing w:line="600" w:lineRule="exact"/>
        <w:jc w:val="center"/>
        <w:rPr>
          <w:rFonts w:hint="eastAsia" w:ascii="方正小标宋_GBK" w:hAnsi="方正小标宋简体" w:eastAsia="方正小标宋_GBK" w:cs="方正小标宋简体"/>
          <w:sz w:val="44"/>
          <w:szCs w:val="44"/>
        </w:rPr>
      </w:pPr>
      <w:r>
        <w:rPr>
          <w:rFonts w:hint="eastAsia" w:ascii="方正小标宋_GBK" w:hAnsi="方正小标宋简体" w:eastAsia="方正小标宋_GBK" w:cs="方正小标宋简体"/>
          <w:sz w:val="44"/>
          <w:szCs w:val="44"/>
        </w:rPr>
        <w:t>2023年度东胜区能源行业安全</w:t>
      </w:r>
    </w:p>
    <w:p>
      <w:pPr>
        <w:adjustRightInd w:val="0"/>
        <w:snapToGrid w:val="0"/>
        <w:spacing w:line="600" w:lineRule="exact"/>
        <w:jc w:val="center"/>
        <w:rPr>
          <w:rFonts w:hint="eastAsia" w:ascii="方正小标宋_GBK" w:hAnsi="黑体" w:eastAsia="方正小标宋_GBK" w:cs="黑体"/>
          <w:sz w:val="44"/>
          <w:szCs w:val="44"/>
        </w:rPr>
      </w:pPr>
      <w:r>
        <w:rPr>
          <w:rFonts w:hint="eastAsia" w:ascii="方正小标宋_GBK" w:hAnsi="方正小标宋简体" w:eastAsia="方正小标宋_GBK" w:cs="方正小标宋简体"/>
          <w:sz w:val="44"/>
          <w:szCs w:val="44"/>
        </w:rPr>
        <w:t>生产监督检查计划</w:t>
      </w:r>
    </w:p>
    <w:p>
      <w:pPr>
        <w:adjustRightInd w:val="0"/>
        <w:snapToGrid w:val="0"/>
        <w:spacing w:line="600" w:lineRule="exact"/>
        <w:rPr>
          <w:rFonts w:hint="eastAsia" w:ascii="黑体" w:hAnsi="黑体" w:eastAsia="黑体" w:cs="黑体"/>
          <w:b/>
          <w:bCs/>
          <w:sz w:val="44"/>
          <w:szCs w:val="44"/>
        </w:rPr>
      </w:pPr>
    </w:p>
    <w:p>
      <w:pPr>
        <w:widowControl/>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 xml:space="preserve">  </w:t>
      </w:r>
      <w:r>
        <w:rPr>
          <w:rFonts w:hint="eastAsia" w:ascii="仿宋_GB2312" w:hAnsi="仿宋_GB2312" w:eastAsia="仿宋_GB2312" w:cs="仿宋_GB2312"/>
          <w:sz w:val="32"/>
          <w:szCs w:val="32"/>
        </w:rPr>
        <w:t xml:space="preserve">  </w:t>
      </w:r>
      <w:r>
        <w:rPr>
          <w:rFonts w:hint="eastAsia" w:ascii="仿宋_GB2312" w:hAnsi="Times New Roman" w:eastAsia="仿宋_GB2312" w:cs="Times New Roman"/>
          <w:color w:val="000000"/>
          <w:sz w:val="32"/>
          <w:szCs w:val="32"/>
        </w:rPr>
        <w:t>为进一步规范安全生产监管执法行为，认真履行安全生产监督管理职责，提高依法治安水平，根据《中华人民共和国安全生产法》《安全生产年度监督检查计划编制办法》和《煤矿安全监管执法计划编制办法（试行）》及《国家矿山安全监察局综合司关于</w:t>
      </w:r>
      <w:r>
        <w:rPr>
          <w:rFonts w:ascii="仿宋_GB2312" w:hAnsi="Times New Roman" w:eastAsia="仿宋_GB2312" w:cs="Times New Roman"/>
          <w:color w:val="000000"/>
          <w:sz w:val="32"/>
          <w:szCs w:val="32"/>
        </w:rPr>
        <w:t>组织编制</w:t>
      </w:r>
      <w:r>
        <w:rPr>
          <w:rFonts w:hint="eastAsia" w:ascii="仿宋_GB2312" w:hAnsi="Times New Roman" w:eastAsia="仿宋_GB2312" w:cs="Times New Roman"/>
          <w:color w:val="000000"/>
          <w:sz w:val="32"/>
          <w:szCs w:val="32"/>
        </w:rPr>
        <w:t>2023</w:t>
      </w:r>
      <w:r>
        <w:rPr>
          <w:rFonts w:ascii="仿宋_GB2312" w:hAnsi="Times New Roman" w:eastAsia="仿宋_GB2312" w:cs="Times New Roman"/>
          <w:color w:val="000000"/>
          <w:sz w:val="32"/>
          <w:szCs w:val="32"/>
        </w:rPr>
        <w:t>年煤矿安全监管监察执法工作计划的通知</w:t>
      </w:r>
      <w:r>
        <w:rPr>
          <w:rFonts w:hint="eastAsia" w:ascii="仿宋_GB2312" w:hAnsi="Times New Roman" w:eastAsia="仿宋_GB2312" w:cs="Times New Roman"/>
          <w:color w:val="000000"/>
          <w:sz w:val="32"/>
          <w:szCs w:val="32"/>
        </w:rPr>
        <w:t>》等要求，结合东胜区实际，制定本计划。</w:t>
      </w:r>
    </w:p>
    <w:p>
      <w:pPr>
        <w:adjustRightInd w:val="0"/>
        <w:snapToGrid w:val="0"/>
        <w:spacing w:line="600" w:lineRule="exact"/>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   </w:t>
      </w:r>
      <w:r>
        <w:rPr>
          <w:rFonts w:hint="eastAsia" w:ascii="黑体" w:hAnsi="黑体" w:eastAsia="黑体" w:cs="黑体"/>
          <w:sz w:val="32"/>
          <w:szCs w:val="32"/>
        </w:rPr>
        <w:t xml:space="preserve"> 一、指导思想</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Times New Roman" w:eastAsia="仿宋_GB2312" w:cs="Times New Roman"/>
          <w:color w:val="000000"/>
          <w:sz w:val="32"/>
          <w:szCs w:val="32"/>
        </w:rPr>
        <w:t>认真贯彻落实习近平总书记关于安全生产重要论述，牢固树立安全发展理念，强化红线意识，严格规范精准监管执法，持续提升重大风险防控能力，坚决遏制重特大事故，</w:t>
      </w:r>
      <w:r>
        <w:rPr>
          <w:rFonts w:ascii="仿宋_GB2312" w:hAnsi="Times New Roman" w:eastAsia="仿宋_GB2312" w:cs="Times New Roman"/>
          <w:color w:val="000000"/>
          <w:sz w:val="32"/>
          <w:szCs w:val="32"/>
        </w:rPr>
        <w:t>努力减少一般事故，</w:t>
      </w:r>
      <w:r>
        <w:rPr>
          <w:rFonts w:hint="eastAsia" w:ascii="仿宋_GB2312" w:hAnsi="Times New Roman" w:eastAsia="仿宋_GB2312" w:cs="Times New Roman"/>
          <w:color w:val="000000"/>
          <w:sz w:val="32"/>
          <w:szCs w:val="32"/>
        </w:rPr>
        <w:t>保持煤矿和洗（选）煤厂、煤炭集装站安全生产形势稳定，保障电力系统安全稳定运行和电力可靠供应，有效管控油气长输管道高后果区， 推</w:t>
      </w:r>
      <w:r>
        <w:rPr>
          <w:rFonts w:ascii="仿宋_GB2312" w:hAnsi="Times New Roman" w:eastAsia="仿宋_GB2312" w:cs="Times New Roman"/>
          <w:color w:val="000000"/>
          <w:sz w:val="32"/>
          <w:szCs w:val="32"/>
        </w:rPr>
        <w:t>进</w:t>
      </w:r>
      <w:r>
        <w:rPr>
          <w:rFonts w:hint="eastAsia" w:ascii="仿宋_GB2312" w:hAnsi="Times New Roman" w:eastAsia="仿宋_GB2312" w:cs="Times New Roman"/>
          <w:color w:val="000000"/>
          <w:sz w:val="32"/>
          <w:szCs w:val="32"/>
        </w:rPr>
        <w:t>能源行业</w:t>
      </w:r>
      <w:r>
        <w:rPr>
          <w:rFonts w:ascii="仿宋_GB2312" w:hAnsi="Times New Roman" w:eastAsia="仿宋_GB2312" w:cs="Times New Roman"/>
          <w:color w:val="000000"/>
          <w:sz w:val="32"/>
          <w:szCs w:val="32"/>
        </w:rPr>
        <w:t>安全</w:t>
      </w:r>
      <w:r>
        <w:rPr>
          <w:rFonts w:hint="eastAsia" w:ascii="仿宋_GB2312" w:hAnsi="Times New Roman" w:eastAsia="仿宋_GB2312" w:cs="Times New Roman"/>
          <w:color w:val="000000"/>
          <w:sz w:val="32"/>
          <w:szCs w:val="32"/>
        </w:rPr>
        <w:t>生产</w:t>
      </w:r>
      <w:r>
        <w:rPr>
          <w:rFonts w:ascii="仿宋_GB2312" w:hAnsi="Times New Roman" w:eastAsia="仿宋_GB2312" w:cs="Times New Roman"/>
          <w:color w:val="000000"/>
          <w:sz w:val="32"/>
          <w:szCs w:val="32"/>
        </w:rPr>
        <w:t>治理体系和治理能力现代化</w:t>
      </w:r>
      <w:r>
        <w:rPr>
          <w:rFonts w:hint="eastAsia" w:ascii="仿宋_GB2312" w:hAnsi="Times New Roman" w:eastAsia="仿宋_GB2312" w:cs="Times New Roman"/>
          <w:color w:val="000000"/>
          <w:sz w:val="32"/>
          <w:szCs w:val="32"/>
        </w:rPr>
        <w:t>，严格落实安全生产工作十五条硬措施，提升能源行业安全生产监管及安全管理水平。</w:t>
      </w:r>
    </w:p>
    <w:p>
      <w:pPr>
        <w:numPr>
          <w:ilvl w:val="0"/>
          <w:numId w:val="1"/>
        </w:numPr>
        <w:adjustRightInd w:val="0"/>
        <w:snapToGrid w:val="0"/>
        <w:spacing w:line="60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目标任务</w:t>
      </w:r>
    </w:p>
    <w:p>
      <w:pPr>
        <w:adjustRightInd w:val="0"/>
        <w:snapToGrid w:val="0"/>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 xml:space="preserve">   通过实施安全生产监督检查计划，加大监督检查工作力度，推动企业严格落实安全生产主体责任，提升安全生产管理水平，严格遵守安全生产法律法规，完善安全生产责任体系，及时排查和整改各类问题隐患，有效预防和减少生产安全事故，实现安全生产形势总体稳定。</w:t>
      </w:r>
    </w:p>
    <w:p>
      <w:pPr>
        <w:numPr>
          <w:ilvl w:val="0"/>
          <w:numId w:val="1"/>
        </w:numPr>
        <w:adjustRightInd w:val="0"/>
        <w:snapToGrid w:val="0"/>
        <w:spacing w:line="60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监督检查计划编制基础</w:t>
      </w:r>
    </w:p>
    <w:p>
      <w:pPr>
        <w:adjustRightInd w:val="0"/>
        <w:snapToGrid w:val="0"/>
        <w:spacing w:line="600" w:lineRule="exact"/>
        <w:rPr>
          <w:rFonts w:hint="eastAsia" w:ascii="楷体_GB2312" w:hAnsi="楷体" w:eastAsia="楷体_GB2312" w:cs="仿宋_GB2312"/>
          <w:b/>
          <w:bCs/>
          <w:sz w:val="32"/>
          <w:szCs w:val="32"/>
        </w:rPr>
      </w:pPr>
      <w:r>
        <w:rPr>
          <w:rFonts w:hint="eastAsia" w:ascii="仿宋_GB2312" w:hAnsi="仿宋_GB2312" w:eastAsia="仿宋_GB2312" w:cs="仿宋_GB2312"/>
          <w:b/>
          <w:bCs/>
          <w:sz w:val="32"/>
          <w:szCs w:val="32"/>
        </w:rPr>
        <w:t xml:space="preserve">    </w:t>
      </w:r>
      <w:r>
        <w:rPr>
          <w:rFonts w:hint="eastAsia" w:ascii="楷体_GB2312" w:hAnsi="楷体" w:eastAsia="楷体_GB2312" w:cs="楷体_GB2312"/>
          <w:sz w:val="32"/>
          <w:szCs w:val="32"/>
        </w:rPr>
        <w:t>（一）企业基本情况</w:t>
      </w:r>
    </w:p>
    <w:p>
      <w:pPr>
        <w:spacing w:line="600" w:lineRule="exact"/>
        <w:ind w:firstLine="640" w:firstLineChars="200"/>
        <w:rPr>
          <w:rFonts w:ascii="仿宋_GB2312" w:hAnsi="仿宋_GB2312" w:eastAsia="仿宋_GB2312" w:cs="仿宋_GB2312"/>
          <w:color w:val="0000FF"/>
          <w:sz w:val="32"/>
          <w:szCs w:val="32"/>
        </w:rPr>
      </w:pPr>
      <w:r>
        <w:rPr>
          <w:rFonts w:hint="eastAsia" w:ascii="仿宋_GB2312" w:hAnsi="仿宋_GB2312" w:eastAsia="仿宋_GB2312" w:cs="仿宋_GB2312"/>
          <w:sz w:val="32"/>
          <w:szCs w:val="32"/>
        </w:rPr>
        <w:t>东胜区现有煤炭生产经营企业51家，其中井工煤矿10座(核定生产能力7190万吨/年)、露天煤矿19座(核定生产能力5200万吨/年)，申报标准化体系矿井26座（一级10座、二级15座、三级1座）;煤炭经营企业20家（核定（设计）洗选能力2900万吨/年）；煤炭集装站2家（设计发运能力1500万吨/年)。电力企业6家（国电东胜热电、蒙泰热电、北郊热电、北源热电、东胜供电分公司、铁西供电分公司）；油气长输管道企业5家（内蒙古西部天然气管道运行有限责任公司、内蒙古新圣天然气管道有限公司、中石油北京天然气管道有限公司、中石油呼和浩特输油气分公司、内蒙古华屹天然气管道有限公司），油气管道7条（天然气管道5条：新圣天然气苏东准管道、西部天然气长呼管道主/复线、陕京四线管道、大东管道，石油管道2条：中石油呼包鄂成品油管道、长呼原油管道）；新能源企业4家（内蒙古淮能西部生态科技有限公司、内蒙古伊泰新能源开发有限公司、国电内蒙古东胜热电有限公司、鄂尔多斯市国华新能源科技有限公司）。</w:t>
      </w:r>
    </w:p>
    <w:p>
      <w:pPr>
        <w:adjustRightInd w:val="0"/>
        <w:snapToGrid w:val="0"/>
        <w:spacing w:line="600" w:lineRule="exact"/>
        <w:rPr>
          <w:rFonts w:hint="eastAsia" w:ascii="楷体_GB2312" w:hAnsi="仿宋_GB2312" w:eastAsia="楷体_GB2312" w:cs="仿宋_GB2312"/>
          <w:sz w:val="32"/>
          <w:szCs w:val="32"/>
        </w:rPr>
      </w:pPr>
      <w:r>
        <w:rPr>
          <w:rFonts w:hint="eastAsia" w:ascii="仿宋_GB2312" w:hAnsi="仿宋_GB2312" w:eastAsia="仿宋_GB2312" w:cs="仿宋_GB2312"/>
          <w:sz w:val="32"/>
          <w:szCs w:val="32"/>
        </w:rPr>
        <w:t xml:space="preserve">    </w:t>
      </w:r>
      <w:r>
        <w:rPr>
          <w:rFonts w:hint="eastAsia" w:ascii="楷体_GB2312" w:hAnsi="楷体" w:eastAsia="楷体_GB2312" w:cs="楷体_GB2312"/>
          <w:sz w:val="32"/>
          <w:szCs w:val="32"/>
        </w:rPr>
        <w:t>（二）监督检查方式</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监督检查主要分为日常检查、专项检查、标准化检查、双随机抽查、集中执法、巡查盯守等6种检查方式，按照有关规定和工作需要选择检查方式。</w:t>
      </w:r>
    </w:p>
    <w:p>
      <w:pPr>
        <w:adjustRightInd w:val="0"/>
        <w:snapToGrid w:val="0"/>
        <w:spacing w:line="600" w:lineRule="exact"/>
        <w:ind w:firstLine="640" w:firstLineChars="200"/>
        <w:rPr>
          <w:rFonts w:hint="eastAsia" w:ascii="楷体_GB2312" w:hAnsi="楷体" w:eastAsia="楷体_GB2312" w:cs="楷体_GB2312"/>
          <w:sz w:val="32"/>
          <w:szCs w:val="32"/>
        </w:rPr>
      </w:pPr>
      <w:r>
        <w:rPr>
          <w:rFonts w:hint="eastAsia" w:ascii="楷体_GB2312" w:hAnsi="楷体" w:eastAsia="楷体_GB2312" w:cs="楷体_GB2312"/>
          <w:sz w:val="32"/>
          <w:szCs w:val="32"/>
        </w:rPr>
        <w:t>（三）企业分类</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国家煤矿安监局关于煤矿分类监管监察工作的指导意见》（〔2018〕15号）《内蒙古自治区人民政府办公厅关于进一步落实中央企业煤矿安全监管责任推进煤矿安全生产分级监管有关事宜的通知》（内政办发〔2018〕24号）有关要求，结合企业安全生产标准化动态达标情况，以安全风险管控为主线，根据安全管理、灾害程度、生产布局等因素分将负责监管的企业为A、B、C、D四类。</w:t>
      </w:r>
    </w:p>
    <w:p>
      <w:pPr>
        <w:adjustRightInd w:val="0"/>
        <w:snapToGrid w:val="0"/>
        <w:spacing w:line="600" w:lineRule="exact"/>
        <w:ind w:firstLine="640" w:firstLineChars="200"/>
        <w:rPr>
          <w:rFonts w:hint="eastAsia" w:ascii="楷体_GB2312" w:hAnsi="楷体_GB2312" w:eastAsia="楷体_GB2312" w:cs="楷体_GB2312"/>
          <w:sz w:val="32"/>
          <w:szCs w:val="32"/>
        </w:rPr>
      </w:pPr>
      <w:r>
        <w:rPr>
          <w:rFonts w:hint="eastAsia" w:ascii="楷体_GB2312" w:hAnsi="楷体" w:eastAsia="楷体_GB2312" w:cs="楷体_GB2312"/>
          <w:sz w:val="32"/>
          <w:szCs w:val="32"/>
        </w:rPr>
        <w:t>（四）监督检查周期</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1.日常检查。</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日常检查分为一般检查和重点检查两种方式。一般检查指对正常生产且安全保障程度较高的A类企业开展日常性监督检查，每季度检查1次;重点检查指对正常生产、新建（技改）且安全保障程度一般和较低的B、C类企业开展日常性监督检查，每季度检查2次；对长期停产停工的D类企业每月巡查盯守。</w:t>
      </w:r>
    </w:p>
    <w:p>
      <w:pPr>
        <w:adjustRightInd w:val="0"/>
        <w:snapToGrid w:val="0"/>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2.专项检查。</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进一步深化专项行动，坚持查大系统、控大风险、治大灾害、除大隐患、防大事故，按照东胜区及上级部门专项检查工作安排，开展“一通三防”、顶板、机电管理、提升运输、水害防治、打非治违、安全教育培训等方面专项检查，预计全年开展4次专项检查，将所有负责监管企业全部纳入专项检查范围。</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3.标准化检查。</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国家煤监局关于印发&lt;煤矿安全生产标准化管理体系考核定级办法（试行）&gt;和&lt;煤矿安全生产标准化管理体系基本要求及评分方法（试行）&gt;的通知》（煤安监行管〔2020〕16号）相关要求，实行分级管理，对正常生产煤矿实施1次全覆盖动态验收。</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4.双随机抽查。</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国务院办公厅关于推广随机抽查规范事中事后监管的通知》（国办发〔2015〕58号）《国家安全监管总局关于印发推进安全生产监督检查随机抽查工作实施方案的通知》（安监总政法〔2015〕108号）相关要求，充分利用内蒙古自治区部门协同监管平台，每季度随机抽查企业不少于6家次。</w:t>
      </w:r>
    </w:p>
    <w:p>
      <w:pPr>
        <w:adjustRightInd w:val="0"/>
        <w:snapToGrid w:val="0"/>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5.集中执法。</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在“两会”、中秋、国庆、元旦、春节等重大活动和节假日期间开展集中执法行动，确保重点时期安全生产形势稳定。</w:t>
      </w:r>
    </w:p>
    <w:p>
      <w:pPr>
        <w:adjustRightInd w:val="0"/>
        <w:snapToGrid w:val="0"/>
        <w:spacing w:line="560" w:lineRule="exact"/>
        <w:rPr>
          <w:rFonts w:hint="eastAsia" w:ascii="楷体" w:hAnsi="楷体" w:eastAsia="楷体" w:cs="楷体_GB2312"/>
          <w:sz w:val="32"/>
          <w:szCs w:val="32"/>
        </w:rPr>
      </w:pPr>
      <w:r>
        <w:rPr>
          <w:rFonts w:hint="eastAsia" w:ascii="黑体" w:hAnsi="黑体" w:eastAsia="黑体" w:cs="黑体"/>
          <w:sz w:val="32"/>
          <w:szCs w:val="32"/>
        </w:rPr>
        <w:t xml:space="preserve">    四、监管执法力量及执法工作日的确定</w:t>
      </w:r>
    </w:p>
    <w:p>
      <w:pPr>
        <w:adjustRightInd w:val="0"/>
        <w:snapToGrid w:val="0"/>
        <w:spacing w:line="560" w:lineRule="exact"/>
        <w:rPr>
          <w:rFonts w:hint="eastAsia" w:ascii="楷体_GB2312" w:hAnsi="楷体" w:eastAsia="楷体_GB2312" w:cs="楷体_GB2312"/>
          <w:sz w:val="32"/>
          <w:szCs w:val="32"/>
        </w:rPr>
      </w:pPr>
      <w:r>
        <w:rPr>
          <w:rFonts w:hint="eastAsia" w:ascii="黑体" w:hAnsi="黑体" w:eastAsia="黑体" w:cs="黑体"/>
          <w:sz w:val="32"/>
          <w:szCs w:val="32"/>
        </w:rPr>
        <w:t xml:space="preserve">    </w:t>
      </w:r>
      <w:r>
        <w:rPr>
          <w:rFonts w:hint="eastAsia" w:ascii="楷体_GB2312" w:hAnsi="楷体" w:eastAsia="楷体_GB2312" w:cs="楷体_GB2312"/>
          <w:sz w:val="32"/>
          <w:szCs w:val="32"/>
        </w:rPr>
        <w:t>（一）监督检查人员数量</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东胜区能源管理综合行政执法大队共设有7个执法中队，持证执法人员35人，每次参与监督检查的执法人员不少于3人。</w:t>
      </w:r>
    </w:p>
    <w:p>
      <w:pPr>
        <w:adjustRightInd w:val="0"/>
        <w:snapToGrid w:val="0"/>
        <w:spacing w:line="600" w:lineRule="exact"/>
        <w:rPr>
          <w:rFonts w:hint="eastAsia" w:ascii="楷体_GB2312" w:hAnsi="楷体" w:eastAsia="楷体_GB2312" w:cs="楷体_GB2312"/>
          <w:sz w:val="32"/>
          <w:szCs w:val="32"/>
        </w:rPr>
      </w:pPr>
      <w:r>
        <w:rPr>
          <w:rFonts w:hint="eastAsia" w:ascii="楷体" w:hAnsi="楷体" w:eastAsia="楷体" w:cs="楷体_GB2312"/>
          <w:sz w:val="32"/>
          <w:szCs w:val="32"/>
        </w:rPr>
        <w:t xml:space="preserve">    </w:t>
      </w:r>
      <w:r>
        <w:rPr>
          <w:rFonts w:hint="eastAsia" w:ascii="楷体_GB2312" w:hAnsi="楷体" w:eastAsia="楷体_GB2312" w:cs="楷体_GB2312"/>
          <w:sz w:val="32"/>
          <w:szCs w:val="32"/>
        </w:rPr>
        <w:t>（二）总法定工作日的确定（8715个工作日）</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依据国家有关法定工作日的规定和节假日安排，以及纳入监管执法人员的数量等情况，计算总法定工作日数。总法定工作日包括监管执法工作日、非监管执法工作日；总法定工作日数等于国家法定工作日和纳入监管执法人员的人数的乘积。总执法工作日=国家法定工作日（全年天数-全年公休日数-国家法定节假日数）×监管执法人员数量=（365-105-11）×35=8715个工作日</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说明：全年总天数365天，双休日105天，元旦、春节、清明、五一、端午、国庆、中秋法定节假日11天，执法人员35人。</w:t>
      </w:r>
    </w:p>
    <w:p>
      <w:pPr>
        <w:adjustRightInd w:val="0"/>
        <w:snapToGrid w:val="0"/>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1.监管执法工作日的确定（5697个工作日）。</w:t>
      </w:r>
    </w:p>
    <w:p>
      <w:pPr>
        <w:adjustRightInd w:val="0"/>
        <w:snapToGrid w:val="0"/>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监管执法工作日包括对煤炭、电力、油气长输管道、新能源生产经营企业进行安全检查；完成本级人民政府或者上级安全监管部门安排的监管执法工作任务；参与煤炭生产经营企业生产安全事故调查和处理；调查核实安全生产投诉举报；配合开展安全生产宣传教育培训；办理行政复议、行政应诉；煤矿安全生产标准化考核评级动态检查工作；参加上级人民政府及其相关部门组织开展的安全生产督查检查等需要参与配合的执法活动。</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（1）日常检查工作日的确定。</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一般检查工作日（企业个数×次/季度×执法人数）17×1×4×3=204个工作日。</w:t>
      </w:r>
    </w:p>
    <w:p>
      <w:pPr>
        <w:adjustRightInd w:val="0"/>
        <w:snapToGrid w:val="0"/>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重点检查工作日（企业个数×次/季度×执法人数）48×2×4×3=1152个工作日。</w:t>
      </w:r>
    </w:p>
    <w:p>
      <w:pPr>
        <w:adjustRightInd w:val="0"/>
        <w:snapToGrid w:val="0"/>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巡查盯守工作日（长期停产企业数×次/月×执法人数）5××12×3=180个工作日。</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（2）专项检查工作日的确定。</w:t>
      </w:r>
    </w:p>
    <w:p>
      <w:pPr>
        <w:adjustRightInd w:val="0"/>
        <w:snapToGrid w:val="0"/>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专项检查工作日（企业个数×次数×检查人数）=68×5×3=1020个工作日。</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（3）煤矿安全生产标准化体系动态检查工作日确定（企业个数×次数×执法人数）=26×1×3=78个工作日。</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（4）双随机抽查（企业个数×次数/季度×执法人数）=6×4×3=72个工作日。</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（5）集中执法工作日（企业个数×次数×执法人数）=68×5×3=1020个工作日。</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（6）完成本级人民政府或者上级安全监管部门安排的监管执法工作日（企业个数×次数×执法人数）=68×4×3=816个工作日。</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说明：预计本年度区政府或者上级安全监管部门开展安全大检查4次（以实际为准），参与执法检查人员3人。</w:t>
      </w:r>
    </w:p>
    <w:p>
      <w:pPr>
        <w:adjustRightInd w:val="0"/>
        <w:snapToGrid w:val="0"/>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（7）组织企业生产安全事故调查和处理工作日（件数×调查工作日×执法人数）=3×10×5=150个工作日。</w:t>
      </w:r>
    </w:p>
    <w:p>
      <w:pPr>
        <w:adjustRightInd w:val="0"/>
        <w:snapToGrid w:val="0"/>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（8）调查核实安全生产投诉举报工作日（件数×核查工作日×执法人数）=30×5×3=450个工作日。</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（9）办理行政处罚、行政复议、行政应诉工作日（件数×办理工作日×执法人数）=20×8×3=480个工作日。</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（10）配合开展安全生产宣传教育培训（次数×筹备开展工作日×执法人数）=5×5×3=75个工作日。 </w:t>
      </w:r>
    </w:p>
    <w:p>
      <w:pPr>
        <w:adjustRightInd w:val="0"/>
        <w:snapToGrid w:val="0"/>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2.非监管执法工作日的确定（3018个工作日）。</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非监管执法工作日是指机关值班、学习、培训、考核、会议，资料整理归档、统计分析、档案管理等工作和事项，法定年休假、探亲假、婚（丧）假、病假、事假及参加党群活动等总安排所占用的工作日。</w:t>
      </w:r>
    </w:p>
    <w:p>
      <w:pPr>
        <w:adjustRightInd w:val="0"/>
        <w:snapToGrid w:val="0"/>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pacing w:val="-6"/>
          <w:sz w:val="32"/>
          <w:szCs w:val="32"/>
        </w:rPr>
        <w:t>1）机关值班：每人每年约5天，共计5×35人=175工作日。</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（2）学习、培训、考核、会议每人每月约3天，3×12月×35人=1680工作日。</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（3）病假、事假，每人每年约10天，共计10×35人=350工作日。</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（4）法定年休假、婚（丧）假，每人每年约10天，共计10×35人=350工作日。</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（5）参加党群活动，每人每年10天，共计10×35人=350工作日。</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（6）其他日常工作（执法案卷评比、资料整理归档、统计分析、档案管理等工作和事项）和上级交办的工作，预计需要113个工作日。</w:t>
      </w:r>
    </w:p>
    <w:p>
      <w:pPr>
        <w:numPr>
          <w:ilvl w:val="0"/>
          <w:numId w:val="2"/>
        </w:numPr>
        <w:adjustRightInd w:val="0"/>
        <w:snapToGrid w:val="0"/>
        <w:spacing w:line="60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安全生产监督检查内容</w:t>
      </w:r>
    </w:p>
    <w:p>
      <w:pPr>
        <w:adjustRightInd w:val="0"/>
        <w:snapToGrid w:val="0"/>
        <w:spacing w:line="600" w:lineRule="exact"/>
        <w:ind w:firstLine="640" w:firstLineChars="200"/>
        <w:rPr>
          <w:rFonts w:hint="eastAsia" w:ascii="楷体_GB2312" w:hAnsi="楷体" w:eastAsia="楷体_GB2312" w:cs="楷体_GB2312"/>
          <w:sz w:val="32"/>
          <w:szCs w:val="32"/>
        </w:rPr>
      </w:pPr>
      <w:r>
        <w:rPr>
          <w:rFonts w:hint="eastAsia" w:ascii="楷体_GB2312" w:hAnsi="楷体" w:eastAsia="楷体_GB2312" w:cs="楷体_GB2312"/>
          <w:sz w:val="32"/>
          <w:szCs w:val="32"/>
        </w:rPr>
        <w:t>（一）共性检查内容</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1.贯彻执行国家有关安全生产的法律、法规、规章、规程、标准和技术规范等情况；建立全员安全生产责任制及执行情况。</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2.依法设置安全生产与职业病危害防治管理机构和配备安全生产管理人员及装备情况；安全生产管理制度、操作规程、作业规程，安全生产计划和安全技术防范措施制定执行情况。</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建立事故隐患排查治理责任体系，企业主要负责人、领导班子成员进行日常性的监督检查情况，对作业场所、生产系统、设施设备、岗位人员等方面开展隐患排查、治理、记录、上报和督办、验收记录等情况；对于重大事故隐患，企业主要负责人负责组织制定治理方案及按照“责任、措施、资金、时限和预案”五落实原则整改情况；重大危险源登记建档、定期检测、监控评估情况。</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三项岗位”接受安全生产教育、培训，取得安全生产知识和管理能力考核合格证及特种作业人员持证上岗情况；其他从业人员未经培训上岗作业的；向从业人员如实告知作业场所和工作岗位存在的危险因素、防范措施以及事故应急措施的情况；建立安全生产教育和培训档案，实现“一人一档、一期一档”，如实记录安全生产教育和培训的时间、内容、参加人员以及考核结果等情况；安全教育培训教育经费的提取实用情况。</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5.制定年度安全费提取计划，并按计划使用，建立安全费提取和使用台账，是否为一线工人缴纳安全生产责任险。</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建立、健全职业卫生档案和劳动者健康监护档案，定期对工作场所进行职业病危害因素检测、评价，告知从业人员作业场所（岗位）职业危害和应急处置等情况；为从业人员提供符合国家标准或者行业标准的劳动防护用品，并监督、教育从业人员按照使用规则正确佩戴和使用的情况。</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7.制定、实施生产安全事故应急预案，定期组织应急预案演练及应急救援器材、设备、和物资的配备、维护、保养等情况。</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8.安全监测监控系统运行及数据存储情况。</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9.规范外委施工队管理，严禁外包工程发生分包、层层转包等现象。</w:t>
      </w:r>
    </w:p>
    <w:p>
      <w:pPr>
        <w:spacing w:line="600" w:lineRule="exact"/>
        <w:ind w:firstLine="640" w:firstLineChars="200"/>
        <w:rPr>
          <w:rFonts w:hint="eastAsia" w:ascii="楷体_GB2312" w:hAnsi="楷体" w:eastAsia="楷体_GB2312" w:cs="宋体"/>
          <w:color w:val="000000"/>
          <w:kern w:val="0"/>
          <w:sz w:val="32"/>
          <w:szCs w:val="32"/>
        </w:rPr>
      </w:pPr>
      <w:r>
        <w:rPr>
          <w:rFonts w:hint="eastAsia" w:ascii="楷体_GB2312" w:hAnsi="楷体" w:eastAsia="楷体_GB2312" w:cs="楷体_GB2312"/>
          <w:sz w:val="32"/>
          <w:szCs w:val="32"/>
        </w:rPr>
        <w:t>（二）</w:t>
      </w:r>
      <w:r>
        <w:rPr>
          <w:rFonts w:hint="eastAsia" w:ascii="楷体_GB2312" w:hAnsi="楷体_GB2312" w:eastAsia="楷体_GB2312" w:cs="楷体_GB2312"/>
          <w:color w:val="000000"/>
          <w:kern w:val="0"/>
          <w:sz w:val="32"/>
          <w:szCs w:val="32"/>
        </w:rPr>
        <w:t>能源企业上级公司</w:t>
      </w:r>
    </w:p>
    <w:p>
      <w:pPr>
        <w:spacing w:line="600" w:lineRule="exact"/>
        <w:ind w:firstLine="640" w:firstLineChars="20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1.机构设置和人员配备情况。是否牢固树立安全发展理念，坚守安全红线，强化法治意识；是否设置安全生产管理机构，配齐专职安全生产管理人员，落实对所属企业的安全管理职责。</w:t>
      </w:r>
    </w:p>
    <w:p>
      <w:pPr>
        <w:spacing w:line="560" w:lineRule="exact"/>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 xml:space="preserve">    2.管理制度和责任制落实情况。是否建立健全以主要负责人为首的安全生产责任制，履行《</w:t>
      </w:r>
      <w:r>
        <w:rPr>
          <w:rFonts w:hint="eastAsia" w:ascii="仿宋_GB2312" w:hAnsi="仿宋" w:eastAsia="仿宋_GB2312" w:cs="仿宋"/>
          <w:color w:val="000000"/>
          <w:sz w:val="32"/>
          <w:szCs w:val="32"/>
          <w:lang w:val="en-US" w:eastAsia="zh-CN"/>
        </w:rPr>
        <w:t>中华人民共和国</w:t>
      </w:r>
      <w:r>
        <w:rPr>
          <w:rFonts w:hint="eastAsia" w:ascii="仿宋_GB2312" w:hAnsi="仿宋" w:eastAsia="仿宋_GB2312" w:cs="仿宋"/>
          <w:color w:val="000000"/>
          <w:sz w:val="32"/>
          <w:szCs w:val="32"/>
        </w:rPr>
        <w:t>安全生产法》规定的职责；是否制定并落实安全生产目标管理、投入、奖惩、技术措施审批、培训、办公会议制度、安全检查制度、安全风险分级管控制度、隐患排查治理制度等，实现对所属企业的有效安全管理和监督检查。</w:t>
      </w:r>
    </w:p>
    <w:p>
      <w:pPr>
        <w:spacing w:line="560" w:lineRule="exact"/>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 xml:space="preserve">    3.安全生产投入情况。是否保证所属企业的安全投入，足额提取和使用安全费。</w:t>
      </w:r>
    </w:p>
    <w:p>
      <w:pPr>
        <w:spacing w:line="560" w:lineRule="exact"/>
        <w:ind w:firstLine="640" w:firstLineChars="20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4.生产计划和经营指标制定情况。生产经营决策是否听取安全生产管理机构及安全生产管理人员的意见；是否超能力、超强度、超定员下达生产计划或经营指标。</w:t>
      </w:r>
    </w:p>
    <w:p>
      <w:pPr>
        <w:spacing w:line="560" w:lineRule="exact"/>
        <w:ind w:firstLine="640" w:firstLineChars="200"/>
        <w:rPr>
          <w:rFonts w:hint="eastAsia" w:ascii="Calibri" w:hAnsi="Calibri" w:eastAsia="宋体" w:cs="Times New Roman"/>
          <w:snapToGrid w:val="0"/>
          <w:color w:val="000000"/>
          <w:kern w:val="0"/>
          <w:szCs w:val="24"/>
        </w:rPr>
      </w:pPr>
      <w:r>
        <w:rPr>
          <w:rFonts w:hint="eastAsia" w:ascii="仿宋_GB2312" w:hAnsi="仿宋" w:eastAsia="仿宋_GB2312" w:cs="仿宋"/>
          <w:color w:val="000000"/>
          <w:sz w:val="32"/>
          <w:szCs w:val="32"/>
        </w:rPr>
        <w:t>5.重点时段安全管控情况。是否按照季度变化、节假日、重大事项等时间节点，采取特殊管控措施。是否向所属企业派驻工作组，对承担保供企业，是否落实派驻工作组的要求等。</w:t>
      </w:r>
    </w:p>
    <w:p>
      <w:pPr>
        <w:adjustRightInd w:val="0"/>
        <w:snapToGrid w:val="0"/>
        <w:spacing w:line="560" w:lineRule="exact"/>
        <w:ind w:firstLine="640" w:firstLineChars="200"/>
        <w:rPr>
          <w:rFonts w:hint="eastAsia" w:ascii="楷体_GB2312" w:hAnsi="楷体" w:eastAsia="楷体_GB2312" w:cs="楷体_GB2312"/>
          <w:sz w:val="32"/>
          <w:szCs w:val="32"/>
        </w:rPr>
      </w:pPr>
      <w:r>
        <w:rPr>
          <w:rFonts w:hint="eastAsia" w:ascii="楷体_GB2312" w:hAnsi="楷体" w:eastAsia="楷体_GB2312" w:cs="楷体_GB2312"/>
          <w:sz w:val="32"/>
          <w:szCs w:val="32"/>
        </w:rPr>
        <w:t>（三）煤炭监管方面</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1.正常生产企业依法取得相关证照并按照设计、许可批准的范围组织生产经营情况；新（改、扩）建工程项目安全生产“三同时”审批并按照批准的安全设施设计组织施工等情况。</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2.“五假五超”违法违规行为情况。</w:t>
      </w:r>
      <w:r>
        <w:rPr>
          <w:rFonts w:hint="eastAsia" w:ascii="仿宋_GB2312" w:hAnsi="宋体" w:eastAsia="仿宋_GB2312" w:cs="宋体"/>
          <w:kern w:val="0"/>
          <w:sz w:val="32"/>
          <w:szCs w:val="32"/>
        </w:rPr>
        <w:t>是否存在超能力、超强度、超定员组织生产，上级公司是否向所属煤矿超额下达生产指标的，煤炭赋存条件较好的煤矿是否突击蛮干。是否存在超层越界开采和违法违规开采保安煤柱，是否以假图纸、假密闭等隐瞒作业地点生产。</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3. </w:t>
      </w:r>
      <w:r>
        <w:rPr>
          <w:rFonts w:hint="eastAsia" w:ascii="仿宋_GB2312" w:hAnsi="宋体" w:eastAsia="仿宋_GB2312" w:cs="宋体"/>
          <w:kern w:val="0"/>
          <w:sz w:val="32"/>
          <w:szCs w:val="32"/>
        </w:rPr>
        <w:t>是否采用巷道式采煤等国家明令禁止使用的采煤方法、设备、工艺。</w:t>
      </w:r>
      <w:bookmarkStart w:id="0" w:name="_GoBack"/>
      <w:bookmarkEnd w:id="0"/>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4.安全生产标准化体系建设情况；对上级监管部门标准化抽查提出问题整改情况；安全生产标准化系统使用情况。</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5.安全生产责任险投保工作情况。是否为所有从业人员缴纳安全生产责任险。</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6.生产经营场所和有关设施、设备上设置安全警示标志情况；对</w:t>
      </w:r>
      <w:r>
        <w:rPr>
          <w:rFonts w:hint="eastAsia" w:ascii="仿宋_GB2312" w:hAnsi="仿宋_GB2312" w:eastAsia="仿宋_GB2312" w:cs="仿宋_GB2312"/>
          <w:spacing w:val="-6"/>
          <w:sz w:val="32"/>
          <w:szCs w:val="32"/>
        </w:rPr>
        <w:t>各种设备、设施定期进行检测检验、维护保养并做好记录等情况。</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建立事故隐患排查治理责任体系，对作业场所、生产系统、设施设备、岗位人员等方面开展隐患排查、治理、记录、上报和督办、验收记录等情况；对于重大事故隐患，煤矿企业主要负责人负责组织制定治理方案及按照“责任、措施、资金、时限和预案”五落实原则整改情况；重大危险源登记建档、定期检测、监控评估情况。</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煤炭生产经营企业安全生产主体责任落实情况；按照国家、自治区、鄂尔多斯市、东胜区政府开展安全生产大检查（专项检查）贯彻执行情况；企业内部或委托第三方开展安全生产隐患自检自改工作情况；安全生产管理资料统一规范管理存档情况。</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仿宋_GB2312" w:eastAsia="仿宋_GB2312" w:cs="仿宋_GB2312"/>
          <w:sz w:val="32"/>
          <w:szCs w:val="32"/>
        </w:rPr>
        <w:t>9.</w:t>
      </w:r>
      <w:r>
        <w:rPr>
          <w:rFonts w:hint="eastAsia" w:ascii="仿宋_GB2312" w:hAnsi="宋体" w:eastAsia="仿宋_GB2312" w:cs="宋体"/>
          <w:kern w:val="0"/>
          <w:sz w:val="32"/>
          <w:szCs w:val="32"/>
        </w:rPr>
        <w:t xml:space="preserve"> 安全监控系统功能是否完善、运行是否正常，是否存在井下违规放炮、动火，是否存在瓦斯超限作业。</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10.企业主要负责人、领导班子成员和副总工程师带班进行日常性的监督检查情况。</w:t>
      </w:r>
    </w:p>
    <w:p>
      <w:pPr>
        <w:adjustRightInd w:val="0"/>
        <w:snapToGrid w:val="0"/>
        <w:spacing w:line="560" w:lineRule="exact"/>
        <w:ind w:firstLine="640" w:firstLineChars="200"/>
        <w:rPr>
          <w:rFonts w:hint="eastAsia" w:ascii="楷体_GB2312" w:hAnsi="楷体" w:eastAsia="楷体_GB2312" w:cs="楷体_GB2312"/>
          <w:sz w:val="32"/>
          <w:szCs w:val="32"/>
        </w:rPr>
      </w:pPr>
      <w:r>
        <w:rPr>
          <w:rFonts w:hint="eastAsia" w:ascii="楷体" w:hAnsi="楷体" w:eastAsia="楷体" w:cs="楷体_GB2312"/>
          <w:sz w:val="32"/>
          <w:szCs w:val="32"/>
        </w:rPr>
        <w:t xml:space="preserve"> </w:t>
      </w:r>
      <w:r>
        <w:rPr>
          <w:rFonts w:hint="eastAsia" w:ascii="楷体_GB2312" w:hAnsi="楷体" w:eastAsia="楷体_GB2312" w:cs="楷体_GB2312"/>
          <w:sz w:val="32"/>
          <w:szCs w:val="32"/>
        </w:rPr>
        <w:t>（四）油气长输管道监管方面</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1.建立安全危害因素评价表、环境因素清单、职业健康危害因素风险评价表及重大危险源清单，制定有效控制措施。</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2.建立特种设备与可燃气体报警器、防雷、防静电接地、安全阀台账，按规定定期进行校验。</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3.制定有各岗位安全操作规程，动火、动土等高风险作业审批制度。</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4.加强管线安全管理。划定有油气设施保护范围，并向社会公布。设置有油气设施保护装置和警示标志。</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5.对管道损伤及变形、防腐层和绝热层、管道附件和安全装置、管道防护带和覆土、管道标志桩、锚固墩、测试桩、围栅、拉</w:t>
      </w:r>
      <w:r>
        <w:rPr>
          <w:rFonts w:hint="eastAsia" w:ascii="仿宋_GB2312" w:hAnsi="仿宋_GB2312" w:eastAsia="仿宋_GB2312" w:cs="仿宋_GB2312"/>
          <w:spacing w:val="-6"/>
          <w:sz w:val="32"/>
          <w:szCs w:val="32"/>
        </w:rPr>
        <w:t>索、标志牌、电法保护系统等定期检测，建立有完善的检测档案。</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6.管道监控与数据采集系统具备信息远传、连锁保护、信息存储和报警等功能。管道沿线设置的里程桩、转角桩等标志桩和警示桩齐全完好。</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清管有规程、有方案，清管周期合理；对报废油气管道及时进行彻底清理。高、低压泄压伐保持完好，定期检验。按规定设置管道泄漏检测报警、可燃气体泄漏检测报警、火灾报警系统和检测仪，每年进行一次校验。管道阀门、管线焊接点、压力容器完好。</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场站、泵站安全管理。站场选址和总平面布置与建筑物、铁路、公路等安全保护距离符合规定要求。电动阀门符合防爆要求，限位开关及零部件灵活好用，有编号、无渗漏。转动设备联轴器防护罩完好、设备接地良好。定期对输油气泵润滑、维护保养。生产场所根据场所特点设立安全警示标志。</w:t>
      </w:r>
    </w:p>
    <w:p>
      <w:pPr>
        <w:adjustRightInd w:val="0"/>
        <w:snapToGrid w:val="0"/>
        <w:spacing w:line="600" w:lineRule="exact"/>
        <w:ind w:firstLine="640" w:firstLineChars="200"/>
        <w:rPr>
          <w:rFonts w:hint="eastAsia" w:ascii="楷体_GB2312" w:hAnsi="楷体" w:eastAsia="楷体_GB2312" w:cs="楷体_GB2312"/>
          <w:sz w:val="32"/>
          <w:szCs w:val="32"/>
        </w:rPr>
      </w:pPr>
      <w:r>
        <w:rPr>
          <w:rFonts w:hint="eastAsia" w:ascii="楷体_GB2312" w:hAnsi="楷体" w:eastAsia="楷体_GB2312" w:cs="楷体_GB2312"/>
          <w:sz w:val="32"/>
          <w:szCs w:val="32"/>
        </w:rPr>
        <w:t>（五）电力监管方面</w:t>
      </w:r>
    </w:p>
    <w:p>
      <w:pPr>
        <w:spacing w:line="600" w:lineRule="exact"/>
        <w:ind w:firstLine="640" w:firstLineChars="200"/>
        <w:rPr>
          <w:rFonts w:hint="eastAsia" w:ascii="仿宋_GB2312" w:hAnsi="宋体" w:eastAsia="仿宋_GB2312" w:cs="宋体"/>
          <w:snapToGrid w:val="0"/>
          <w:kern w:val="0"/>
          <w:sz w:val="32"/>
          <w:szCs w:val="32"/>
        </w:rPr>
      </w:pPr>
      <w:r>
        <w:rPr>
          <w:rFonts w:hint="eastAsia" w:ascii="仿宋_GB2312" w:hAnsi="宋体" w:eastAsia="仿宋_GB2312" w:cs="宋体"/>
          <w:snapToGrid w:val="0"/>
          <w:kern w:val="0"/>
          <w:sz w:val="32"/>
          <w:szCs w:val="32"/>
        </w:rPr>
        <w:t>1.各种规程是否齐全、是否按规定修编典型操作票和现场规程是否正确，是否按规定进行了审查、批准。设备或接线变更后是否及时进行了修改，职工对现场规程和典型操作票是否掌握，是否会在实际工作中运用，并能严格执行。</w:t>
      </w:r>
    </w:p>
    <w:p>
      <w:pPr>
        <w:widowControl/>
        <w:adjustRightInd w:val="0"/>
        <w:snapToGrid w:val="0"/>
        <w:spacing w:line="600" w:lineRule="exact"/>
        <w:ind w:firstLine="640" w:firstLineChars="200"/>
        <w:rPr>
          <w:rFonts w:hint="eastAsia" w:ascii="仿宋_GB2312" w:hAnsi="宋体" w:eastAsia="仿宋_GB2312" w:cs="宋体"/>
          <w:snapToGrid w:val="0"/>
          <w:kern w:val="0"/>
          <w:sz w:val="32"/>
          <w:szCs w:val="32"/>
        </w:rPr>
      </w:pPr>
      <w:r>
        <w:rPr>
          <w:rFonts w:hint="eastAsia" w:ascii="仿宋_GB2312" w:hAnsi="宋体" w:eastAsia="仿宋_GB2312" w:cs="宋体"/>
          <w:snapToGrid w:val="0"/>
          <w:kern w:val="0"/>
          <w:sz w:val="32"/>
          <w:szCs w:val="32"/>
        </w:rPr>
        <w:t>2．发、变系统运行方式是否合理，变电站、载波站的直流、蓄电池设备有无重大缺陷，是否满足正常、事故情况下保护及自动装置和开关的动作要求，保护装置是否按方案正确投入，低压交直流熔断器的配置是否合理，是否满足配合原则，现场图纸和实际是否相符。</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宋体" w:eastAsia="仿宋_GB2312" w:cs="宋体"/>
          <w:snapToGrid w:val="0"/>
          <w:kern w:val="0"/>
          <w:sz w:val="32"/>
          <w:szCs w:val="32"/>
        </w:rPr>
        <w:t>3.“两票三制”是否认真执行，工作负责人能否在工作中认真履行监护职责，有无失去监督作用参加工作的行为。是否严格执行了工作票的许可、间断、转移和终结制度，是否存在无票作业或擅自扩大工作范围的严重违章现象，安全监督岗是否到位，是否发挥了安全纠察作用。</w:t>
      </w:r>
    </w:p>
    <w:p>
      <w:pPr>
        <w:spacing w:line="560" w:lineRule="exact"/>
        <w:ind w:firstLine="640" w:firstLineChars="200"/>
        <w:rPr>
          <w:rFonts w:hint="eastAsia" w:ascii="仿宋_GB2312" w:hAnsi="宋体" w:eastAsia="仿宋_GB2312" w:cs="宋体"/>
          <w:snapToGrid w:val="0"/>
          <w:kern w:val="0"/>
          <w:sz w:val="32"/>
          <w:szCs w:val="32"/>
        </w:rPr>
      </w:pPr>
      <w:r>
        <w:rPr>
          <w:rFonts w:hint="eastAsia" w:ascii="仿宋_GB2312" w:hAnsi="仿宋_GB2312" w:eastAsia="仿宋_GB2312" w:cs="仿宋_GB2312"/>
          <w:sz w:val="32"/>
          <w:szCs w:val="32"/>
        </w:rPr>
        <w:t>4.</w:t>
      </w:r>
      <w:r>
        <w:rPr>
          <w:rFonts w:hint="eastAsia" w:ascii="仿宋_GB2312" w:hAnsi="宋体" w:eastAsia="仿宋_GB2312" w:cs="宋体"/>
          <w:snapToGrid w:val="0"/>
          <w:kern w:val="0"/>
          <w:sz w:val="32"/>
          <w:szCs w:val="32"/>
        </w:rPr>
        <w:t xml:space="preserve"> 施工现场、工作现场有无违章指挥、违章作业、违反劳动纪律的现象，反违章制度是否能严格执行，现场监督和反违章纠查有无漏洞，反事故措施是否制定并认真落实，是否体现了“保人身”“保电网”“保设备”的原则。</w:t>
      </w:r>
    </w:p>
    <w:p>
      <w:pPr>
        <w:spacing w:line="560" w:lineRule="exact"/>
        <w:ind w:firstLine="640" w:firstLineChars="200"/>
        <w:rPr>
          <w:rFonts w:hint="eastAsia" w:ascii="仿宋_GB2312" w:hAnsi="宋体" w:eastAsia="仿宋_GB2312" w:cs="宋体"/>
          <w:snapToGrid w:val="0"/>
          <w:kern w:val="0"/>
          <w:sz w:val="32"/>
          <w:szCs w:val="32"/>
        </w:rPr>
      </w:pPr>
      <w:r>
        <w:rPr>
          <w:rFonts w:hint="eastAsia" w:ascii="仿宋_GB2312" w:hAnsi="仿宋_GB2312" w:eastAsia="仿宋_GB2312" w:cs="仿宋_GB2312"/>
          <w:sz w:val="32"/>
          <w:szCs w:val="32"/>
        </w:rPr>
        <w:t>5.</w:t>
      </w:r>
      <w:r>
        <w:rPr>
          <w:rFonts w:hint="eastAsia" w:ascii="仿宋_GB2312" w:hAnsi="宋体" w:eastAsia="仿宋_GB2312" w:cs="宋体"/>
          <w:snapToGrid w:val="0"/>
          <w:kern w:val="0"/>
          <w:sz w:val="32"/>
          <w:szCs w:val="32"/>
        </w:rPr>
        <w:t>发电车间、变电站的控制盘、保护盘、高低压柜的电缆的孔洞是否密封，生产性房间的门窗有无损坏，防小动物检查制度是否认真执行，防小动物设施是否完好、措施是否到位。</w:t>
      </w:r>
    </w:p>
    <w:p>
      <w:pPr>
        <w:spacing w:line="560" w:lineRule="exact"/>
        <w:ind w:firstLine="640" w:firstLineChars="200"/>
        <w:rPr>
          <w:rFonts w:hint="eastAsia" w:ascii="仿宋_GB2312" w:hAnsi="宋体" w:eastAsia="仿宋_GB2312" w:cs="宋体"/>
          <w:snapToGrid w:val="0"/>
          <w:kern w:val="0"/>
          <w:sz w:val="32"/>
          <w:szCs w:val="32"/>
        </w:rPr>
      </w:pPr>
      <w:r>
        <w:rPr>
          <w:rFonts w:hint="eastAsia" w:ascii="仿宋_GB2312" w:hAnsi="宋体" w:eastAsia="仿宋_GB2312" w:cs="宋体"/>
          <w:snapToGrid w:val="0"/>
          <w:kern w:val="0"/>
          <w:sz w:val="32"/>
          <w:szCs w:val="32"/>
        </w:rPr>
        <w:t>6.做好设备的安全防护工作，各种生产设备有无影响安全的重大问题，各种管道、构架有无严重腐蚀、渗漏的现象，各种支持瓷瓶有无裂纹、损伤和缺陷，一般缺陷的消除是否进行了计划安排。</w:t>
      </w:r>
    </w:p>
    <w:p>
      <w:pPr>
        <w:spacing w:line="560" w:lineRule="exact"/>
        <w:ind w:firstLine="640" w:firstLineChars="200"/>
        <w:rPr>
          <w:rFonts w:hint="eastAsia" w:ascii="仿宋_GB2312" w:hAnsi="宋体" w:eastAsia="仿宋_GB2312" w:cs="宋体"/>
          <w:snapToGrid w:val="0"/>
          <w:kern w:val="0"/>
          <w:sz w:val="32"/>
          <w:szCs w:val="32"/>
        </w:rPr>
      </w:pPr>
      <w:r>
        <w:rPr>
          <w:rFonts w:hint="eastAsia" w:ascii="仿宋_GB2312" w:hAnsi="宋体" w:eastAsia="仿宋_GB2312" w:cs="宋体"/>
          <w:snapToGrid w:val="0"/>
          <w:kern w:val="0"/>
          <w:sz w:val="32"/>
          <w:szCs w:val="32"/>
        </w:rPr>
        <w:t>7.按照《防止电力生产重大事故的二十五项重点要求》，是否存在重大事故隐患，继电保护及自动装置有无重大缺陷，主设备有无修试超期，防雷设备健康状况是否良好，避雷针、接地网接地电阻是否合格，避雷针保护范围是否符合规程要求，尤其经过改造或扩建的发、变电设备区是否存在避雷针保护死区，地网及设备接地引线截面是否经过校核和按规定进行了开挖检查，并满足系统短路容量。</w:t>
      </w:r>
    </w:p>
    <w:p>
      <w:pPr>
        <w:spacing w:line="560" w:lineRule="exact"/>
        <w:ind w:firstLine="640" w:firstLineChars="200"/>
        <w:rPr>
          <w:rFonts w:hint="eastAsia" w:ascii="楷体_GB2312" w:hAnsi="宋体" w:eastAsia="楷体_GB2312" w:cs="宋体"/>
          <w:snapToGrid w:val="0"/>
          <w:kern w:val="0"/>
          <w:sz w:val="32"/>
          <w:szCs w:val="32"/>
        </w:rPr>
      </w:pPr>
      <w:r>
        <w:rPr>
          <w:rFonts w:hint="eastAsia" w:ascii="楷体_GB2312" w:hAnsi="楷体" w:eastAsia="楷体_GB2312" w:cs="楷体_GB2312"/>
          <w:sz w:val="32"/>
          <w:szCs w:val="32"/>
        </w:rPr>
        <w:t>（六）新能源监管方面</w:t>
      </w:r>
    </w:p>
    <w:p>
      <w:pPr>
        <w:spacing w:line="560" w:lineRule="exact"/>
        <w:ind w:firstLine="640" w:firstLineChars="200"/>
        <w:rPr>
          <w:rFonts w:ascii="仿宋_GB2312" w:hAnsi="宋体" w:eastAsia="仿宋_GB2312" w:cs="宋体"/>
          <w:snapToGrid w:val="0"/>
          <w:kern w:val="0"/>
          <w:sz w:val="32"/>
          <w:szCs w:val="32"/>
        </w:rPr>
      </w:pPr>
      <w:r>
        <w:rPr>
          <w:rFonts w:hint="eastAsia" w:ascii="仿宋_GB2312" w:hAnsi="宋体" w:eastAsia="仿宋_GB2312" w:cs="宋体"/>
          <w:snapToGrid w:val="0"/>
          <w:kern w:val="0"/>
          <w:sz w:val="32"/>
          <w:szCs w:val="32"/>
        </w:rPr>
        <w:t>1.设备产品是否符合相关质量要求，是否制定了应对灾害天气方案或预案，人员是否经过专业培训、持证上岗。</w:t>
      </w:r>
    </w:p>
    <w:p>
      <w:pPr>
        <w:spacing w:line="560" w:lineRule="exact"/>
        <w:ind w:firstLine="640" w:firstLineChars="200"/>
        <w:rPr>
          <w:rFonts w:hint="eastAsia" w:ascii="仿宋_GB2312" w:hAnsi="宋体" w:eastAsia="仿宋_GB2312" w:cs="宋体"/>
          <w:snapToGrid w:val="0"/>
          <w:kern w:val="0"/>
          <w:sz w:val="32"/>
          <w:szCs w:val="32"/>
        </w:rPr>
      </w:pPr>
      <w:r>
        <w:rPr>
          <w:rFonts w:hint="eastAsia" w:ascii="仿宋_GB2312" w:hAnsi="宋体" w:eastAsia="仿宋_GB2312" w:cs="宋体"/>
          <w:snapToGrid w:val="0"/>
          <w:kern w:val="0"/>
          <w:sz w:val="32"/>
          <w:szCs w:val="32"/>
        </w:rPr>
        <w:t>2.检查组件的阴影检查：检查组件排布是否已规避房屋的遮挡；电池板是否有积尘、树叶、鸟粪，及时清理干净；检测电池板的外观，是否有明显破损、变形；每串电池板的连接状况是否良好。</w:t>
      </w:r>
    </w:p>
    <w:p>
      <w:pPr>
        <w:spacing w:line="560" w:lineRule="exact"/>
        <w:ind w:firstLine="640" w:firstLineChars="200"/>
        <w:rPr>
          <w:rFonts w:ascii="仿宋_GB2312" w:hAnsi="宋体" w:eastAsia="仿宋_GB2312" w:cs="宋体"/>
          <w:snapToGrid w:val="0"/>
          <w:kern w:val="0"/>
          <w:sz w:val="32"/>
          <w:szCs w:val="32"/>
        </w:rPr>
      </w:pPr>
      <w:r>
        <w:rPr>
          <w:rFonts w:hint="eastAsia" w:ascii="仿宋_GB2312" w:hAnsi="宋体" w:eastAsia="仿宋_GB2312" w:cs="宋体"/>
          <w:snapToGrid w:val="0"/>
          <w:kern w:val="0"/>
          <w:sz w:val="32"/>
          <w:szCs w:val="32"/>
        </w:rPr>
        <w:t>3.线缆检查：</w:t>
      </w:r>
      <w:r>
        <w:rPr>
          <w:rFonts w:ascii="仿宋_GB2312" w:hAnsi="宋体" w:eastAsia="仿宋_GB2312" w:cs="宋体"/>
          <w:snapToGrid w:val="0"/>
          <w:kern w:val="0"/>
          <w:sz w:val="32"/>
          <w:szCs w:val="32"/>
        </w:rPr>
        <w:t>直流线缆套</w:t>
      </w:r>
      <w:r>
        <w:rPr>
          <w:rFonts w:hint="eastAsia" w:ascii="仿宋_GB2312" w:hAnsi="宋体" w:eastAsia="仿宋_GB2312" w:cs="宋体"/>
          <w:snapToGrid w:val="0"/>
          <w:kern w:val="0"/>
          <w:sz w:val="32"/>
          <w:szCs w:val="32"/>
        </w:rPr>
        <w:t>是否</w:t>
      </w:r>
      <w:r>
        <w:rPr>
          <w:rFonts w:ascii="仿宋_GB2312" w:hAnsi="宋体" w:eastAsia="仿宋_GB2312" w:cs="宋体"/>
          <w:snapToGrid w:val="0"/>
          <w:kern w:val="0"/>
          <w:sz w:val="32"/>
          <w:szCs w:val="32"/>
        </w:rPr>
        <w:t>暴露在外，布线</w:t>
      </w:r>
      <w:r>
        <w:rPr>
          <w:rFonts w:hint="eastAsia" w:ascii="仿宋_GB2312" w:hAnsi="宋体" w:eastAsia="仿宋_GB2312" w:cs="宋体"/>
          <w:snapToGrid w:val="0"/>
          <w:kern w:val="0"/>
          <w:sz w:val="32"/>
          <w:szCs w:val="32"/>
        </w:rPr>
        <w:t>是否</w:t>
      </w:r>
      <w:r>
        <w:rPr>
          <w:rFonts w:ascii="仿宋_GB2312" w:hAnsi="宋体" w:eastAsia="仿宋_GB2312" w:cs="宋体"/>
          <w:snapToGrid w:val="0"/>
          <w:kern w:val="0"/>
          <w:sz w:val="32"/>
          <w:szCs w:val="32"/>
        </w:rPr>
        <w:t>合理</w:t>
      </w:r>
      <w:r>
        <w:rPr>
          <w:rFonts w:hint="eastAsia" w:ascii="仿宋_GB2312" w:hAnsi="宋体" w:eastAsia="仿宋_GB2312" w:cs="宋体"/>
          <w:snapToGrid w:val="0"/>
          <w:kern w:val="0"/>
          <w:sz w:val="32"/>
          <w:szCs w:val="32"/>
        </w:rPr>
        <w:t>，交流线缆选用是否符合线路载流量和压降的要求；逆变器的直流端子正极里面的接触片是否压接错误，露出太多，逆变器的外观、名牌、面板跟按键是否正常。</w:t>
      </w:r>
    </w:p>
    <w:p>
      <w:pPr>
        <w:spacing w:line="560" w:lineRule="exact"/>
        <w:ind w:firstLine="640" w:firstLineChars="200"/>
        <w:rPr>
          <w:rFonts w:hint="eastAsia" w:ascii="仿宋_GB2312" w:hAnsi="宋体" w:eastAsia="仿宋_GB2312" w:cs="宋体"/>
          <w:snapToGrid w:val="0"/>
          <w:kern w:val="0"/>
          <w:sz w:val="32"/>
          <w:szCs w:val="32"/>
        </w:rPr>
      </w:pPr>
      <w:r>
        <w:rPr>
          <w:rFonts w:hint="eastAsia" w:ascii="仿宋_GB2312" w:hAnsi="宋体" w:eastAsia="仿宋_GB2312" w:cs="宋体"/>
          <w:snapToGrid w:val="0"/>
          <w:kern w:val="0"/>
          <w:sz w:val="32"/>
          <w:szCs w:val="32"/>
        </w:rPr>
        <w:t>4.</w:t>
      </w:r>
      <w:r>
        <w:rPr>
          <w:rFonts w:ascii="仿宋_GB2312" w:hAnsi="宋体" w:eastAsia="仿宋_GB2312" w:cs="宋体"/>
          <w:snapToGrid w:val="0"/>
          <w:kern w:val="0"/>
          <w:sz w:val="32"/>
          <w:szCs w:val="32"/>
        </w:rPr>
        <w:t>配电柜检查</w:t>
      </w:r>
      <w:r>
        <w:rPr>
          <w:rFonts w:hint="eastAsia" w:ascii="仿宋_GB2312" w:hAnsi="宋体" w:eastAsia="仿宋_GB2312" w:cs="宋体"/>
          <w:snapToGrid w:val="0"/>
          <w:kern w:val="0"/>
          <w:sz w:val="32"/>
          <w:szCs w:val="32"/>
        </w:rPr>
        <w:t>：</w:t>
      </w:r>
      <w:r>
        <w:rPr>
          <w:rFonts w:ascii="仿宋_GB2312" w:hAnsi="宋体" w:eastAsia="仿宋_GB2312" w:cs="宋体"/>
          <w:snapToGrid w:val="0"/>
          <w:kern w:val="0"/>
          <w:sz w:val="32"/>
          <w:szCs w:val="32"/>
        </w:rPr>
        <w:t>配电柜内部的接线</w:t>
      </w:r>
      <w:r>
        <w:rPr>
          <w:rFonts w:hint="eastAsia" w:ascii="仿宋_GB2312" w:hAnsi="宋体" w:eastAsia="仿宋_GB2312" w:cs="宋体"/>
          <w:snapToGrid w:val="0"/>
          <w:kern w:val="0"/>
          <w:sz w:val="32"/>
          <w:szCs w:val="32"/>
        </w:rPr>
        <w:t>是否符合</w:t>
      </w:r>
      <w:r>
        <w:rPr>
          <w:rFonts w:ascii="仿宋_GB2312" w:hAnsi="宋体" w:eastAsia="仿宋_GB2312" w:cs="宋体"/>
          <w:snapToGrid w:val="0"/>
          <w:kern w:val="0"/>
          <w:sz w:val="32"/>
          <w:szCs w:val="32"/>
        </w:rPr>
        <w:t>规范，配电柜里的设备开关规格是否符合要求</w:t>
      </w:r>
      <w:r>
        <w:rPr>
          <w:rFonts w:hint="eastAsia" w:ascii="仿宋_GB2312" w:hAnsi="宋体" w:eastAsia="仿宋_GB2312" w:cs="宋体"/>
          <w:snapToGrid w:val="0"/>
          <w:kern w:val="0"/>
          <w:sz w:val="32"/>
          <w:szCs w:val="32"/>
        </w:rPr>
        <w:t>，</w:t>
      </w:r>
      <w:r>
        <w:rPr>
          <w:rFonts w:ascii="仿宋_GB2312" w:hAnsi="宋体" w:eastAsia="仿宋_GB2312" w:cs="宋体"/>
          <w:snapToGrid w:val="0"/>
          <w:kern w:val="0"/>
          <w:sz w:val="32"/>
          <w:szCs w:val="32"/>
        </w:rPr>
        <w:t>开关分合闸</w:t>
      </w:r>
      <w:r>
        <w:rPr>
          <w:rFonts w:hint="eastAsia" w:ascii="仿宋_GB2312" w:hAnsi="宋体" w:eastAsia="仿宋_GB2312" w:cs="宋体"/>
          <w:snapToGrid w:val="0"/>
          <w:kern w:val="0"/>
          <w:sz w:val="32"/>
          <w:szCs w:val="32"/>
        </w:rPr>
        <w:t>是否</w:t>
      </w:r>
      <w:r>
        <w:rPr>
          <w:rFonts w:ascii="仿宋_GB2312" w:hAnsi="宋体" w:eastAsia="仿宋_GB2312" w:cs="宋体"/>
          <w:snapToGrid w:val="0"/>
          <w:kern w:val="0"/>
          <w:sz w:val="32"/>
          <w:szCs w:val="32"/>
        </w:rPr>
        <w:t>灵活可靠</w:t>
      </w:r>
      <w:r>
        <w:rPr>
          <w:rFonts w:hint="eastAsia" w:ascii="仿宋_GB2312" w:hAnsi="宋体" w:eastAsia="仿宋_GB2312" w:cs="宋体"/>
          <w:snapToGrid w:val="0"/>
          <w:kern w:val="0"/>
          <w:sz w:val="32"/>
          <w:szCs w:val="32"/>
        </w:rPr>
        <w:t>；</w:t>
      </w:r>
      <w:r>
        <w:rPr>
          <w:rFonts w:ascii="仿宋_GB2312" w:hAnsi="宋体" w:eastAsia="仿宋_GB2312" w:cs="宋体"/>
          <w:snapToGrid w:val="0"/>
          <w:kern w:val="0"/>
          <w:sz w:val="32"/>
          <w:szCs w:val="32"/>
        </w:rPr>
        <w:t>防雷浪涌保护器是否失效</w:t>
      </w:r>
      <w:r>
        <w:rPr>
          <w:rFonts w:hint="eastAsia" w:ascii="仿宋_GB2312" w:hAnsi="宋体" w:eastAsia="仿宋_GB2312" w:cs="宋体"/>
          <w:snapToGrid w:val="0"/>
          <w:kern w:val="0"/>
          <w:sz w:val="32"/>
          <w:szCs w:val="32"/>
        </w:rPr>
        <w:t>。</w:t>
      </w:r>
    </w:p>
    <w:p>
      <w:pPr>
        <w:spacing w:line="560" w:lineRule="exact"/>
        <w:ind w:firstLine="640" w:firstLineChars="200"/>
        <w:rPr>
          <w:rFonts w:ascii="仿宋_GB2312" w:hAnsi="宋体" w:eastAsia="仿宋_GB2312" w:cs="宋体"/>
          <w:snapToGrid w:val="0"/>
          <w:kern w:val="0"/>
          <w:sz w:val="32"/>
          <w:szCs w:val="32"/>
        </w:rPr>
      </w:pPr>
      <w:r>
        <w:rPr>
          <w:rFonts w:hint="eastAsia" w:ascii="仿宋_GB2312" w:hAnsi="宋体" w:eastAsia="仿宋_GB2312" w:cs="宋体"/>
          <w:snapToGrid w:val="0"/>
          <w:kern w:val="0"/>
          <w:sz w:val="32"/>
          <w:szCs w:val="32"/>
        </w:rPr>
        <w:t>5.</w:t>
      </w:r>
      <w:r>
        <w:rPr>
          <w:rFonts w:ascii="仿宋_GB2312" w:hAnsi="宋体" w:eastAsia="仿宋_GB2312" w:cs="宋体"/>
          <w:snapToGrid w:val="0"/>
          <w:kern w:val="0"/>
          <w:sz w:val="32"/>
          <w:szCs w:val="32"/>
        </w:rPr>
        <w:t>光伏系统的接地</w:t>
      </w:r>
      <w:r>
        <w:rPr>
          <w:rFonts w:hint="eastAsia" w:ascii="仿宋_GB2312" w:hAnsi="宋体" w:eastAsia="仿宋_GB2312" w:cs="宋体"/>
          <w:snapToGrid w:val="0"/>
          <w:kern w:val="0"/>
          <w:sz w:val="32"/>
          <w:szCs w:val="32"/>
        </w:rPr>
        <w:t>：</w:t>
      </w:r>
      <w:r>
        <w:rPr>
          <w:rFonts w:ascii="仿宋_GB2312" w:hAnsi="宋体" w:eastAsia="仿宋_GB2312" w:cs="宋体"/>
          <w:snapToGrid w:val="0"/>
          <w:kern w:val="0"/>
          <w:sz w:val="32"/>
          <w:szCs w:val="32"/>
        </w:rPr>
        <w:t>支架（组件）接地、逆变器外壳接地、输出端PE接地、交流侧防雷接地和配电柜接地</w:t>
      </w:r>
      <w:r>
        <w:rPr>
          <w:rFonts w:hint="eastAsia" w:ascii="仿宋_GB2312" w:hAnsi="宋体" w:eastAsia="仿宋_GB2312" w:cs="宋体"/>
          <w:snapToGrid w:val="0"/>
          <w:kern w:val="0"/>
          <w:sz w:val="32"/>
          <w:szCs w:val="32"/>
        </w:rPr>
        <w:t>等的</w:t>
      </w:r>
      <w:r>
        <w:rPr>
          <w:rFonts w:ascii="仿宋_GB2312" w:hAnsi="宋体" w:eastAsia="仿宋_GB2312" w:cs="宋体"/>
          <w:snapToGrid w:val="0"/>
          <w:kern w:val="0"/>
          <w:sz w:val="32"/>
          <w:szCs w:val="32"/>
        </w:rPr>
        <w:t>接地电阻</w:t>
      </w:r>
      <w:r>
        <w:rPr>
          <w:rFonts w:hint="eastAsia" w:ascii="仿宋_GB2312" w:hAnsi="宋体" w:eastAsia="仿宋_GB2312" w:cs="宋体"/>
          <w:snapToGrid w:val="0"/>
          <w:kern w:val="0"/>
          <w:sz w:val="32"/>
          <w:szCs w:val="32"/>
        </w:rPr>
        <w:t>是否符合要求</w:t>
      </w:r>
      <w:r>
        <w:rPr>
          <w:rFonts w:ascii="仿宋_GB2312" w:hAnsi="宋体" w:eastAsia="仿宋_GB2312" w:cs="宋体"/>
          <w:snapToGrid w:val="0"/>
          <w:kern w:val="0"/>
          <w:sz w:val="32"/>
          <w:szCs w:val="32"/>
        </w:rPr>
        <w:t>。</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六、监督检查计划实施</w:t>
      </w:r>
    </w:p>
    <w:p>
      <w:pPr>
        <w:spacing w:line="560" w:lineRule="exact"/>
        <w:rPr>
          <w:rFonts w:hint="eastAsia" w:ascii="楷体_GB2312" w:hAnsi="楷体" w:eastAsia="楷体_GB2312" w:cs="楷体_GB2312"/>
          <w:sz w:val="32"/>
          <w:szCs w:val="32"/>
        </w:rPr>
      </w:pPr>
      <w:r>
        <w:rPr>
          <w:rFonts w:hint="eastAsia" w:ascii="仿宋_GB2312" w:hAnsi="仿宋_GB2312" w:eastAsia="仿宋_GB2312" w:cs="仿宋_GB2312"/>
          <w:sz w:val="32"/>
          <w:szCs w:val="32"/>
        </w:rPr>
        <w:t xml:space="preserve">   </w:t>
      </w:r>
      <w:r>
        <w:rPr>
          <w:rFonts w:hint="eastAsia" w:ascii="楷体_GB2312" w:hAnsi="仿宋_GB2312" w:eastAsia="楷体_GB2312" w:cs="仿宋_GB2312"/>
          <w:sz w:val="32"/>
          <w:szCs w:val="32"/>
        </w:rPr>
        <w:t xml:space="preserve"> </w:t>
      </w:r>
      <w:r>
        <w:rPr>
          <w:rFonts w:hint="eastAsia" w:ascii="楷体_GB2312" w:hAnsi="楷体" w:eastAsia="楷体_GB2312" w:cs="楷体_GB2312"/>
          <w:sz w:val="32"/>
          <w:szCs w:val="32"/>
        </w:rPr>
        <w:t>（一）检查计划安排</w:t>
      </w:r>
    </w:p>
    <w:p>
      <w:pPr>
        <w:spacing w:line="560" w:lineRule="exact"/>
        <w:ind w:firstLine="640" w:firstLineChars="200"/>
        <w:rPr>
          <w:rFonts w:hint="eastAsia" w:ascii="仿宋_GB2312" w:hAnsi="宋体" w:eastAsia="仿宋_GB2312" w:cs="宋体"/>
          <w:snapToGrid w:val="0"/>
          <w:kern w:val="0"/>
          <w:sz w:val="32"/>
          <w:szCs w:val="32"/>
        </w:rPr>
      </w:pPr>
      <w:r>
        <w:rPr>
          <w:rFonts w:hint="eastAsia" w:ascii="仿宋_GB2312" w:hAnsi="宋体" w:eastAsia="仿宋_GB2312" w:cs="宋体"/>
          <w:snapToGrid w:val="0"/>
          <w:kern w:val="0"/>
          <w:sz w:val="32"/>
          <w:szCs w:val="32"/>
        </w:rPr>
        <w:t>（1）上一年度12月至当年1月份开展能源企业岁末年初期间安全生产；</w:t>
      </w:r>
    </w:p>
    <w:p>
      <w:pPr>
        <w:spacing w:line="560" w:lineRule="exact"/>
        <w:ind w:firstLine="640" w:firstLineChars="200"/>
        <w:rPr>
          <w:rFonts w:hint="eastAsia" w:ascii="仿宋_GB2312" w:hAnsi="宋体" w:eastAsia="仿宋_GB2312" w:cs="宋体"/>
          <w:snapToGrid w:val="0"/>
          <w:kern w:val="0"/>
          <w:sz w:val="32"/>
          <w:szCs w:val="32"/>
        </w:rPr>
      </w:pPr>
      <w:r>
        <w:rPr>
          <w:rFonts w:hint="eastAsia" w:ascii="仿宋_GB2312" w:hAnsi="宋体" w:eastAsia="仿宋_GB2312" w:cs="宋体"/>
          <w:snapToGrid w:val="0"/>
          <w:kern w:val="0"/>
          <w:sz w:val="32"/>
          <w:szCs w:val="32"/>
        </w:rPr>
        <w:t>（2）2月份开展复工复产和安全培训专项检查；</w:t>
      </w:r>
    </w:p>
    <w:p>
      <w:pPr>
        <w:spacing w:line="560" w:lineRule="exact"/>
        <w:ind w:firstLine="640" w:firstLineChars="200"/>
        <w:rPr>
          <w:rFonts w:ascii="仿宋_GB2312" w:hAnsi="宋体" w:eastAsia="仿宋_GB2312" w:cs="宋体"/>
          <w:snapToGrid w:val="0"/>
          <w:kern w:val="0"/>
          <w:sz w:val="32"/>
          <w:szCs w:val="32"/>
        </w:rPr>
      </w:pPr>
      <w:r>
        <w:rPr>
          <w:rFonts w:hint="eastAsia" w:ascii="仿宋_GB2312" w:hAnsi="宋体" w:eastAsia="仿宋_GB2312" w:cs="宋体"/>
          <w:snapToGrid w:val="0"/>
          <w:kern w:val="0"/>
          <w:sz w:val="32"/>
          <w:szCs w:val="32"/>
        </w:rPr>
        <w:t>（3）3月份开展“一通三防”专项检查；</w:t>
      </w:r>
    </w:p>
    <w:p>
      <w:pPr>
        <w:spacing w:line="560" w:lineRule="exact"/>
        <w:ind w:firstLine="640" w:firstLineChars="200"/>
        <w:rPr>
          <w:rFonts w:ascii="仿宋_GB2312" w:hAnsi="宋体" w:eastAsia="仿宋_GB2312" w:cs="宋体"/>
          <w:snapToGrid w:val="0"/>
          <w:kern w:val="0"/>
          <w:sz w:val="32"/>
          <w:szCs w:val="32"/>
        </w:rPr>
      </w:pPr>
      <w:r>
        <w:rPr>
          <w:rFonts w:hint="eastAsia" w:ascii="仿宋_GB2312" w:hAnsi="宋体" w:eastAsia="仿宋_GB2312" w:cs="宋体"/>
          <w:snapToGrid w:val="0"/>
          <w:kern w:val="0"/>
          <w:sz w:val="32"/>
          <w:szCs w:val="32"/>
        </w:rPr>
        <w:t>（4）4月份开展顶板防治专项和“五一”节假日期间安全大检查；</w:t>
      </w:r>
    </w:p>
    <w:p>
      <w:pPr>
        <w:spacing w:line="560" w:lineRule="exact"/>
        <w:ind w:firstLine="640" w:firstLineChars="200"/>
        <w:rPr>
          <w:rFonts w:ascii="仿宋_GB2312" w:hAnsi="宋体" w:eastAsia="仿宋_GB2312" w:cs="宋体"/>
          <w:snapToGrid w:val="0"/>
          <w:kern w:val="0"/>
          <w:sz w:val="32"/>
          <w:szCs w:val="32"/>
        </w:rPr>
      </w:pPr>
      <w:r>
        <w:rPr>
          <w:rFonts w:hint="eastAsia" w:ascii="仿宋_GB2312" w:hAnsi="宋体" w:eastAsia="仿宋_GB2312" w:cs="宋体"/>
          <w:snapToGrid w:val="0"/>
          <w:kern w:val="0"/>
          <w:sz w:val="32"/>
          <w:szCs w:val="32"/>
        </w:rPr>
        <w:t>（5）5月份开展主体责任落实及上级公司专项检查；</w:t>
      </w:r>
    </w:p>
    <w:p>
      <w:pPr>
        <w:spacing w:line="560" w:lineRule="exact"/>
        <w:ind w:firstLine="640" w:firstLineChars="200"/>
        <w:rPr>
          <w:rFonts w:hint="eastAsia" w:ascii="仿宋_GB2312" w:hAnsi="宋体" w:eastAsia="仿宋_GB2312" w:cs="宋体"/>
          <w:snapToGrid w:val="0"/>
          <w:kern w:val="0"/>
          <w:sz w:val="32"/>
          <w:szCs w:val="32"/>
        </w:rPr>
      </w:pPr>
      <w:r>
        <w:rPr>
          <w:rFonts w:hint="eastAsia" w:ascii="仿宋_GB2312" w:hAnsi="宋体" w:eastAsia="仿宋_GB2312" w:cs="宋体"/>
          <w:snapToGrid w:val="0"/>
          <w:kern w:val="0"/>
          <w:sz w:val="32"/>
          <w:szCs w:val="32"/>
        </w:rPr>
        <w:t>（6）6月份开展“防汛”专项检查；</w:t>
      </w:r>
    </w:p>
    <w:p>
      <w:pPr>
        <w:spacing w:line="560" w:lineRule="exact"/>
        <w:ind w:firstLine="640" w:firstLineChars="200"/>
        <w:rPr>
          <w:rFonts w:hint="eastAsia" w:ascii="仿宋_GB2312" w:hAnsi="宋体" w:eastAsia="仿宋_GB2312" w:cs="宋体"/>
          <w:snapToGrid w:val="0"/>
          <w:kern w:val="0"/>
          <w:sz w:val="32"/>
          <w:szCs w:val="32"/>
        </w:rPr>
      </w:pPr>
      <w:r>
        <w:rPr>
          <w:rFonts w:hint="eastAsia" w:ascii="仿宋_GB2312" w:hAnsi="宋体" w:eastAsia="仿宋_GB2312" w:cs="宋体"/>
          <w:snapToGrid w:val="0"/>
          <w:kern w:val="0"/>
          <w:sz w:val="32"/>
          <w:szCs w:val="32"/>
        </w:rPr>
        <w:t>（7）7月份开展机电专项检查；</w:t>
      </w:r>
    </w:p>
    <w:p>
      <w:pPr>
        <w:spacing w:line="560" w:lineRule="exact"/>
        <w:ind w:firstLine="640" w:firstLineChars="200"/>
        <w:rPr>
          <w:rFonts w:hint="eastAsia" w:ascii="仿宋_GB2312" w:hAnsi="宋体" w:eastAsia="仿宋_GB2312" w:cs="宋体"/>
          <w:snapToGrid w:val="0"/>
          <w:kern w:val="0"/>
          <w:sz w:val="32"/>
          <w:szCs w:val="32"/>
        </w:rPr>
      </w:pPr>
      <w:r>
        <w:rPr>
          <w:rFonts w:hint="eastAsia" w:ascii="仿宋_GB2312" w:hAnsi="宋体" w:eastAsia="仿宋_GB2312" w:cs="宋体"/>
          <w:snapToGrid w:val="0"/>
          <w:kern w:val="0"/>
          <w:sz w:val="32"/>
          <w:szCs w:val="32"/>
        </w:rPr>
        <w:t>（8）8月份开展能源企业外包施工队伍专项检查；</w:t>
      </w:r>
    </w:p>
    <w:p>
      <w:pPr>
        <w:spacing w:line="560" w:lineRule="exact"/>
        <w:ind w:firstLine="640" w:firstLineChars="200"/>
        <w:rPr>
          <w:rFonts w:hint="eastAsia" w:ascii="仿宋_GB2312" w:hAnsi="宋体" w:eastAsia="仿宋_GB2312" w:cs="宋体"/>
          <w:snapToGrid w:val="0"/>
          <w:kern w:val="0"/>
          <w:sz w:val="32"/>
          <w:szCs w:val="32"/>
        </w:rPr>
      </w:pPr>
      <w:r>
        <w:rPr>
          <w:rFonts w:hint="eastAsia" w:ascii="仿宋_GB2312" w:hAnsi="宋体" w:eastAsia="仿宋_GB2312" w:cs="宋体"/>
          <w:snapToGrid w:val="0"/>
          <w:kern w:val="0"/>
          <w:sz w:val="32"/>
          <w:szCs w:val="32"/>
        </w:rPr>
        <w:t>（9）9月份开展“打非治违”专项整治工作和国庆期间安全生产检查,重点检查能源企业及上级公司主体责任落实情况；</w:t>
      </w:r>
    </w:p>
    <w:p>
      <w:pPr>
        <w:spacing w:line="560" w:lineRule="exact"/>
        <w:ind w:firstLine="640" w:firstLineChars="200"/>
        <w:rPr>
          <w:rFonts w:hint="eastAsia" w:ascii="仿宋_GB2312" w:hAnsi="宋体" w:eastAsia="仿宋_GB2312" w:cs="宋体"/>
          <w:snapToGrid w:val="0"/>
          <w:kern w:val="0"/>
          <w:sz w:val="32"/>
          <w:szCs w:val="32"/>
        </w:rPr>
      </w:pPr>
      <w:r>
        <w:rPr>
          <w:rFonts w:hint="eastAsia" w:ascii="仿宋_GB2312" w:hAnsi="宋体" w:eastAsia="仿宋_GB2312" w:cs="宋体"/>
          <w:snapToGrid w:val="0"/>
          <w:kern w:val="0"/>
          <w:sz w:val="32"/>
          <w:szCs w:val="32"/>
        </w:rPr>
        <w:t>（10）10月份开展提升运输专项检查；</w:t>
      </w:r>
    </w:p>
    <w:p>
      <w:pPr>
        <w:spacing w:line="560" w:lineRule="exact"/>
        <w:ind w:firstLine="640" w:firstLineChars="200"/>
        <w:rPr>
          <w:rFonts w:ascii="仿宋_GB2312" w:hAnsi="宋体" w:eastAsia="仿宋_GB2312" w:cs="宋体"/>
          <w:snapToGrid w:val="0"/>
          <w:kern w:val="0"/>
          <w:sz w:val="32"/>
          <w:szCs w:val="32"/>
        </w:rPr>
      </w:pPr>
      <w:r>
        <w:rPr>
          <w:rFonts w:hint="eastAsia" w:ascii="仿宋_GB2312" w:hAnsi="宋体" w:eastAsia="仿宋_GB2312" w:cs="宋体"/>
          <w:snapToGrid w:val="0"/>
          <w:kern w:val="0"/>
          <w:sz w:val="32"/>
          <w:szCs w:val="32"/>
        </w:rPr>
        <w:t>（11）11月份开展应急处置救援情况的监督检查；</w:t>
      </w:r>
    </w:p>
    <w:p>
      <w:pPr>
        <w:numPr>
          <w:ilvl w:val="0"/>
          <w:numId w:val="3"/>
        </w:numPr>
        <w:spacing w:line="560" w:lineRule="exact"/>
        <w:ind w:firstLine="640" w:firstLineChars="200"/>
        <w:rPr>
          <w:rFonts w:hint="eastAsia" w:ascii="仿宋_GB2312" w:hAnsi="宋体" w:eastAsia="仿宋_GB2312" w:cs="宋体"/>
          <w:snapToGrid w:val="0"/>
          <w:kern w:val="0"/>
          <w:sz w:val="32"/>
          <w:szCs w:val="32"/>
        </w:rPr>
      </w:pPr>
      <w:r>
        <w:rPr>
          <w:rFonts w:hint="eastAsia" w:ascii="仿宋_GB2312" w:hAnsi="宋体" w:eastAsia="仿宋_GB2312" w:cs="宋体"/>
          <w:snapToGrid w:val="0"/>
          <w:kern w:val="0"/>
          <w:sz w:val="32"/>
          <w:szCs w:val="32"/>
        </w:rPr>
        <w:t>开展岁末年初安全生产集中整治。</w:t>
      </w:r>
    </w:p>
    <w:p>
      <w:pPr>
        <w:spacing w:line="560" w:lineRule="exact"/>
        <w:ind w:firstLine="640" w:firstLineChars="200"/>
        <w:rPr>
          <w:rFonts w:hint="eastAsia" w:ascii="仿宋_GB2312" w:hAnsi="宋体" w:eastAsia="仿宋_GB2312" w:cs="宋体"/>
          <w:snapToGrid w:val="0"/>
          <w:kern w:val="0"/>
          <w:sz w:val="32"/>
          <w:szCs w:val="32"/>
        </w:rPr>
      </w:pPr>
      <w:r>
        <w:rPr>
          <w:rFonts w:hint="eastAsia" w:ascii="仿宋_GB2312" w:hAnsi="宋体" w:eastAsia="仿宋_GB2312" w:cs="宋体"/>
          <w:snapToGrid w:val="0"/>
          <w:kern w:val="0"/>
          <w:sz w:val="32"/>
          <w:szCs w:val="32"/>
        </w:rPr>
        <w:t>开展专项检查或集中整治期间可聘请专家查隐患。</w:t>
      </w:r>
    </w:p>
    <w:p>
      <w:pPr>
        <w:spacing w:line="560" w:lineRule="exact"/>
        <w:ind w:firstLine="640" w:firstLineChars="200"/>
        <w:rPr>
          <w:rFonts w:hint="eastAsia" w:ascii="楷体_GB2312" w:hAnsi="楷体" w:eastAsia="楷体_GB2312" w:cs="仿宋_GB2312"/>
          <w:sz w:val="32"/>
          <w:szCs w:val="32"/>
        </w:rPr>
      </w:pPr>
      <w:r>
        <w:rPr>
          <w:rFonts w:hint="eastAsia" w:ascii="楷体_GB2312" w:hAnsi="楷体" w:eastAsia="楷体_GB2312" w:cs="楷体_GB2312"/>
          <w:sz w:val="32"/>
          <w:szCs w:val="32"/>
        </w:rPr>
        <w:t>（二）编制现场检查方案</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年度监督检查计划中拟定的检查内容及检查方式，在上月26日前制定本月度监督检查计划，根据月度监督检查计划有针对性地制定《现场检查方案》，现场检查方案应当明确检查对象名称、检查内容、检查方式、检查日期、检查地点、检查执法人员等相关事项。</w:t>
      </w:r>
    </w:p>
    <w:p>
      <w:pPr>
        <w:spacing w:line="560" w:lineRule="exact"/>
        <w:ind w:firstLine="640" w:firstLineChars="200"/>
        <w:rPr>
          <w:rFonts w:hint="eastAsia" w:ascii="楷体_GB2312" w:hAnsi="楷体" w:eastAsia="楷体_GB2312" w:cs="楷体_GB2312"/>
          <w:sz w:val="32"/>
          <w:szCs w:val="32"/>
        </w:rPr>
      </w:pPr>
      <w:r>
        <w:rPr>
          <w:rFonts w:hint="eastAsia" w:ascii="楷体_GB2312" w:hAnsi="楷体" w:eastAsia="楷体_GB2312" w:cs="楷体_GB2312"/>
          <w:sz w:val="32"/>
          <w:szCs w:val="32"/>
        </w:rPr>
        <w:t>（三）计划实施调整</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年度监督检查计划在实施过程中，因上级新的工作部署，导致检查时间延期或者提前，由各监管中队报执法大队主要负责人签字批准同意后可延期或者提前进行检查。</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在年度监督检查计划实施期间，因临时新增全国性或区域性的专项整治活动，应当在每次的现场检查方案中将该专项整治活动同年度监督检查计划的检查安排合并，对计划安排的检查内容和专项整治内容一起检查，不能将专项整治活动替代本月的检查。</w:t>
      </w:r>
    </w:p>
    <w:p>
      <w:pPr>
        <w:adjustRightInd w:val="0"/>
        <w:snapToGrid w:val="0"/>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七、工作要求</w:t>
      </w:r>
    </w:p>
    <w:p>
      <w:pPr>
        <w:adjustRightInd w:val="0"/>
        <w:snapToGrid w:val="0"/>
        <w:spacing w:line="560" w:lineRule="exact"/>
        <w:rPr>
          <w:rFonts w:hint="eastAsia" w:ascii="楷体_GB2312" w:hAnsi="楷体" w:eastAsia="楷体_GB2312" w:cs="楷体_GB2312"/>
          <w:sz w:val="32"/>
          <w:szCs w:val="32"/>
        </w:rPr>
      </w:pPr>
      <w:r>
        <w:rPr>
          <w:rFonts w:hint="eastAsia" w:ascii="楷体" w:hAnsi="楷体" w:eastAsia="楷体" w:cs="楷体_GB2312"/>
          <w:sz w:val="32"/>
          <w:szCs w:val="32"/>
        </w:rPr>
        <w:t xml:space="preserve">    </w:t>
      </w:r>
      <w:r>
        <w:rPr>
          <w:rFonts w:hint="eastAsia" w:ascii="楷体_GB2312" w:hAnsi="楷体" w:eastAsia="楷体_GB2312" w:cs="楷体_GB2312"/>
          <w:sz w:val="32"/>
          <w:szCs w:val="32"/>
        </w:rPr>
        <w:t>（一）严格规范执法程序</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执法人员要严格按照行政执法程序规定，规范执法行为，正确使用各类执法文书，对检查中发现的事故隐患应当按照相关规定及时依法处理，不断提高安全生产执法工作水平，树立执法人员良好执法形象。</w:t>
      </w:r>
    </w:p>
    <w:p>
      <w:pPr>
        <w:adjustRightInd w:val="0"/>
        <w:snapToGrid w:val="0"/>
        <w:spacing w:line="560" w:lineRule="exact"/>
        <w:rPr>
          <w:rFonts w:hint="eastAsia" w:ascii="楷体_GB2312" w:hAnsi="仿宋_GB2312" w:eastAsia="楷体_GB2312" w:cs="仿宋_GB2312"/>
          <w:sz w:val="32"/>
          <w:szCs w:val="32"/>
        </w:rPr>
      </w:pPr>
      <w:r>
        <w:rPr>
          <w:rFonts w:hint="eastAsia" w:ascii="楷体" w:hAnsi="楷体" w:eastAsia="楷体" w:cs="楷体_GB2312"/>
          <w:sz w:val="32"/>
          <w:szCs w:val="32"/>
        </w:rPr>
        <w:t xml:space="preserve">    </w:t>
      </w:r>
      <w:r>
        <w:rPr>
          <w:rFonts w:hint="eastAsia" w:ascii="楷体_GB2312" w:hAnsi="楷体" w:eastAsia="楷体_GB2312" w:cs="楷体_GB2312"/>
          <w:sz w:val="32"/>
          <w:szCs w:val="32"/>
        </w:rPr>
        <w:t>（二）采取有力措施，严格隐患整治</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于各项检查中排查出的问题和隐患，执法大队要建立台账，督促煤矿企业按照整改措施、责任、资金、时限和预案“五落实”的要求，督促企业整改隐患，并及时进行复查销号。对于煤矿存在的重大隐患，严格执行挂牌督办制度，并按有关规定、程序作出严肃处理。</w:t>
      </w:r>
    </w:p>
    <w:p>
      <w:pPr>
        <w:adjustRightInd w:val="0"/>
        <w:snapToGrid w:val="0"/>
        <w:spacing w:line="560" w:lineRule="exact"/>
        <w:ind w:firstLine="480" w:firstLineChars="150"/>
        <w:rPr>
          <w:rFonts w:hint="eastAsia" w:ascii="楷体_GB2312" w:hAnsi="楷体" w:eastAsia="楷体_GB2312" w:cs="楷体_GB2312"/>
          <w:sz w:val="32"/>
          <w:szCs w:val="32"/>
        </w:rPr>
      </w:pPr>
      <w:r>
        <w:rPr>
          <w:rFonts w:hint="eastAsia" w:ascii="楷体_GB2312" w:hAnsi="楷体" w:eastAsia="楷体_GB2312" w:cs="楷体_GB2312"/>
          <w:sz w:val="32"/>
          <w:szCs w:val="32"/>
        </w:rPr>
        <w:t>（三）加大行政处罚力度</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对检查中发现生产经营单位或者有关人员有违反安全生产法律法规的行为，严格按照有关法律法规给予行政处罚。</w:t>
      </w:r>
    </w:p>
    <w:p>
      <w:pPr>
        <w:adjustRightInd w:val="0"/>
        <w:snapToGrid w:val="0"/>
        <w:spacing w:line="560" w:lineRule="exact"/>
        <w:ind w:firstLine="640" w:firstLineChars="200"/>
        <w:rPr>
          <w:rFonts w:hint="eastAsia" w:ascii="仿宋_GB2312" w:hAnsi="仿宋_GB2312" w:eastAsia="仿宋_GB2312" w:cs="仿宋_GB2312"/>
          <w:sz w:val="32"/>
          <w:szCs w:val="32"/>
        </w:rPr>
      </w:pP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附件：1.2023年监督检查煤矿企业名单</w:t>
      </w:r>
    </w:p>
    <w:p>
      <w:pPr>
        <w:adjustRightInd w:val="0"/>
        <w:snapToGrid w:val="0"/>
        <w:spacing w:line="560" w:lineRule="exact"/>
        <w:ind w:firstLine="1600" w:firstLineChars="5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pacing w:val="-11"/>
          <w:sz w:val="32"/>
          <w:szCs w:val="32"/>
        </w:rPr>
        <w:t>2023年监督检查煤炭经营企业和煤炭集装站企业名单</w:t>
      </w:r>
    </w:p>
    <w:p>
      <w:pPr>
        <w:adjustRightInd w:val="0"/>
        <w:snapToGrid w:val="0"/>
        <w:spacing w:line="560" w:lineRule="exact"/>
        <w:ind w:firstLine="1600" w:firstLineChars="500"/>
        <w:rPr>
          <w:rFonts w:hint="eastAsia" w:ascii="仿宋_GB2312" w:hAnsi="仿宋_GB2312" w:eastAsia="仿宋_GB2312" w:cs="仿宋_GB2312"/>
          <w:spacing w:val="-17"/>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pacing w:val="-17"/>
          <w:sz w:val="32"/>
          <w:szCs w:val="32"/>
        </w:rPr>
        <w:t>2023年监督检查电力、油气长输管道、新能源企业名单</w:t>
      </w:r>
    </w:p>
    <w:p>
      <w:pPr>
        <w:spacing w:line="600" w:lineRule="exact"/>
        <w:ind w:left="1750" w:leftChars="700" w:hanging="280" w:hangingChars="100"/>
        <w:rPr>
          <w:rFonts w:ascii="仿宋_GB2312" w:eastAsia="仿宋_GB2312"/>
          <w:spacing w:val="-20"/>
          <w:sz w:val="32"/>
          <w:szCs w:val="32"/>
        </w:rPr>
      </w:pPr>
    </w:p>
    <w:p>
      <w:pPr>
        <w:spacing w:line="600" w:lineRule="exact"/>
        <w:ind w:firstLine="640" w:firstLineChars="200"/>
        <w:jc w:val="left"/>
        <w:rPr>
          <w:rFonts w:hint="eastAsia" w:ascii="仿宋_GB2312" w:eastAsia="仿宋_GB2312"/>
          <w:sz w:val="32"/>
          <w:szCs w:val="32"/>
        </w:rPr>
      </w:pPr>
    </w:p>
    <w:p>
      <w:pPr>
        <w:spacing w:line="600" w:lineRule="exact"/>
        <w:ind w:firstLine="640" w:firstLineChars="200"/>
        <w:jc w:val="left"/>
        <w:rPr>
          <w:rFonts w:hint="eastAsia" w:ascii="仿宋_GB2312" w:eastAsia="仿宋_GB2312"/>
          <w:sz w:val="32"/>
          <w:szCs w:val="32"/>
        </w:rPr>
      </w:pPr>
    </w:p>
    <w:p>
      <w:pPr>
        <w:spacing w:line="600" w:lineRule="exact"/>
        <w:ind w:firstLine="640" w:firstLineChars="200"/>
        <w:jc w:val="left"/>
        <w:rPr>
          <w:rFonts w:hint="eastAsia" w:ascii="仿宋_GB2312" w:eastAsia="仿宋_GB2312"/>
          <w:sz w:val="32"/>
          <w:szCs w:val="32"/>
        </w:rPr>
      </w:pPr>
    </w:p>
    <w:p>
      <w:pPr>
        <w:spacing w:line="600" w:lineRule="exact"/>
        <w:ind w:firstLine="640" w:firstLineChars="200"/>
        <w:jc w:val="left"/>
        <w:rPr>
          <w:rFonts w:ascii="仿宋_GB2312" w:eastAsia="仿宋_GB2312"/>
          <w:sz w:val="32"/>
          <w:szCs w:val="32"/>
        </w:rPr>
      </w:pPr>
    </w:p>
    <w:p>
      <w:pPr>
        <w:spacing w:line="600" w:lineRule="exact"/>
        <w:ind w:firstLine="640" w:firstLineChars="200"/>
        <w:jc w:val="left"/>
        <w:rPr>
          <w:rFonts w:ascii="仿宋_GB2312" w:eastAsia="仿宋_GB2312"/>
          <w:sz w:val="32"/>
          <w:szCs w:val="32"/>
        </w:rPr>
      </w:pPr>
    </w:p>
    <w:p>
      <w:pPr>
        <w:spacing w:line="600" w:lineRule="exact"/>
        <w:rPr>
          <w:rFonts w:ascii="仿宋_GB2312" w:eastAsia="仿宋_GB2312"/>
          <w:sz w:val="32"/>
          <w:szCs w:val="32"/>
        </w:rPr>
      </w:pPr>
    </w:p>
    <w:p>
      <w:pPr>
        <w:spacing w:line="600" w:lineRule="exact"/>
        <w:ind w:firstLine="275" w:firstLineChars="98"/>
        <w:rPr>
          <w:rFonts w:ascii="仿宋_GB2312" w:eastAsia="仿宋_GB2312"/>
          <w:sz w:val="28"/>
        </w:rPr>
      </w:pPr>
      <w:r>
        <w:rPr>
          <w:rFonts w:ascii="仿宋_GB2312" w:eastAsia="仿宋_GB2312"/>
          <w:b/>
          <w:bCs/>
          <w:sz w:val="28"/>
          <w:szCs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38100</wp:posOffset>
                </wp:positionV>
                <wp:extent cx="5615940" cy="0"/>
                <wp:effectExtent l="0" t="0" r="0" b="0"/>
                <wp:wrapNone/>
                <wp:docPr id="3" name="直线 5"/>
                <wp:cNvGraphicFramePr/>
                <a:graphic xmlns:a="http://schemas.openxmlformats.org/drawingml/2006/main">
                  <a:graphicData uri="http://schemas.microsoft.com/office/word/2010/wordprocessingShape">
                    <wps:wsp>
                      <wps:cNvCnPr/>
                      <wps:spPr>
                        <a:xfrm>
                          <a:off x="0" y="0"/>
                          <a:ext cx="561594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 o:spid="_x0000_s1026" o:spt="20" style="position:absolute;left:0pt;margin-left:0pt;margin-top:3pt;height:0pt;width:442.2pt;z-index:251660288;mso-width-relative:page;mso-height-relative:page;" filled="f" stroked="t" coordsize="21600,21600" o:gfxdata="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FF6FW7TAAAA&#10;BAEAAA8AAAAAAAAAAQAgAAAAIgAAAGRycy9kb3ducmV2LnhtbFBLAQIUABQAAAAIAIdO4kDA3T06&#10;6QEAANsDAAAOAAAAAAAAAAEAIAAAACIBAABkcnMvZTJvRG9jLnhtbFBLBQYAAAAABgAGAFkBAAB9&#10;BQAAAAA=&#10;">
                <v:fill on="f" focussize="0,0"/>
                <v:stroke color="#000000" joinstyle="round"/>
                <v:imagedata o:title=""/>
                <o:lock v:ext="edit" aspectratio="f"/>
              </v:line>
            </w:pict>
          </mc:Fallback>
        </mc:AlternateContent>
      </w:r>
      <w:r>
        <w:rPr>
          <w:rFonts w:ascii="仿宋_GB2312" w:eastAsia="仿宋_GB2312"/>
          <w:b/>
          <w:bCs/>
          <w:sz w:val="28"/>
          <w:szCs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418465</wp:posOffset>
                </wp:positionV>
                <wp:extent cx="5615940" cy="0"/>
                <wp:effectExtent l="0" t="0" r="0" b="0"/>
                <wp:wrapNone/>
                <wp:docPr id="1" name="直线 6"/>
                <wp:cNvGraphicFramePr/>
                <a:graphic xmlns:a="http://schemas.openxmlformats.org/drawingml/2006/main">
                  <a:graphicData uri="http://schemas.microsoft.com/office/word/2010/wordprocessingShape">
                    <wps:wsp>
                      <wps:cNvCnPr/>
                      <wps:spPr>
                        <a:xfrm>
                          <a:off x="0" y="0"/>
                          <a:ext cx="561594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 o:spid="_x0000_s1026" o:spt="20" style="position:absolute;left:0pt;margin-left:0pt;margin-top:32.95pt;height:0pt;width:442.2pt;z-index:251659264;mso-width-relative:page;mso-height-relative:page;" filled="f" stroked="t" coordsize="21600,21600" o:gfxdata="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FIOSEzUAAAA&#10;BgEAAA8AAAAAAAAAAQAgAAAAIgAAAGRycy9kb3ducmV2LnhtbFBLAQIUABQAAAAIAIdO4kCsLunp&#10;6AEAANsDAAAOAAAAAAAAAAEAIAAAACMBAABkcnMvZTJvRG9jLnhtbFBLBQYAAAAABgAGAFkBAAB9&#10;BQAAAAA=&#10;">
                <v:fill on="f" focussize="0,0"/>
                <v:stroke color="#000000" joinstyle="round"/>
                <v:imagedata o:title=""/>
                <o:lock v:ext="edit" aspectratio="f"/>
              </v:line>
            </w:pict>
          </mc:Fallback>
        </mc:AlternateContent>
      </w:r>
      <w:r>
        <w:rPr>
          <w:rFonts w:hint="eastAsia" w:ascii="仿宋_GB2312" w:eastAsia="仿宋_GB2312"/>
          <w:sz w:val="28"/>
          <w:szCs w:val="32"/>
        </w:rPr>
        <w:t>鄂尔多斯市东胜区人民政府办公室</w:t>
      </w:r>
      <w:r>
        <w:rPr>
          <w:rFonts w:hint="eastAsia" w:ascii="仿宋_GB2312"/>
          <w:sz w:val="28"/>
        </w:rPr>
        <w:t xml:space="preserve"> </w:t>
      </w:r>
      <w:r>
        <w:rPr>
          <w:rFonts w:ascii="仿宋_GB2312"/>
          <w:sz w:val="28"/>
        </w:rPr>
        <w:t xml:space="preserve">  </w:t>
      </w:r>
      <w:r>
        <w:rPr>
          <w:rFonts w:hint="eastAsia" w:ascii="仿宋_GB2312"/>
          <w:sz w:val="28"/>
        </w:rPr>
        <w:t xml:space="preserve">        </w:t>
      </w:r>
      <w:r>
        <w:rPr>
          <w:rFonts w:ascii="仿宋_GB2312" w:hAnsi="宋体" w:eastAsia="仿宋_GB2312"/>
          <w:sz w:val="28"/>
          <w:szCs w:val="32"/>
        </w:rPr>
        <w:t>20</w:t>
      </w:r>
      <w:r>
        <w:rPr>
          <w:rFonts w:hint="eastAsia" w:ascii="仿宋_GB2312" w:hAnsi="宋体" w:eastAsia="仿宋_GB2312"/>
          <w:sz w:val="28"/>
          <w:szCs w:val="32"/>
        </w:rPr>
        <w:t>23年1月3日</w:t>
      </w:r>
      <w:r>
        <w:rPr>
          <w:rFonts w:hint="eastAsia" w:ascii="仿宋_GB2312" w:eastAsia="仿宋_GB2312"/>
          <w:sz w:val="28"/>
          <w:szCs w:val="32"/>
        </w:rPr>
        <w:t>印发</w:t>
      </w:r>
    </w:p>
    <w:sectPr>
      <w:pgSz w:w="11906" w:h="16838"/>
      <w:pgMar w:top="2098" w:right="1474" w:bottom="1985" w:left="1588" w:header="851" w:footer="1191"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宋体" w:hAnsi="宋体" w:eastAsia="宋体"/>
        <w:sz w:val="28"/>
        <w:szCs w:val="28"/>
      </w:rPr>
      <w:id w:val="1270476879"/>
      <w:docPartObj>
        <w:docPartGallery w:val="autotext"/>
      </w:docPartObj>
    </w:sdtPr>
    <w:sdtEndPr>
      <w:rPr>
        <w:rFonts w:ascii="宋体" w:hAnsi="宋体" w:eastAsia="宋体"/>
        <w:sz w:val="28"/>
        <w:szCs w:val="28"/>
      </w:rPr>
    </w:sdtEndPr>
    <w:sdtContent>
      <w:p>
        <w:pPr>
          <w:pStyle w:val="3"/>
          <w:ind w:right="180"/>
          <w:jc w:val="right"/>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18 -</w:t>
        </w:r>
        <w:r>
          <w:rPr>
            <w:rFonts w:ascii="宋体" w:hAnsi="宋体" w:eastAsia="宋体"/>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180"/>
      <w:jc w:val="right"/>
      <w:rPr>
        <w:rFonts w:ascii="宋体" w:hAnsi="宋体"/>
        <w:sz w:val="28"/>
      </w:rPr>
    </w:pPr>
    <w:r>
      <w:rPr>
        <w:rFonts w:ascii="宋体" w:hAnsi="宋体"/>
        <w:sz w:val="28"/>
      </w:rPr>
      <w:fldChar w:fldCharType="begin"/>
    </w:r>
    <w:r>
      <w:rPr>
        <w:rFonts w:ascii="宋体" w:hAnsi="宋体"/>
        <w:sz w:val="28"/>
      </w:rPr>
      <w:instrText xml:space="preserve"> PAGE   \* MERGEFORMAT </w:instrText>
    </w:r>
    <w:r>
      <w:rPr>
        <w:rFonts w:ascii="宋体" w:hAnsi="宋体"/>
        <w:sz w:val="28"/>
      </w:rPr>
      <w:fldChar w:fldCharType="separate"/>
    </w:r>
    <w:r>
      <w:rPr>
        <w:rFonts w:ascii="宋体" w:hAnsi="宋体"/>
        <w:sz w:val="28"/>
        <w:lang w:val="zh-CN"/>
      </w:rPr>
      <w:t>-</w:t>
    </w:r>
    <w:r>
      <w:rPr>
        <w:rFonts w:ascii="宋体" w:hAnsi="宋体"/>
        <w:sz w:val="28"/>
      </w:rPr>
      <w:t xml:space="preserve"> 2 -</w:t>
    </w:r>
    <w:r>
      <w:rPr>
        <w:rFonts w:ascii="宋体" w:hAnsi="宋体"/>
        <w:sz w:val="28"/>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E2B9722"/>
    <w:multiLevelType w:val="singleLevel"/>
    <w:tmpl w:val="AE2B9722"/>
    <w:lvl w:ilvl="0" w:tentative="0">
      <w:start w:val="12"/>
      <w:numFmt w:val="decimal"/>
      <w:suff w:val="nothing"/>
      <w:lvlText w:val="（%1）"/>
      <w:lvlJc w:val="left"/>
    </w:lvl>
  </w:abstractNum>
  <w:abstractNum w:abstractNumId="1">
    <w:nsid w:val="5A431670"/>
    <w:multiLevelType w:val="singleLevel"/>
    <w:tmpl w:val="5A431670"/>
    <w:lvl w:ilvl="0" w:tentative="0">
      <w:start w:val="2"/>
      <w:numFmt w:val="chineseCounting"/>
      <w:suff w:val="nothing"/>
      <w:lvlText w:val="%1、"/>
      <w:lvlJc w:val="left"/>
    </w:lvl>
  </w:abstractNum>
  <w:abstractNum w:abstractNumId="2">
    <w:nsid w:val="5A449D35"/>
    <w:multiLevelType w:val="singleLevel"/>
    <w:tmpl w:val="5A449D35"/>
    <w:lvl w:ilvl="0" w:tentative="0">
      <w:start w:val="5"/>
      <w:numFmt w:val="chineseCounting"/>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EyMWUxYWY1MGJlYjJiN2NmYmRjMDBkZGU1NmMzM2IifQ=="/>
  </w:docVars>
  <w:rsids>
    <w:rsidRoot w:val="00282D8A"/>
    <w:rsid w:val="00013632"/>
    <w:rsid w:val="00015849"/>
    <w:rsid w:val="000E2E67"/>
    <w:rsid w:val="0013029F"/>
    <w:rsid w:val="00131FE9"/>
    <w:rsid w:val="001841E7"/>
    <w:rsid w:val="001F5C33"/>
    <w:rsid w:val="001F62EC"/>
    <w:rsid w:val="0020439F"/>
    <w:rsid w:val="00282D8A"/>
    <w:rsid w:val="00296906"/>
    <w:rsid w:val="002C7E1D"/>
    <w:rsid w:val="002E361B"/>
    <w:rsid w:val="00304E01"/>
    <w:rsid w:val="0030628F"/>
    <w:rsid w:val="003169DF"/>
    <w:rsid w:val="00382EDD"/>
    <w:rsid w:val="00465F54"/>
    <w:rsid w:val="00490DCF"/>
    <w:rsid w:val="004F50AD"/>
    <w:rsid w:val="00510926"/>
    <w:rsid w:val="00537ADB"/>
    <w:rsid w:val="00546910"/>
    <w:rsid w:val="00572553"/>
    <w:rsid w:val="005971A6"/>
    <w:rsid w:val="005B20D4"/>
    <w:rsid w:val="00616542"/>
    <w:rsid w:val="006B4018"/>
    <w:rsid w:val="006C2F49"/>
    <w:rsid w:val="0077529C"/>
    <w:rsid w:val="00785456"/>
    <w:rsid w:val="007B24FB"/>
    <w:rsid w:val="007B3AC5"/>
    <w:rsid w:val="007B79F8"/>
    <w:rsid w:val="007C3B69"/>
    <w:rsid w:val="007E493F"/>
    <w:rsid w:val="007F1111"/>
    <w:rsid w:val="008C2739"/>
    <w:rsid w:val="00A56382"/>
    <w:rsid w:val="00A678CA"/>
    <w:rsid w:val="00AD3A2A"/>
    <w:rsid w:val="00B439DC"/>
    <w:rsid w:val="00BF665C"/>
    <w:rsid w:val="00C515E0"/>
    <w:rsid w:val="00C727B7"/>
    <w:rsid w:val="00C95FA9"/>
    <w:rsid w:val="00CA464D"/>
    <w:rsid w:val="00CB6436"/>
    <w:rsid w:val="00CC3830"/>
    <w:rsid w:val="00CD319E"/>
    <w:rsid w:val="00CE3CB8"/>
    <w:rsid w:val="00CF79E5"/>
    <w:rsid w:val="00DF6C6F"/>
    <w:rsid w:val="00E87A98"/>
    <w:rsid w:val="00F2303B"/>
    <w:rsid w:val="00F76A4A"/>
    <w:rsid w:val="00F76F14"/>
    <w:rsid w:val="277F7A8C"/>
    <w:rsid w:val="57D74F8F"/>
    <w:rsid w:val="7BDFFBE1"/>
    <w:rsid w:val="FF1F15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Pages>
  <Words>8045</Words>
  <Characters>8313</Characters>
  <Lines>61</Lines>
  <Paragraphs>17</Paragraphs>
  <TotalTime>20</TotalTime>
  <ScaleCrop>false</ScaleCrop>
  <LinksUpToDate>false</LinksUpToDate>
  <CharactersWithSpaces>8499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2023-01-04T18:11:00Z</dcterms:created>
  <dc:creator>鄂尔多斯市东胜区人民政府</dc:creator>
  <cp:lastModifiedBy>莎莎</cp:lastModifiedBy>
  <dcterms:modified xsi:type="dcterms:W3CDTF">2023-06-30T01:16:20Z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4CD02097DF914945BF280C8A96549A81_13</vt:lpwstr>
  </property>
</Properties>
</file>