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pict>
          <v:line id="_x0000_s3074" o:spid="_x0000_s3074" o:spt="20" style="position:absolute;left:0pt;flip:y;margin-left:-8.55pt;margin-top:28.25pt;height:0pt;width:453.55pt;z-index:251659264;mso-width-relative:page;mso-height-relative:page;" stroked="t" coordsize="21600,21600">
            <v:path arrowok="t"/>
            <v:fill focussize="0,0"/>
            <v:stroke weight="2.2pt" color="#FF0000"/>
            <v:imagedata o:title=""/>
            <o:lock v:ext="edit"/>
          </v:line>
        </w:pic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21</w:t>
      </w:r>
      <w:r>
        <w:rPr>
          <w:rFonts w:ascii="仿宋_GB2312" w:eastAsia="仿宋_GB2312"/>
          <w:sz w:val="32"/>
        </w:rPr>
        <w:t>〕</w:t>
      </w:r>
      <w:r>
        <w:rPr>
          <w:rFonts w:hint="eastAsia" w:ascii="仿宋_GB2312" w:eastAsia="仿宋_GB2312"/>
          <w:sz w:val="32"/>
        </w:rPr>
        <w:t>25</w:t>
      </w:r>
      <w:r>
        <w:rPr>
          <w:rFonts w:hint="eastAsia" w:eastAsia="仿宋_GB2312"/>
          <w:sz w:val="32"/>
        </w:rPr>
        <w:t>号</w:t>
      </w:r>
    </w:p>
    <w:p>
      <w:pPr>
        <w:spacing w:line="600" w:lineRule="exact"/>
        <w:jc w:val="center"/>
      </w:pPr>
    </w:p>
    <w:p>
      <w:pPr>
        <w:spacing w:line="600" w:lineRule="exact"/>
        <w:jc w:val="cente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sz w:val="44"/>
          <w:szCs w:val="44"/>
        </w:rPr>
        <w:t>鄂尔多斯市东胜区</w:t>
      </w:r>
      <w:bookmarkStart w:id="0" w:name="_GoBack"/>
      <w:bookmarkEnd w:id="0"/>
      <w:r>
        <w:rPr>
          <w:rFonts w:hint="eastAsia" w:ascii="方正小标宋_GBK" w:hAnsi="方正小标宋_GBK" w:eastAsia="方正小标宋_GBK" w:cs="方正小标宋_GBK"/>
          <w:sz w:val="44"/>
          <w:szCs w:val="44"/>
        </w:rPr>
        <w:t>人民政府关于认定2021年</w:t>
      </w:r>
      <w:r>
        <w:rPr>
          <w:rFonts w:hint="eastAsia" w:ascii="方正小标宋_GBK" w:hAnsi="方正小标宋_GBK" w:eastAsia="方正小标宋_GBK" w:cs="方正小标宋_GBK"/>
          <w:spacing w:val="-10"/>
          <w:sz w:val="44"/>
          <w:szCs w:val="44"/>
        </w:rPr>
        <w:t>区级农牧业产业化经营重点龙头企业的通知</w:t>
      </w:r>
    </w:p>
    <w:p>
      <w:pPr>
        <w:spacing w:line="600" w:lineRule="exact"/>
        <w:rPr>
          <w:rFonts w:ascii="仿宋_GB2312" w:hAnsi="仿宋_GB2312" w:eastAsia="仿宋_GB2312" w:cs="仿宋_GB2312"/>
          <w:sz w:val="32"/>
          <w:szCs w:val="32"/>
        </w:rPr>
      </w:pPr>
    </w:p>
    <w:p>
      <w:pPr>
        <w:spacing w:line="600" w:lineRule="exact"/>
        <w:rPr>
          <w:rFonts w:ascii="仿宋_GB2312" w:eastAsia="仿宋_GB2312"/>
          <w:color w:val="FF0000"/>
          <w:sz w:val="32"/>
          <w:szCs w:val="32"/>
        </w:rPr>
      </w:pPr>
      <w:r>
        <w:rPr>
          <w:rFonts w:hint="eastAsia" w:ascii="仿宋_GB2312" w:hAnsi="仿宋" w:eastAsia="仿宋_GB2312"/>
          <w:sz w:val="32"/>
          <w:szCs w:val="32"/>
        </w:rPr>
        <w:t>各园区管委会，各镇人民政府，各街道办事处，区人民政府各部门，各直属单位</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4082" w:right="1474" w:bottom="1985" w:left="1588" w:header="851" w:footer="992" w:gutter="0"/>
          <w:pgNumType w:fmt="numberInDash"/>
          <w:cols w:space="720" w:num="1"/>
          <w:titlePg/>
          <w:docGrid w:type="lines" w:linePitch="318" w:charSpace="0"/>
        </w:sectPr>
      </w:pPr>
      <w:r>
        <w:rPr>
          <w:rFonts w:hint="eastAsia" w:ascii="仿宋_GB2312" w:eastAsia="仿宋_GB2312"/>
          <w:sz w:val="32"/>
          <w:szCs w:val="32"/>
        </w:rPr>
        <w:t>根据《鄂尔多斯市东胜区农牧业产业化经营重点龙头企业认定管理暂行办法》有关规定，我区组织开展了2021年度区级农牧业产业化经营重点龙头企业评审认定工作，经企业申报、实地查验、</w:t>
      </w:r>
      <w:r>
        <w:rPr>
          <w:rStyle w:val="8"/>
          <w:rFonts w:hint="eastAsia" w:ascii="仿宋_GB2312" w:hAnsi="宋体" w:eastAsia="仿宋_GB2312"/>
          <w:sz w:val="32"/>
        </w:rPr>
        <w:t>征求有关部门意见、公开公示等程序</w:t>
      </w:r>
      <w:r>
        <w:rPr>
          <w:rFonts w:hint="eastAsia" w:ascii="仿宋_GB2312" w:eastAsia="仿宋_GB2312"/>
          <w:sz w:val="32"/>
          <w:szCs w:val="32"/>
        </w:rPr>
        <w:t>，区人民政府同意将</w:t>
      </w:r>
    </w:p>
    <w:p>
      <w:pPr>
        <w:spacing w:line="600" w:lineRule="exact"/>
        <w:rPr>
          <w:rFonts w:ascii="仿宋_GB2312" w:eastAsia="仿宋_GB2312"/>
          <w:sz w:val="32"/>
          <w:szCs w:val="32"/>
        </w:rPr>
      </w:pPr>
      <w:r>
        <w:rPr>
          <w:rFonts w:hint="eastAsia" w:ascii="仿宋_GB2312" w:hAnsi="仿宋_GB2312" w:eastAsia="仿宋_GB2312" w:cs="仿宋_GB2312"/>
          <w:sz w:val="32"/>
          <w:szCs w:val="32"/>
        </w:rPr>
        <w:t>内蒙古东粮贸易投资集团有限责任公司</w:t>
      </w:r>
      <w:r>
        <w:rPr>
          <w:rFonts w:hint="eastAsia" w:ascii="仿宋_GB2312" w:eastAsia="仿宋_GB2312"/>
          <w:sz w:val="32"/>
          <w:szCs w:val="32"/>
        </w:rPr>
        <w:t>等6家企业认定为区级农牧业产业化经营重点龙头企业。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龙头企业是现代农牧业经营体系中最有活力、最具创新能力的经营主体，是推进农牧业产业化经营的关键，对于引领农村一二三产业融合发展、促进农牧业供给侧结构性改革、带动农民持续增收具有重要作用。各有关部门要积极支持农牧业产业化重点龙头企业发展壮大，强化对龙头企业的服务指导，</w:t>
      </w:r>
      <w:r>
        <w:rPr>
          <w:rFonts w:hint="eastAsia" w:ascii="仿宋_GB2312" w:eastAsia="仿宋_GB2312" w:cs="仿宋_GB2312"/>
          <w:sz w:val="32"/>
          <w:szCs w:val="32"/>
        </w:rPr>
        <w:t>引导和鼓励龙头企业围绕品种、品质、品牌做文章，打绿色生态牌，走优势特色路</w:t>
      </w:r>
      <w:r>
        <w:rPr>
          <w:rFonts w:hint="eastAsia" w:ascii="仿宋_GB2312" w:hAnsi="仿宋_GB2312+ZEHJiZ-1" w:eastAsia="仿宋_GB2312" w:cs="仿宋_GB2312+ZEHJiZ-1"/>
          <w:sz w:val="32"/>
          <w:szCs w:val="32"/>
        </w:rPr>
        <w:t>。</w:t>
      </w:r>
      <w:r>
        <w:rPr>
          <w:rFonts w:hint="eastAsia" w:ascii="仿宋_GB2312" w:eastAsia="仿宋_GB2312"/>
          <w:sz w:val="32"/>
          <w:szCs w:val="32"/>
        </w:rPr>
        <w:t>龙头企业</w:t>
      </w:r>
      <w:r>
        <w:rPr>
          <w:rFonts w:hint="eastAsia" w:ascii="仿宋_GB2312" w:eastAsia="仿宋_GB2312" w:cs="仿宋_GB2312"/>
          <w:sz w:val="32"/>
          <w:szCs w:val="32"/>
        </w:rPr>
        <w:t>结合</w:t>
      </w:r>
      <w:r>
        <w:rPr>
          <w:rFonts w:ascii="仿宋_GB2312" w:eastAsia="仿宋_GB2312" w:cs="仿宋_GB2312"/>
          <w:sz w:val="32"/>
          <w:szCs w:val="32"/>
        </w:rPr>
        <w:t>实际,发挥优势,抢抓机遇,加快发展</w:t>
      </w:r>
      <w:r>
        <w:rPr>
          <w:rFonts w:hint="eastAsia" w:ascii="仿宋_GB2312" w:eastAsia="仿宋_GB2312" w:cs="仿宋_GB2312"/>
          <w:sz w:val="32"/>
          <w:szCs w:val="32"/>
        </w:rPr>
        <w:t>，</w:t>
      </w:r>
      <w:r>
        <w:rPr>
          <w:rFonts w:ascii="仿宋_GB2312" w:eastAsia="仿宋_GB2312" w:cs="仿宋_GB2312"/>
          <w:sz w:val="32"/>
          <w:szCs w:val="32"/>
        </w:rPr>
        <w:t>努力把企业做大做强</w:t>
      </w:r>
      <w:r>
        <w:rPr>
          <w:rFonts w:hint="eastAsia" w:ascii="仿宋_GB2312" w:eastAsia="仿宋_GB2312" w:cs="仿宋_GB2312"/>
          <w:sz w:val="32"/>
          <w:szCs w:val="32"/>
        </w:rPr>
        <w:t>；</w:t>
      </w:r>
      <w:r>
        <w:rPr>
          <w:rFonts w:hint="eastAsia" w:ascii="仿宋_GB2312" w:eastAsia="仿宋_GB2312"/>
          <w:sz w:val="32"/>
          <w:szCs w:val="32"/>
        </w:rPr>
        <w:t>不断完善与农民的利益联结机制，带动农民持续稳定增收，为我区乡村振兴作出新的更大贡献。</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附件：2021年区级农牧业产业化经营重点龙头企业名单</w:t>
      </w: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 xml:space="preserve">                           鄂尔多斯市东胜区人民政府</w:t>
      </w:r>
    </w:p>
    <w:p>
      <w:pPr>
        <w:spacing w:line="600" w:lineRule="exact"/>
        <w:rPr>
          <w:rFonts w:ascii="仿宋_GB2312" w:eastAsia="仿宋_GB2312"/>
          <w:sz w:val="32"/>
          <w:szCs w:val="32"/>
        </w:rPr>
      </w:pPr>
      <w:r>
        <w:rPr>
          <w:rFonts w:hint="eastAsia" w:ascii="仿宋_GB2312" w:eastAsia="仿宋_GB2312"/>
          <w:sz w:val="32"/>
          <w:szCs w:val="32"/>
        </w:rPr>
        <w:t xml:space="preserve">                               2021年10月12日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p>
    <w:p>
      <w:pPr>
        <w:spacing w:line="600" w:lineRule="exact"/>
        <w:rPr>
          <w:rFonts w:ascii="黑体" w:hAnsi="黑体" w:eastAsia="黑体" w:cs="黑体"/>
          <w:sz w:val="32"/>
          <w:szCs w:val="32"/>
        </w:rPr>
      </w:pPr>
      <w:r>
        <w:rPr>
          <w:rFonts w:hint="eastAsia" w:ascii="黑体" w:hAnsi="黑体" w:eastAsia="黑体" w:cs="黑体"/>
          <w:sz w:val="32"/>
          <w:szCs w:val="32"/>
        </w:rPr>
        <w:t>附件</w:t>
      </w:r>
    </w:p>
    <w:p>
      <w:pPr>
        <w:spacing w:line="600" w:lineRule="exact"/>
        <w:ind w:firstLine="640" w:firstLineChars="200"/>
        <w:rPr>
          <w:rFonts w:ascii="仿宋_GB2312" w:eastAsia="仿宋_GB2312"/>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2021年区级农牧业产业化经营</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重点龙头企业名单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1.内蒙古东粮贸易投资集团有限责任公司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2.内蒙古察罕苏力德食品有限公司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3.内蒙古通和食品科技有限公司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4.内蒙古井丰农牧科技有限公司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5.内蒙古碧恒农牧业科技发展有限公司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6.鄂尔多斯市欣祥万家惠农贸市场有限公司</w:t>
      </w: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rPr>
          <w:rFonts w:ascii="仿宋_GB2312" w:eastAsia="仿宋_GB2312"/>
          <w:sz w:val="32"/>
          <w:szCs w:val="32"/>
        </w:rPr>
      </w:pPr>
    </w:p>
    <w:p>
      <w:pPr>
        <w:spacing w:line="600" w:lineRule="exact"/>
        <w:ind w:firstLine="274" w:firstLineChars="98"/>
        <w:rPr>
          <w:rFonts w:ascii="仿宋_GB2312" w:eastAsia="仿宋_GB2312"/>
          <w:sz w:val="28"/>
        </w:rPr>
      </w:pPr>
      <w:r>
        <w:rPr>
          <w:rFonts w:ascii="仿宋_GB2312" w:eastAsia="仿宋_GB2312"/>
          <w:b/>
          <w:bCs/>
          <w:sz w:val="28"/>
          <w:szCs w:val="32"/>
        </w:rPr>
        <w:pict>
          <v:line id="_x0000_s3076" o:spid="_x0000_s3076" o:spt="20" style="position:absolute;left:0pt;margin-left:0pt;margin-top:3pt;height:0pt;width:442.2pt;z-index:251661312;mso-width-relative:page;mso-height-relative:page;" coordsize="21600,21600">
            <v:path arrowok="t"/>
            <v:fill focussize="0,0"/>
            <v:stroke weight="1.5pt"/>
            <v:imagedata o:title=""/>
            <o:lock v:ext="edit"/>
          </v:line>
        </w:pict>
      </w:r>
      <w:r>
        <w:rPr>
          <w:rFonts w:ascii="仿宋_GB2312" w:eastAsia="仿宋_GB2312"/>
          <w:b/>
          <w:bCs/>
          <w:sz w:val="28"/>
          <w:szCs w:val="32"/>
        </w:rPr>
        <w:pict>
          <v:line id="_x0000_s3075" o:spid="_x0000_s3075" o:spt="20" style="position:absolute;left:0pt;margin-left:0pt;margin-top:32.95pt;height:0pt;width:442.2pt;z-index:251660288;mso-width-relative:page;mso-height-relative:page;" coordsize="21600,21600">
            <v:path arrowok="t"/>
            <v:fill focussize="0,0"/>
            <v:stroke weight="1.5pt"/>
            <v:imagedata o:title=""/>
            <o:lock v:ext="edit"/>
          </v:line>
        </w:pic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20年10月12日</w:t>
      </w:r>
      <w:r>
        <w:rPr>
          <w:rFonts w:hint="eastAsia" w:ascii="仿宋_GB2312" w:eastAsia="仿宋_GB2312"/>
          <w:sz w:val="28"/>
          <w:szCs w:val="32"/>
        </w:rPr>
        <w:t>印发</w:t>
      </w:r>
    </w:p>
    <w:sectPr>
      <w:pgSz w:w="11906" w:h="16838"/>
      <w:pgMar w:top="2098" w:right="1474" w:bottom="1985" w:left="1588" w:header="851" w:footer="1191" w:gutter="0"/>
      <w:pgNumType w:fmt="numberInDash"/>
      <w:cols w:space="720" w:num="1"/>
      <w:titlePg/>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ZEHJiZ-1">
    <w:altName w:val="仿宋"/>
    <w:panose1 w:val="00000000000000000000"/>
    <w:charset w:val="00"/>
    <w:family w:val="auto"/>
    <w:pitch w:val="default"/>
    <w:sig w:usb0="00000000" w:usb1="00000000" w:usb2="00000000"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9922277"/>
      <w:docPartObj>
        <w:docPartGallery w:val="AutoText"/>
      </w:docPartObj>
    </w:sdtPr>
    <w:sdtEndPr>
      <w:rPr>
        <w:rFonts w:ascii="宋体" w:hAnsi="宋体"/>
        <w:sz w:val="28"/>
        <w:szCs w:val="28"/>
      </w:rPr>
    </w:sdtEndPr>
    <w:sdtContent>
      <w:p>
        <w:pPr>
          <w:pStyle w:val="2"/>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9922266"/>
      <w:docPartObj>
        <w:docPartGallery w:val="AutoText"/>
      </w:docPartObj>
    </w:sdtPr>
    <w:sdtEndPr>
      <w:rPr>
        <w:rFonts w:ascii="宋体" w:hAnsi="宋体"/>
        <w:sz w:val="28"/>
        <w:szCs w:val="28"/>
      </w:rPr>
    </w:sdtEndPr>
    <w:sdtContent>
      <w:p>
        <w:pPr>
          <w:pStyle w:val="2"/>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7DD37AB"/>
    <w:rsid w:val="000B6286"/>
    <w:rsid w:val="001E0CBD"/>
    <w:rsid w:val="00306386"/>
    <w:rsid w:val="00357CD9"/>
    <w:rsid w:val="005A4305"/>
    <w:rsid w:val="00647A45"/>
    <w:rsid w:val="00666A2E"/>
    <w:rsid w:val="007176E8"/>
    <w:rsid w:val="0075603C"/>
    <w:rsid w:val="0093523C"/>
    <w:rsid w:val="00961137"/>
    <w:rsid w:val="0096711C"/>
    <w:rsid w:val="00A316C9"/>
    <w:rsid w:val="00AA74DA"/>
    <w:rsid w:val="00D45E9E"/>
    <w:rsid w:val="00EF22BD"/>
    <w:rsid w:val="17DD37AB"/>
    <w:rsid w:val="3FBDE4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 w:type="character" w:customStyle="1" w:styleId="8">
    <w:name w:val="NormalCharacter"/>
    <w:semiHidden/>
    <w:qFormat/>
    <w:uiPriority w:val="0"/>
  </w:style>
  <w:style w:type="character" w:customStyle="1" w:styleId="9">
    <w:name w:val="UserStyle_1"/>
    <w:semiHidden/>
    <w:qFormat/>
    <w:uiPriority w:val="0"/>
  </w:style>
  <w:style w:type="character" w:customStyle="1" w:styleId="10">
    <w:name w:val="页脚 Char"/>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6"/>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125</Words>
  <Characters>713</Characters>
  <Lines>5</Lines>
  <Paragraphs>1</Paragraphs>
  <TotalTime>16</TotalTime>
  <ScaleCrop>false</ScaleCrop>
  <LinksUpToDate>false</LinksUpToDate>
  <CharactersWithSpaces>837</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2021-10-11T20:02:00Z</dcterms:created>
  <dc:creator>赵志兵</dc:creator>
  <cp:lastModifiedBy>大脸猫</cp:lastModifiedBy>
  <cp:lastPrinted>2021-10-11T20:55:00Z</cp:lastPrinted>
  <dcterms:modified xsi:type="dcterms:W3CDTF">2022-10-27T16:41:04Z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BE5D9D86F8A94752893E7D3B4BE98BC4</vt:lpwstr>
  </property>
</Properties>
</file>