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鄂尔多斯市</w:t>
      </w:r>
      <w:r>
        <w:rPr>
          <w:rFonts w:hint="eastAsia" w:ascii="方正小标宋简体" w:hAnsi="方正小标宋简体" w:eastAsia="方正小标宋简体" w:cs="方正小标宋简体"/>
          <w:sz w:val="44"/>
          <w:szCs w:val="44"/>
        </w:rPr>
        <w:t>东胜区政务服务中心</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24小时自助服务设备管理办法</w:t>
      </w:r>
    </w:p>
    <w:bookmarkEnd w:id="0"/>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sz w:val="32"/>
          <w:szCs w:val="32"/>
        </w:rPr>
      </w:pPr>
      <w:r>
        <w:rPr>
          <w:rFonts w:ascii="黑体" w:hAnsi="黑体" w:eastAsia="黑体" w:cs="黑体"/>
          <w:spacing w:val="1"/>
          <w:sz w:val="32"/>
          <w:szCs w:val="32"/>
        </w:rPr>
        <w:t>第一章</w:t>
      </w:r>
      <w:r>
        <w:rPr>
          <w:rFonts w:hint="eastAsia" w:ascii="黑体" w:hAnsi="黑体" w:eastAsia="黑体" w:cs="黑体"/>
          <w:spacing w:val="1"/>
          <w:sz w:val="32"/>
          <w:szCs w:val="32"/>
          <w:lang w:val="en-US" w:eastAsia="zh-CN"/>
        </w:rPr>
        <w:t xml:space="preserve"> </w:t>
      </w:r>
      <w:r>
        <w:rPr>
          <w:rFonts w:ascii="黑体" w:hAnsi="黑体" w:eastAsia="黑体" w:cs="黑体"/>
          <w:spacing w:val="1"/>
          <w:sz w:val="32"/>
          <w:szCs w:val="32"/>
        </w:rPr>
        <w:t>总则</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28" w:right="11" w:firstLine="652"/>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第一条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为加强和规范</w:t>
      </w:r>
      <w:r>
        <w:rPr>
          <w:rFonts w:hint="eastAsia" w:ascii="仿宋_GB2312" w:hAnsi="仿宋_GB2312" w:eastAsia="仿宋_GB2312" w:cs="仿宋_GB2312"/>
          <w:spacing w:val="12"/>
          <w:sz w:val="32"/>
          <w:szCs w:val="32"/>
          <w:lang w:val="en-US" w:eastAsia="zh-CN"/>
        </w:rPr>
        <w:t>鄂尔多斯市</w:t>
      </w:r>
      <w:r>
        <w:rPr>
          <w:rFonts w:hint="eastAsia" w:ascii="仿宋_GB2312" w:hAnsi="仿宋_GB2312" w:eastAsia="仿宋_GB2312" w:cs="仿宋_GB2312"/>
          <w:spacing w:val="12"/>
          <w:sz w:val="32"/>
          <w:szCs w:val="32"/>
        </w:rPr>
        <w:t>东胜区政务服务中心24小时自助</w:t>
      </w:r>
      <w:r>
        <w:rPr>
          <w:rFonts w:hint="eastAsia" w:ascii="仿宋_GB2312" w:hAnsi="仿宋_GB2312" w:eastAsia="仿宋_GB2312" w:cs="仿宋_GB2312"/>
          <w:spacing w:val="9"/>
          <w:sz w:val="32"/>
          <w:szCs w:val="32"/>
        </w:rPr>
        <w:t>服务设备的管理，保障设备正常运行，充分发</w:t>
      </w:r>
      <w:r>
        <w:rPr>
          <w:rFonts w:hint="eastAsia" w:ascii="仿宋_GB2312" w:hAnsi="仿宋_GB2312" w:eastAsia="仿宋_GB2312" w:cs="仿宋_GB2312"/>
          <w:spacing w:val="8"/>
          <w:sz w:val="32"/>
          <w:szCs w:val="32"/>
        </w:rPr>
        <w:t>挥自助服务设备的便民服务功能和效益，制定本办法。</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28" w:right="11" w:firstLine="652"/>
        <w:jc w:val="both"/>
        <w:textAlignment w:val="baseline"/>
        <w:rPr>
          <w:rFonts w:ascii="黑体" w:hAnsi="黑体" w:eastAsia="黑体" w:cs="黑体"/>
          <w:spacing w:val="1"/>
          <w:sz w:val="32"/>
          <w:szCs w:val="32"/>
        </w:rPr>
      </w:pPr>
      <w:r>
        <w:rPr>
          <w:rFonts w:hint="eastAsia" w:ascii="仿宋_GB2312" w:hAnsi="仿宋_GB2312" w:eastAsia="仿宋_GB2312" w:cs="仿宋_GB2312"/>
          <w:spacing w:val="12"/>
          <w:sz w:val="32"/>
          <w:szCs w:val="32"/>
        </w:rPr>
        <w:t>第二条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本办法所称的自助服务设备是指进驻政务服务中心为企业群众提供自助式服务的智能化机具设备。</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spacing w:val="1"/>
          <w:sz w:val="32"/>
          <w:szCs w:val="32"/>
        </w:rPr>
      </w:pPr>
      <w:r>
        <w:rPr>
          <w:rFonts w:ascii="黑体" w:hAnsi="黑体" w:eastAsia="黑体" w:cs="黑体"/>
          <w:spacing w:val="1"/>
          <w:sz w:val="32"/>
          <w:szCs w:val="32"/>
        </w:rPr>
        <w:t>第二章</w:t>
      </w:r>
      <w:r>
        <w:rPr>
          <w:rFonts w:hint="eastAsia" w:ascii="黑体" w:hAnsi="黑体" w:eastAsia="黑体" w:cs="黑体"/>
          <w:spacing w:val="1"/>
          <w:sz w:val="32"/>
          <w:szCs w:val="32"/>
          <w:lang w:val="en-US" w:eastAsia="zh-CN"/>
        </w:rPr>
        <w:t xml:space="preserve"> </w:t>
      </w:r>
      <w:r>
        <w:rPr>
          <w:rFonts w:ascii="黑体" w:hAnsi="黑体" w:eastAsia="黑体" w:cs="黑体"/>
          <w:spacing w:val="1"/>
          <w:sz w:val="32"/>
          <w:szCs w:val="32"/>
        </w:rPr>
        <w:t>职责与分工</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30" w:right="13" w:firstLine="653"/>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第三条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各专业区域窗口负责对本部门系统政务服务事项办理的自助服务设备进行管理维护，保障设备正常安全运行。</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30" w:right="13" w:firstLine="653"/>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第四条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效能管理室对</w:t>
      </w:r>
      <w:r>
        <w:rPr>
          <w:rFonts w:hint="eastAsia" w:ascii="仿宋_GB2312" w:hAnsi="仿宋_GB2312" w:eastAsia="仿宋_GB2312" w:cs="仿宋_GB2312"/>
          <w:spacing w:val="12"/>
          <w:sz w:val="32"/>
          <w:szCs w:val="32"/>
          <w:lang w:val="en-US" w:eastAsia="zh-CN"/>
        </w:rPr>
        <w:t>东胜区</w:t>
      </w:r>
      <w:r>
        <w:rPr>
          <w:rFonts w:hint="eastAsia" w:ascii="仿宋_GB2312" w:hAnsi="仿宋_GB2312" w:eastAsia="仿宋_GB2312" w:cs="仿宋_GB2312"/>
          <w:spacing w:val="12"/>
          <w:sz w:val="32"/>
          <w:szCs w:val="32"/>
        </w:rPr>
        <w:t>政务服务中心放置的所有自助服务设备进行统一监管，发现问题及时要求责任部门整改。</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spacing w:val="1"/>
          <w:sz w:val="32"/>
          <w:szCs w:val="32"/>
        </w:rPr>
      </w:pPr>
      <w:r>
        <w:rPr>
          <w:rFonts w:ascii="黑体" w:hAnsi="黑体" w:eastAsia="黑体" w:cs="黑体"/>
          <w:spacing w:val="1"/>
          <w:sz w:val="32"/>
          <w:szCs w:val="32"/>
        </w:rPr>
        <w:t>第三章</w:t>
      </w:r>
      <w:r>
        <w:rPr>
          <w:rFonts w:hint="eastAsia" w:ascii="黑体" w:hAnsi="黑体" w:eastAsia="黑体" w:cs="黑体"/>
          <w:spacing w:val="1"/>
          <w:sz w:val="32"/>
          <w:szCs w:val="32"/>
          <w:lang w:val="en-US" w:eastAsia="zh-CN"/>
        </w:rPr>
        <w:t xml:space="preserve"> </w:t>
      </w:r>
      <w:r>
        <w:rPr>
          <w:rFonts w:ascii="黑体" w:hAnsi="黑体" w:eastAsia="黑体" w:cs="黑体"/>
          <w:spacing w:val="1"/>
          <w:sz w:val="32"/>
          <w:szCs w:val="32"/>
        </w:rPr>
        <w:t>准入与退出</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30" w:right="13" w:firstLine="653"/>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第五条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各进驻部门根据实际需要增设自助服务区域和自助服务设备的，应就新增设备数量、摆放位置等相关事宜向政务服务中心提出申请，附自助服务设备清单（见附件样式）。政务服务中心在收到申请后3个工作日内予以答复。</w:t>
      </w:r>
    </w:p>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仿宋_GB2312" w:hAnsi="仿宋_GB2312" w:eastAsia="仿宋_GB2312" w:cs="仿宋_GB2312"/>
          <w:spacing w:val="12"/>
          <w:sz w:val="32"/>
          <w:szCs w:val="32"/>
        </w:rPr>
      </w:pPr>
      <w:r>
        <w:rPr>
          <w:rFonts w:hint="eastAsia" w:hAnsi="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第六条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自助服务设备因故障维修或更换等原因，需要搬离、撤走的，窗口部门应向政务服务中心报备。</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spacing w:val="1"/>
          <w:sz w:val="32"/>
          <w:szCs w:val="32"/>
        </w:rPr>
      </w:pPr>
      <w:r>
        <w:rPr>
          <w:rFonts w:ascii="黑体" w:hAnsi="黑体" w:eastAsia="黑体" w:cs="黑体"/>
          <w:spacing w:val="1"/>
          <w:sz w:val="32"/>
          <w:szCs w:val="32"/>
        </w:rPr>
        <w:t>第四章</w:t>
      </w:r>
      <w:r>
        <w:rPr>
          <w:rFonts w:hint="eastAsia" w:ascii="黑体" w:hAnsi="黑体" w:eastAsia="黑体" w:cs="黑体"/>
          <w:spacing w:val="1"/>
          <w:sz w:val="32"/>
          <w:szCs w:val="32"/>
          <w:lang w:val="en-US" w:eastAsia="zh-CN"/>
        </w:rPr>
        <w:t xml:space="preserve"> </w:t>
      </w:r>
      <w:r>
        <w:rPr>
          <w:rFonts w:ascii="黑体" w:hAnsi="黑体" w:eastAsia="黑体" w:cs="黑体"/>
          <w:spacing w:val="1"/>
          <w:sz w:val="32"/>
          <w:szCs w:val="32"/>
        </w:rPr>
        <w:t>日常管理</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30" w:right="13" w:firstLine="653"/>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第七条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窗口部门应对自助服务设备进行日常管护，在每个工作日上班前检查自助服务设备是否可以正常使用。每季度对自助服务设备进行盘点，及时处置不能正常使用的设备。</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30" w:right="13" w:firstLine="653"/>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第八条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效能管理室对放置在政务服务中心的自助服务设备进行巡查，坚持每天一次查看，对发现的问题及时通知协调责任部门解决，并做好巡查记录台帐。</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30" w:right="13" w:firstLine="653"/>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第九条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自助服务设备日常管护责任部门应在自助服务设备旁印制公开操作指南和咨询联系电话，并根据实际需要配备咨询帮办人员，对企业群众使用自助服务设备办理政务服务事项进行引导帮办，及时解答群众在使用过程中遇到的问题。</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30" w:right="13" w:firstLine="653"/>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第十条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自助服务设备发生故障时，日常管护责任部门应及时进行维修，不能立即修复使用的，在自助服务设备明显位置张贴告示，在告示上要标明维修起止日期。</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30" w:right="13" w:firstLine="653"/>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第十一条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自助服务设备因系统升级或者部门行业政策原因导致无法使用的，日常管护责任部门应及时向效能管理室报备，并且在自助服务设备明显位置张贴告示，在告示上要标明暂停使用期限，必要时可对外发公告。</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13" w:firstLine="344" w:firstLineChars="100"/>
        <w:jc w:val="both"/>
        <w:textAlignment w:val="baseline"/>
        <w:rPr>
          <w:rFonts w:ascii="黑体" w:hAnsi="黑体" w:eastAsia="黑体" w:cs="黑体"/>
          <w:spacing w:val="1"/>
          <w:sz w:val="32"/>
          <w:szCs w:val="32"/>
        </w:rPr>
      </w:pPr>
      <w:r>
        <w:rPr>
          <w:rFonts w:hint="eastAsia" w:ascii="仿宋_GB2312" w:hAnsi="仿宋_GB2312" w:eastAsia="仿宋_GB2312" w:cs="仿宋_GB2312"/>
          <w:spacing w:val="12"/>
          <w:sz w:val="32"/>
          <w:szCs w:val="32"/>
        </w:rPr>
        <w:t>第十二条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自助服务设备长期暂停使用（2个月以上）的，应封存或撤出政务服务中心。</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hAnsi="黑体" w:eastAsia="黑体" w:cs="黑体"/>
          <w:spacing w:val="1"/>
          <w:sz w:val="32"/>
          <w:szCs w:val="32"/>
        </w:rPr>
      </w:pPr>
      <w:r>
        <w:rPr>
          <w:rFonts w:ascii="黑体" w:hAnsi="黑体" w:eastAsia="黑体" w:cs="黑体"/>
          <w:spacing w:val="1"/>
          <w:sz w:val="32"/>
          <w:szCs w:val="32"/>
        </w:rPr>
        <w:t>第五章</w:t>
      </w:r>
      <w:r>
        <w:rPr>
          <w:rFonts w:hint="eastAsia" w:ascii="黑体" w:hAnsi="黑体" w:eastAsia="黑体" w:cs="黑体"/>
          <w:spacing w:val="1"/>
          <w:sz w:val="32"/>
          <w:szCs w:val="32"/>
          <w:lang w:val="en-US" w:eastAsia="zh-CN"/>
        </w:rPr>
        <w:t xml:space="preserve"> </w:t>
      </w:r>
      <w:r>
        <w:rPr>
          <w:rFonts w:ascii="黑体" w:hAnsi="黑体" w:eastAsia="黑体" w:cs="黑体"/>
          <w:spacing w:val="1"/>
          <w:sz w:val="32"/>
          <w:szCs w:val="32"/>
        </w:rPr>
        <w:t>附则</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30" w:right="13" w:firstLine="653"/>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第十三条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各乡镇（街道）政务服务中心可参照本自助设备管理办法。</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30" w:right="13" w:firstLine="653"/>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第十三条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本办法由东胜区政务服务中心负责解释。</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30" w:right="13" w:firstLine="653"/>
        <w:jc w:val="both"/>
        <w:textAlignment w:val="baseline"/>
        <w:rPr>
          <w:spacing w:val="-4"/>
        </w:rPr>
      </w:pPr>
      <w:r>
        <w:rPr>
          <w:rFonts w:hint="eastAsia" w:ascii="仿宋_GB2312" w:hAnsi="仿宋_GB2312" w:eastAsia="仿宋_GB2312" w:cs="仿宋_GB2312"/>
          <w:spacing w:val="12"/>
          <w:sz w:val="32"/>
          <w:szCs w:val="32"/>
        </w:rPr>
        <w:t>第十四条</w:t>
      </w:r>
      <w:r>
        <w:rPr>
          <w:rFonts w:hint="eastAsia" w:ascii="仿宋_GB2312" w:hAnsi="仿宋_GB2312" w:eastAsia="仿宋_GB2312" w:cs="仿宋_GB2312"/>
          <w:spacing w:val="12"/>
          <w:sz w:val="32"/>
          <w:szCs w:val="32"/>
          <w:lang w:val="en-US" w:eastAsia="zh-CN"/>
        </w:rPr>
        <w:t xml:space="preserve"> </w:t>
      </w:r>
      <w:r>
        <w:rPr>
          <w:rFonts w:hint="eastAsia" w:ascii="仿宋_GB2312" w:hAnsi="仿宋_GB2312" w:eastAsia="仿宋_GB2312" w:cs="仿宋_GB2312"/>
          <w:spacing w:val="12"/>
          <w:sz w:val="32"/>
          <w:szCs w:val="32"/>
        </w:rPr>
        <w:t>本办法自印发之日起开始实行。</w:t>
      </w:r>
    </w:p>
    <w:p>
      <w:pPr>
        <w:pStyle w:val="2"/>
        <w:keepNext w:val="0"/>
        <w:keepLines w:val="0"/>
        <w:pageBreakBefore w:val="0"/>
        <w:widowControl/>
        <w:kinsoku w:val="0"/>
        <w:wordWrap/>
        <w:overflowPunct/>
        <w:topLinePunct w:val="0"/>
        <w:autoSpaceDE w:val="0"/>
        <w:autoSpaceDN w:val="0"/>
        <w:bidi w:val="0"/>
        <w:adjustRightInd w:val="0"/>
        <w:snapToGrid w:val="0"/>
        <w:spacing w:before="165" w:line="560" w:lineRule="exact"/>
        <w:ind w:left="148"/>
        <w:textAlignment w:val="baseline"/>
      </w:pPr>
      <w:r>
        <w:rPr>
          <w:spacing w:val="-4"/>
        </w:rPr>
        <w:t>附件:</w:t>
      </w:r>
    </w:p>
    <w:p>
      <w:pPr>
        <w:keepNext w:val="0"/>
        <w:keepLines w:val="0"/>
        <w:pageBreakBefore w:val="0"/>
        <w:widowControl/>
        <w:kinsoku w:val="0"/>
        <w:wordWrap/>
        <w:overflowPunct/>
        <w:topLinePunct w:val="0"/>
        <w:autoSpaceDE w:val="0"/>
        <w:autoSpaceDN w:val="0"/>
        <w:bidi w:val="0"/>
        <w:adjustRightInd w:val="0"/>
        <w:snapToGrid w:val="0"/>
        <w:spacing w:before="318" w:line="560" w:lineRule="exact"/>
        <w:ind w:left="964"/>
        <w:textAlignment w:val="baseline"/>
        <w:rPr>
          <w:rFonts w:ascii="微软雅黑" w:hAnsi="微软雅黑" w:eastAsia="微软雅黑" w:cs="微软雅黑"/>
          <w:spacing w:val="-1"/>
          <w:position w:val="-2"/>
          <w:sz w:val="44"/>
          <w:szCs w:val="44"/>
        </w:rPr>
      </w:pPr>
      <w:r>
        <w:rPr>
          <w:rFonts w:ascii="微软雅黑" w:hAnsi="微软雅黑" w:eastAsia="微软雅黑" w:cs="微软雅黑"/>
          <w:spacing w:val="-1"/>
          <w:position w:val="-2"/>
          <w:sz w:val="44"/>
          <w:szCs w:val="44"/>
        </w:rPr>
        <w:t>政务服务大厅自助服务区设备清单</w:t>
      </w:r>
    </w:p>
    <w:p>
      <w:pPr>
        <w:keepNext w:val="0"/>
        <w:keepLines w:val="0"/>
        <w:pageBreakBefore w:val="0"/>
        <w:widowControl/>
        <w:kinsoku w:val="0"/>
        <w:wordWrap/>
        <w:overflowPunct/>
        <w:topLinePunct w:val="0"/>
        <w:autoSpaceDE w:val="0"/>
        <w:autoSpaceDN w:val="0"/>
        <w:bidi w:val="0"/>
        <w:adjustRightInd w:val="0"/>
        <w:snapToGrid w:val="0"/>
        <w:spacing w:before="318" w:line="560" w:lineRule="exact"/>
        <w:ind w:left="964"/>
        <w:textAlignment w:val="baseline"/>
        <w:rPr>
          <w:rFonts w:ascii="微软雅黑" w:hAnsi="微软雅黑" w:eastAsia="微软雅黑" w:cs="微软雅黑"/>
          <w:spacing w:val="-1"/>
          <w:position w:val="-2"/>
          <w:sz w:val="44"/>
          <w:szCs w:val="44"/>
        </w:rPr>
      </w:pPr>
    </w:p>
    <w:tbl>
      <w:tblPr>
        <w:tblStyle w:val="7"/>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3356"/>
        <w:gridCol w:w="2129"/>
        <w:gridCol w:w="21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33" w:hRule="atLeast"/>
        </w:trPr>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before="159" w:line="560" w:lineRule="exact"/>
              <w:ind w:left="120"/>
              <w:textAlignment w:val="baseline"/>
              <w:rPr>
                <w:rFonts w:ascii="黑体" w:hAnsi="黑体" w:eastAsia="黑体" w:cs="黑体"/>
                <w:sz w:val="31"/>
                <w:szCs w:val="31"/>
              </w:rPr>
            </w:pPr>
            <w:r>
              <w:rPr>
                <w:rFonts w:ascii="黑体" w:hAnsi="黑体" w:eastAsia="黑体" w:cs="黑体"/>
                <w:spacing w:val="2"/>
                <w:sz w:val="31"/>
                <w:szCs w:val="31"/>
              </w:rPr>
              <w:t>序号</w:t>
            </w:r>
          </w:p>
        </w:tc>
        <w:tc>
          <w:tcPr>
            <w:tcW w:w="3356" w:type="dxa"/>
            <w:vAlign w:val="top"/>
          </w:tcPr>
          <w:p>
            <w:pPr>
              <w:keepNext w:val="0"/>
              <w:keepLines w:val="0"/>
              <w:pageBreakBefore w:val="0"/>
              <w:widowControl/>
              <w:kinsoku w:val="0"/>
              <w:wordWrap/>
              <w:overflowPunct/>
              <w:topLinePunct w:val="0"/>
              <w:autoSpaceDE w:val="0"/>
              <w:autoSpaceDN w:val="0"/>
              <w:bidi w:val="0"/>
              <w:adjustRightInd w:val="0"/>
              <w:snapToGrid w:val="0"/>
              <w:spacing w:before="158" w:line="560" w:lineRule="exact"/>
              <w:ind w:left="1047"/>
              <w:textAlignment w:val="baseline"/>
              <w:rPr>
                <w:rFonts w:ascii="黑体" w:hAnsi="黑体" w:eastAsia="黑体" w:cs="黑体"/>
                <w:sz w:val="31"/>
                <w:szCs w:val="31"/>
              </w:rPr>
            </w:pPr>
            <w:r>
              <w:rPr>
                <w:rFonts w:ascii="黑体" w:hAnsi="黑体" w:eastAsia="黑体" w:cs="黑体"/>
                <w:spacing w:val="6"/>
                <w:sz w:val="31"/>
                <w:szCs w:val="31"/>
              </w:rPr>
              <w:t>设备名称</w:t>
            </w:r>
          </w:p>
        </w:tc>
        <w:tc>
          <w:tcPr>
            <w:tcW w:w="2129" w:type="dxa"/>
            <w:vAlign w:val="top"/>
          </w:tcPr>
          <w:p>
            <w:pPr>
              <w:keepNext w:val="0"/>
              <w:keepLines w:val="0"/>
              <w:pageBreakBefore w:val="0"/>
              <w:widowControl/>
              <w:kinsoku w:val="0"/>
              <w:wordWrap/>
              <w:overflowPunct/>
              <w:topLinePunct w:val="0"/>
              <w:autoSpaceDE w:val="0"/>
              <w:autoSpaceDN w:val="0"/>
              <w:bidi w:val="0"/>
              <w:adjustRightInd w:val="0"/>
              <w:snapToGrid w:val="0"/>
              <w:spacing w:before="158" w:line="560" w:lineRule="exact"/>
              <w:ind w:left="433"/>
              <w:textAlignment w:val="baseline"/>
              <w:rPr>
                <w:rFonts w:ascii="黑体" w:hAnsi="黑体" w:eastAsia="黑体" w:cs="黑体"/>
                <w:sz w:val="31"/>
                <w:szCs w:val="31"/>
              </w:rPr>
            </w:pPr>
            <w:r>
              <w:rPr>
                <w:rFonts w:ascii="黑体" w:hAnsi="黑体" w:eastAsia="黑体" w:cs="黑体"/>
                <w:spacing w:val="7"/>
                <w:sz w:val="31"/>
                <w:szCs w:val="31"/>
              </w:rPr>
              <w:t>放置位置</w:t>
            </w:r>
          </w:p>
        </w:tc>
        <w:tc>
          <w:tcPr>
            <w:tcW w:w="2133" w:type="dxa"/>
            <w:vAlign w:val="top"/>
          </w:tcPr>
          <w:p>
            <w:pPr>
              <w:keepNext w:val="0"/>
              <w:keepLines w:val="0"/>
              <w:pageBreakBefore w:val="0"/>
              <w:widowControl/>
              <w:kinsoku w:val="0"/>
              <w:wordWrap/>
              <w:overflowPunct/>
              <w:topLinePunct w:val="0"/>
              <w:autoSpaceDE w:val="0"/>
              <w:autoSpaceDN w:val="0"/>
              <w:bidi w:val="0"/>
              <w:adjustRightInd w:val="0"/>
              <w:snapToGrid w:val="0"/>
              <w:spacing w:before="158" w:line="560" w:lineRule="exact"/>
              <w:ind w:left="433"/>
              <w:textAlignment w:val="baseline"/>
              <w:rPr>
                <w:rFonts w:ascii="黑体" w:hAnsi="黑体" w:eastAsia="黑体" w:cs="黑体"/>
                <w:sz w:val="31"/>
                <w:szCs w:val="31"/>
              </w:rPr>
            </w:pPr>
            <w:r>
              <w:rPr>
                <w:rFonts w:ascii="黑体" w:hAnsi="黑体" w:eastAsia="黑体" w:cs="黑体"/>
                <w:spacing w:val="7"/>
                <w:sz w:val="31"/>
                <w:szCs w:val="31"/>
              </w:rPr>
              <w:t>放置数量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before="177" w:line="560" w:lineRule="exact"/>
              <w:ind w:firstLine="127"/>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val="0"/>
                <w:color w:val="000000"/>
                <w:spacing w:val="1"/>
                <w:kern w:val="0"/>
                <w:sz w:val="32"/>
                <w:szCs w:val="32"/>
                <w:lang w:val="en-US" w:eastAsia="zh-CN" w:bidi="ar-SA"/>
              </w:rPr>
              <w:t>1</w:t>
            </w:r>
          </w:p>
        </w:tc>
        <w:tc>
          <w:tcPr>
            <w:tcW w:w="335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2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3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90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76" w:line="560" w:lineRule="exact"/>
              <w:ind w:left="107"/>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w:t>
            </w:r>
          </w:p>
        </w:tc>
        <w:tc>
          <w:tcPr>
            <w:tcW w:w="335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2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3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90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79" w:line="560" w:lineRule="exact"/>
              <w:ind w:left="107"/>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w:t>
            </w:r>
          </w:p>
        </w:tc>
        <w:tc>
          <w:tcPr>
            <w:tcW w:w="335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2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3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90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79" w:line="560" w:lineRule="exact"/>
              <w:ind w:left="107"/>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4</w:t>
            </w:r>
          </w:p>
        </w:tc>
        <w:tc>
          <w:tcPr>
            <w:tcW w:w="335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2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3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90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79" w:line="560" w:lineRule="exact"/>
              <w:ind w:left="107"/>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5</w:t>
            </w:r>
          </w:p>
        </w:tc>
        <w:tc>
          <w:tcPr>
            <w:tcW w:w="335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2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3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before="180" w:line="560" w:lineRule="exact"/>
              <w:ind w:firstLine="107"/>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335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2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3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90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0" w:line="560" w:lineRule="exact"/>
              <w:ind w:left="107"/>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7</w:t>
            </w:r>
          </w:p>
        </w:tc>
        <w:tc>
          <w:tcPr>
            <w:tcW w:w="335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2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3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90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80" w:line="560" w:lineRule="exact"/>
              <w:ind w:left="108"/>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8</w:t>
            </w:r>
          </w:p>
        </w:tc>
        <w:tc>
          <w:tcPr>
            <w:tcW w:w="335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2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c>
          <w:tcPr>
            <w:tcW w:w="213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c>
      </w:tr>
    </w:tbl>
    <w:p>
      <w:pPr>
        <w:adjustRightInd w:val="0"/>
        <w:snapToGrid w:val="0"/>
        <w:spacing w:line="560" w:lineRule="exact"/>
        <w:rPr>
          <w:spacing w:val="-6"/>
          <w:sz w:val="28"/>
          <w:szCs w:val="28"/>
        </w:rPr>
      </w:pPr>
    </w:p>
    <w:p>
      <w:pPr>
        <w:adjustRightInd w:val="0"/>
        <w:snapToGrid w:val="0"/>
        <w:spacing w:line="560" w:lineRule="exact"/>
        <w:rPr>
          <w:spacing w:val="-6"/>
          <w:sz w:val="28"/>
          <w:szCs w:val="28"/>
        </w:rPr>
      </w:pPr>
      <w:r>
        <w:rPr>
          <w:spacing w:val="-6"/>
          <w:sz w:val="28"/>
          <w:szCs w:val="28"/>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822325</wp:posOffset>
                </wp:positionV>
                <wp:extent cx="5639435" cy="635"/>
                <wp:effectExtent l="0" t="0" r="0" b="0"/>
                <wp:wrapSquare wrapText="bothSides"/>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3943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3pt;margin-top:64.75pt;height:0.05pt;width:444.05pt;mso-wrap-distance-bottom:0pt;mso-wrap-distance-left:9pt;mso-wrap-distance-right:9pt;mso-wrap-distance-top:0pt;z-index:251661312;mso-width-relative:page;mso-height-relative:page;" filled="f" stroked="t" coordsize="21600,21600" o:gfxdata="UEsDBAoAAAAAAIdO4kAAAAAAAAAAAAAAAAAEAAAAZHJzL1BLAwQUAAAACACHTuJA7SaEA9YAAAAJ&#10;AQAADwAAAGRycy9kb3ducmV2LnhtbE2PzU7DQAyE70i8w8pIXKp20yBCCNn0AOTGhQLi6mZNEpH1&#10;ptntDzw9phe42TOj8edydXSD2tMUes8GlosEFHHjbc+tgdeXep6DChHZ4uCZDHxRgFV1flZiYf2B&#10;n2m/jq2SEg4FGuhiHAutQ9ORw7DwI7F4H35yGGWdWm0nPEi5G3SaJJl22LNc6HCk+46az/XOGQj1&#10;G23r71kzS96vWk/p9uHpEY25vFgmd6AiHeNfGH7xBR0qYdr4HdugBgPzTIIip7fXoMTP8xsZNicl&#10;A12V+v8H1Q9QSwMEFAAAAAgAh07iQDlWt0nMAQAAXgMAAA4AAABkcnMvZTJvRG9jLnhtbK1TzW4T&#10;MRC+I/EOlu9kky2J6CqbHlKVS4FILQ8wsb1ZC6/Hsp3s5iV4ASRucOLInbehPAZjJw1tuSH2MLLn&#10;55v5vvHOL4bOsJ3yQaOt+WQ05kxZgVLbTc3f3169eMVZiGAlGLSq5nsV+MXi+bN57ypVYotGKs8I&#10;xIaqdzVvY3RVUQTRqg7CCJ2yFGzQdxDp6jeF9NATemeKcjyeFT166TwKFQJ5Lw9Bvsj4TaNEfNc0&#10;QUVmak6zxWx9tutki8Ucqo0H12pxHAP+YYoOtKWmJ6hLiMC2Xv8F1WnhMWATRwK7AptGC5U5EJvJ&#10;+AmbmxacylxInOBOMoX/Byve7laeaVnzkjMLHa3o7tP3nx+//Prxmezdt6+sTCL1LlSUu7Qrn2iK&#10;wd64axQfArO4bMFuVB72du8IYZIqikcl6RIctVr3b1BSDmwjZsWGxncJkrRgQ17M/rQYNUQmyDmd&#10;nZ2/PJtyJig2o0PCh+q+1PkQXyvsWDrU3GibVIMKdtchHlLvU5Lb4pU2hvxQGcv6mp9Py2kuCGi0&#10;TMEUC36zXhrPdpDeTv6OfR+ledxaeWhi7JF2YnrQbI1yv/IpnBSgJebBjw8uvZKH95z157d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tJoQD1gAAAAkBAAAPAAAAAAAAAAEAIAAAACIAAABkcnMv&#10;ZG93bnJldi54bWxQSwECFAAUAAAACACHTuJAOVa3ScwBAABeAwAADgAAAAAAAAABACAAAAAlAQAA&#10;ZHJzL2Uyb0RvYy54bWxQSwUGAAAAAAYABgBZAQAAYwUAAAAA&#10;">
                <v:fill on="f" focussize="0,0"/>
                <v:stroke color="#000000" joinstyle="round"/>
                <v:imagedata o:title=""/>
                <o:lock v:ext="edit" aspectratio="f"/>
                <w10:wrap type="square"/>
              </v:line>
            </w:pict>
          </mc:Fallback>
        </mc:AlternateContent>
      </w:r>
      <w:r>
        <w:rPr>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412750</wp:posOffset>
                </wp:positionV>
                <wp:extent cx="5639435" cy="635"/>
                <wp:effectExtent l="0" t="0" r="0" b="0"/>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3943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3pt;margin-top:32.5pt;height:0.05pt;width:444.05pt;mso-wrap-distance-bottom:0pt;mso-wrap-distance-left:9pt;mso-wrap-distance-right:9pt;mso-wrap-distance-top:0pt;z-index:251660288;mso-width-relative:page;mso-height-relative:page;" filled="f" stroked="t" coordsize="21600,21600" o:gfxdata="UEsDBAoAAAAAAIdO4kAAAAAAAAAAAAAAAAAEAAAAZHJzL1BLAwQUAAAACACHTuJAmN1X1NUAAAAH&#10;AQAADwAAAGRycy9kb3ducmV2LnhtbE2PvU7DQBCEeyTe4bRINFFydlCMZXxOAbijIQHRbnyLbeHb&#10;c3yXH3h6NhWUszOa+bZcn92gjjSF3rOBdJGAIm687bk18Lat5zmoEJEtDp7JwDcFWFfXVyUW1p/4&#10;lY6b2Cop4VCggS7GsdA6NB05DAs/Eov36SeHUeTUajvhScrdoJdJkmmHPctChyM9dtR8bQ7OQKjf&#10;aV//zJpZ8nHXelrun16e0ZjbmzR5ABXpHP/CcMEXdKiEaecPbIMaDMwzCRrIVvKR2Hl+vwK1uxxS&#10;0FWp//NXv1BLAwQUAAAACACHTuJAiaiJ1soBAABeAwAADgAAAGRycy9lMm9Eb2MueG1srVNLjhMx&#10;EN0jcQfLe+IkQyKmlc4sMho2A0Sa4QCO7e62sF2W7aQ7l+ACSOxgxZI9t2E4BmXnAwM7RC9KdtWr&#10;V1Wv3IurwRqyUyFqcDWdjMaUKCdAatfW9O39zbMXlMTEneQGnKrpXkV6tXz6ZNH7Sk2hAyNVIEji&#10;YtX7mnYp+YqxKDpleRyBVw6DDQTLE15Dy2TgPbJbw6bj8Zz1EKQPIFSM6L0+BOmy8DeNEulN00SV&#10;iKkp9paKDcVusmXLBa/awH2nxbEN/g9dWK4dFj1TXfPEyTbov6isFgEiNGkkwDJoGi1UmQGnmYz/&#10;mOau416VWVCc6M8yxf9HK17v1oFoibujxHGLK3r48PX7+08/vn1E+/DlM5lkkXofK8Su3DrkMcXg&#10;7vwtiHeROFh13LWqNHu/98hQMtijlHyJHktt+lcgEcO3CYpiQxNspkQtyFAWsz8vRg2JCHTO5heX&#10;zy9mlAiMzfGAHTFenVJ9iOmlAkvyoaZGu6war/juNqYD9ATJbgc32piyeeNIX9PL2XRWEiIYLXMw&#10;w2JoNysTyI7nt1O+Y91HsABbJw9FjMO2TpMeNNuA3K9DDmc/LrE0fnxw+ZX8fi+oX7/F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3VfU1QAAAAcBAAAPAAAAAAAAAAEAIAAAACIAAABkcnMvZG93&#10;bnJldi54bWxQSwECFAAUAAAACACHTuJAiaiJ1soBAABeAwAADgAAAAAAAAABACAAAAAkAQAAZHJz&#10;L2Uyb0RvYy54bWxQSwUGAAAAAAYABgBZAQAAYAUAAAAA&#10;">
                <v:fill on="f" focussize="0,0"/>
                <v:stroke color="#000000" joinstyle="round"/>
                <v:imagedata o:title=""/>
                <o:lock v:ext="edit" aspectratio="f"/>
                <w10:wrap type="square"/>
              </v:line>
            </w:pict>
          </mc:Fallback>
        </mc:AlternateContent>
      </w:r>
    </w:p>
    <w:p>
      <w:pPr>
        <w:adjustRightInd w:val="0"/>
        <w:snapToGrid w:val="0"/>
        <w:spacing w:line="560" w:lineRule="exact"/>
      </w:pPr>
      <w:r>
        <w:rPr>
          <w:rFonts w:hint="eastAsia"/>
          <w:sz w:val="28"/>
          <w:szCs w:val="28"/>
        </w:rPr>
        <w:t xml:space="preserve">鄂尔多斯市东胜区政务服务中心 </w:t>
      </w:r>
      <w:r>
        <w:rPr>
          <w:sz w:val="28"/>
          <w:szCs w:val="28"/>
        </w:rPr>
        <w:t xml:space="preserve">          </w:t>
      </w:r>
      <w:r>
        <w:rPr>
          <w:rFonts w:hint="eastAsia"/>
          <w:sz w:val="28"/>
          <w:szCs w:val="28"/>
        </w:rPr>
        <w:t>202</w:t>
      </w:r>
      <w:r>
        <w:rPr>
          <w:sz w:val="28"/>
          <w:szCs w:val="28"/>
        </w:rPr>
        <w:t>2</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20</w:t>
      </w:r>
      <w:r>
        <w:rPr>
          <w:rFonts w:hint="eastAsia"/>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D7A0F"/>
    <w:rsid w:val="07F0558A"/>
    <w:rsid w:val="247D1A75"/>
    <w:rsid w:val="250D7A0F"/>
    <w:rsid w:val="2E677FC2"/>
    <w:rsid w:val="358C3835"/>
    <w:rsid w:val="38ED1983"/>
    <w:rsid w:val="4C6A0582"/>
    <w:rsid w:val="54FE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内蒙古有限公司</Company>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2023-10-08T08:05:00Z</dcterms:created>
  <dc:creator>888</dc:creator>
  <cp:lastModifiedBy>王❄️坤</cp:lastModifiedBy>
  <cp:lastPrinted>2023-10-10T06:51:00Z</cp:lastPrinted>
  <dcterms:modified xsi:type="dcterms:W3CDTF">2023-11-16T09:11:28Z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D6A74E6677B447399555188C945E8C26</vt:lpwstr>
  </property>
</Properties>
</file>