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CE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东胜区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年度公平竞争审查</w:t>
      </w:r>
    </w:p>
    <w:p w14:paraId="37DF9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考核结果的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公示</w:t>
      </w:r>
    </w:p>
    <w:p w14:paraId="2938A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东胜区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公平竞争审查联席会议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成员单位:</w:t>
      </w:r>
    </w:p>
    <w:p w14:paraId="34BE1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进一步增强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公平竞争审查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制度的权威和效能，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促进市场公平竞争，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推动经济高质量发展。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东胜区公</w:t>
      </w:r>
      <w:r>
        <w:rPr>
          <w:rFonts w:hint="eastAsia" w:ascii="仿宋_GB2312" w:hAnsi="仿宋_GB2312" w:eastAsia="仿宋_GB2312" w:cs="仿宋_GB2312"/>
          <w:sz w:val="32"/>
          <w:szCs w:val="32"/>
        </w:rPr>
        <w:t>平竞争审查工作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完善工作机制、强化考核监督、提升审查能力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东胜区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公平竞争审查工作考核方案》规定，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公平竞争审查工作联席会议办公室对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</w:rPr>
        <w:t>成员单位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工作开展情况进行了</w:t>
      </w:r>
      <w:r>
        <w:rPr>
          <w:rFonts w:hint="eastAsia" w:ascii="仿宋_GB2312" w:hAnsi="仿宋_GB2312" w:eastAsia="仿宋_GB2312" w:cs="仿宋_GB2312"/>
          <w:sz w:val="32"/>
          <w:szCs w:val="32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核评分，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现将考评结果通报如下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tbl>
      <w:tblPr>
        <w:tblStyle w:val="12"/>
        <w:tblpPr w:leftFromText="180" w:rightFromText="180" w:vertAnchor="text" w:horzAnchor="page" w:tblpX="1380" w:tblpY="416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0"/>
        <w:gridCol w:w="3015"/>
      </w:tblGrid>
      <w:tr w14:paraId="2FBF9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280" w:type="dxa"/>
          </w:tcPr>
          <w:p w14:paraId="3020C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公平竞争审查成员单位名称</w:t>
            </w:r>
          </w:p>
        </w:tc>
        <w:tc>
          <w:tcPr>
            <w:tcW w:w="3015" w:type="dxa"/>
          </w:tcPr>
          <w:p w14:paraId="178CC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考评分数</w:t>
            </w:r>
          </w:p>
        </w:tc>
      </w:tr>
      <w:tr w14:paraId="0152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280" w:type="dxa"/>
          </w:tcPr>
          <w:p w14:paraId="0B2C4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cs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东胜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市场监督管理局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3015" w:type="dxa"/>
          </w:tcPr>
          <w:p w14:paraId="03D2B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98</w:t>
            </w:r>
          </w:p>
        </w:tc>
      </w:tr>
      <w:tr w14:paraId="3699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shd w:val="clear" w:color="auto" w:fill="auto"/>
            <w:vAlign w:val="top"/>
          </w:tcPr>
          <w:p w14:paraId="46EE4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  <w:t>东胜区人力资源和社会保障局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7AA09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98</w:t>
            </w:r>
          </w:p>
        </w:tc>
      </w:tr>
      <w:tr w14:paraId="111AF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shd w:val="clear" w:color="auto" w:fill="auto"/>
            <w:vAlign w:val="top"/>
          </w:tcPr>
          <w:p w14:paraId="004E3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  <w:t>东胜区发展和改革委员会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009F3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97</w:t>
            </w:r>
          </w:p>
        </w:tc>
      </w:tr>
      <w:tr w14:paraId="57001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</w:tcPr>
          <w:p w14:paraId="3C98E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  <w:t>东胜区司法局</w:t>
            </w:r>
          </w:p>
        </w:tc>
        <w:tc>
          <w:tcPr>
            <w:tcW w:w="3015" w:type="dxa"/>
          </w:tcPr>
          <w:p w14:paraId="3553A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97</w:t>
            </w:r>
          </w:p>
        </w:tc>
      </w:tr>
      <w:tr w14:paraId="2A14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shd w:val="clear" w:color="auto" w:fill="auto"/>
            <w:vAlign w:val="top"/>
          </w:tcPr>
          <w:p w14:paraId="1E4BF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  <w:t>东胜区商务局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43F9E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97</w:t>
            </w:r>
          </w:p>
        </w:tc>
      </w:tr>
      <w:tr w14:paraId="543CE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shd w:val="clear" w:color="auto" w:fill="auto"/>
            <w:vAlign w:val="top"/>
          </w:tcPr>
          <w:p w14:paraId="787BD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  <w:t>东胜区应急管理局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03531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97</w:t>
            </w:r>
          </w:p>
        </w:tc>
      </w:tr>
      <w:tr w14:paraId="66D6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shd w:val="clear" w:color="auto" w:fill="auto"/>
            <w:vAlign w:val="top"/>
          </w:tcPr>
          <w:p w14:paraId="53B61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  <w:t>东胜区教育体育局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093F6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97</w:t>
            </w:r>
          </w:p>
        </w:tc>
      </w:tr>
      <w:tr w14:paraId="2EAB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shd w:val="clear" w:color="auto" w:fill="auto"/>
            <w:vAlign w:val="top"/>
          </w:tcPr>
          <w:p w14:paraId="639EE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  <w:t>鄂尔多斯市生态环境局东胜区分局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0973A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97</w:t>
            </w:r>
          </w:p>
        </w:tc>
      </w:tr>
      <w:tr w14:paraId="0ADC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shd w:val="clear" w:color="auto" w:fill="auto"/>
            <w:vAlign w:val="top"/>
          </w:tcPr>
          <w:p w14:paraId="74F39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  <w:t>东胜区文化和旅游局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24952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97</w:t>
            </w:r>
          </w:p>
        </w:tc>
      </w:tr>
      <w:tr w14:paraId="4623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shd w:val="clear" w:color="auto" w:fill="auto"/>
            <w:vAlign w:val="top"/>
          </w:tcPr>
          <w:p w14:paraId="1BBF0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  <w:t>东胜区代建中心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230B5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97</w:t>
            </w:r>
          </w:p>
        </w:tc>
      </w:tr>
      <w:tr w14:paraId="1FC13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shd w:val="clear" w:color="auto" w:fill="auto"/>
            <w:vAlign w:val="top"/>
          </w:tcPr>
          <w:p w14:paraId="73968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  <w:t>鄂尔多斯市公安局东胜区分局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34BCB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96</w:t>
            </w:r>
          </w:p>
        </w:tc>
      </w:tr>
      <w:tr w14:paraId="032DC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</w:tcPr>
          <w:p w14:paraId="31C4E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  <w:t>东胜区工信和科技局</w:t>
            </w:r>
          </w:p>
        </w:tc>
        <w:tc>
          <w:tcPr>
            <w:tcW w:w="3015" w:type="dxa"/>
          </w:tcPr>
          <w:p w14:paraId="72164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96</w:t>
            </w:r>
          </w:p>
        </w:tc>
      </w:tr>
      <w:tr w14:paraId="1B5C6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</w:tcPr>
          <w:p w14:paraId="49840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  <w:t>东胜区民政局</w:t>
            </w:r>
          </w:p>
        </w:tc>
        <w:tc>
          <w:tcPr>
            <w:tcW w:w="3015" w:type="dxa"/>
          </w:tcPr>
          <w:p w14:paraId="27300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96</w:t>
            </w:r>
          </w:p>
        </w:tc>
      </w:tr>
      <w:tr w14:paraId="409AF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shd w:val="clear" w:color="auto" w:fill="auto"/>
            <w:vAlign w:val="top"/>
          </w:tcPr>
          <w:p w14:paraId="25632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  <w:t>东胜区能源局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29BB8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96</w:t>
            </w:r>
          </w:p>
        </w:tc>
      </w:tr>
      <w:tr w14:paraId="4BD8B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shd w:val="clear" w:color="auto" w:fill="auto"/>
            <w:vAlign w:val="top"/>
          </w:tcPr>
          <w:p w14:paraId="7424B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  <w:t>东胜区医疗保障局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1E71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96</w:t>
            </w:r>
          </w:p>
        </w:tc>
      </w:tr>
      <w:tr w14:paraId="06148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shd w:val="clear" w:color="auto" w:fill="auto"/>
            <w:vAlign w:val="top"/>
          </w:tcPr>
          <w:p w14:paraId="68C9D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  <w:t>东胜区房屋征收服务中心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56FA4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96</w:t>
            </w:r>
          </w:p>
        </w:tc>
      </w:tr>
      <w:tr w14:paraId="5A497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shd w:val="clear" w:color="auto" w:fill="auto"/>
            <w:vAlign w:val="top"/>
          </w:tcPr>
          <w:p w14:paraId="5A947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  <w:t>东胜区卫生健康委员会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23D82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96</w:t>
            </w:r>
          </w:p>
        </w:tc>
      </w:tr>
      <w:tr w14:paraId="7FF54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shd w:val="clear" w:color="auto" w:fill="auto"/>
            <w:vAlign w:val="top"/>
          </w:tcPr>
          <w:p w14:paraId="76CE4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  <w:t>东胜区国有资产监督管理委员会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4C249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96</w:t>
            </w:r>
          </w:p>
        </w:tc>
      </w:tr>
      <w:tr w14:paraId="644E0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shd w:val="clear" w:color="auto" w:fill="auto"/>
            <w:vAlign w:val="top"/>
          </w:tcPr>
          <w:p w14:paraId="16D8F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  <w:t>东胜区城市管理综合行政执法局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15DDF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96</w:t>
            </w:r>
          </w:p>
        </w:tc>
      </w:tr>
      <w:tr w14:paraId="009E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shd w:val="clear" w:color="auto" w:fill="auto"/>
            <w:vAlign w:val="top"/>
          </w:tcPr>
          <w:p w14:paraId="41E76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  <w:t>东胜区财政局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2151E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95</w:t>
            </w:r>
          </w:p>
        </w:tc>
      </w:tr>
      <w:tr w14:paraId="7D458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shd w:val="clear" w:color="auto" w:fill="auto"/>
            <w:vAlign w:val="top"/>
          </w:tcPr>
          <w:p w14:paraId="3DBD2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  <w:t>东胜区农牧局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4D6AF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95</w:t>
            </w:r>
          </w:p>
        </w:tc>
      </w:tr>
      <w:tr w14:paraId="30C65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</w:tcPr>
          <w:p w14:paraId="6D634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  <w:t>国家税务总局鄂尔多斯市东胜区税务局</w:t>
            </w:r>
          </w:p>
        </w:tc>
        <w:tc>
          <w:tcPr>
            <w:tcW w:w="3015" w:type="dxa"/>
          </w:tcPr>
          <w:p w14:paraId="3E6E6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95</w:t>
            </w:r>
          </w:p>
        </w:tc>
      </w:tr>
      <w:tr w14:paraId="6F62D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shd w:val="clear" w:color="auto" w:fill="auto"/>
            <w:vAlign w:val="top"/>
          </w:tcPr>
          <w:p w14:paraId="2582E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  <w:t>东胜区住房和城乡建设局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04C16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95</w:t>
            </w:r>
          </w:p>
        </w:tc>
      </w:tr>
      <w:tr w14:paraId="5B468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280" w:type="dxa"/>
            <w:shd w:val="clear" w:color="auto" w:fill="auto"/>
            <w:vAlign w:val="top"/>
          </w:tcPr>
          <w:p w14:paraId="2E22B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  <w:t>东胜区水利局</w:t>
            </w:r>
          </w:p>
        </w:tc>
        <w:tc>
          <w:tcPr>
            <w:tcW w:w="3015" w:type="dxa"/>
            <w:shd w:val="clear" w:color="auto" w:fill="auto"/>
            <w:vAlign w:val="top"/>
          </w:tcPr>
          <w:p w14:paraId="0C5B1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cs w:val="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93</w:t>
            </w:r>
          </w:p>
        </w:tc>
      </w:tr>
      <w:tr w14:paraId="2014E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</w:tcPr>
          <w:p w14:paraId="483A2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  <w:t>东胜区交通局</w:t>
            </w:r>
          </w:p>
        </w:tc>
        <w:tc>
          <w:tcPr>
            <w:tcW w:w="3015" w:type="dxa"/>
          </w:tcPr>
          <w:p w14:paraId="05AB0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87</w:t>
            </w:r>
          </w:p>
        </w:tc>
      </w:tr>
      <w:tr w14:paraId="2DA3A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</w:tcPr>
          <w:p w14:paraId="1785D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eastAsia="zh-CN"/>
              </w:rPr>
              <w:t>鄂尔多斯市自然资源局东胜区分局</w:t>
            </w:r>
          </w:p>
        </w:tc>
        <w:tc>
          <w:tcPr>
            <w:tcW w:w="3015" w:type="dxa"/>
          </w:tcPr>
          <w:p w14:paraId="1C944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cs w:val="0"/>
                <w:lang w:val="en-US" w:eastAsia="zh-CN"/>
              </w:rPr>
              <w:t>80</w:t>
            </w:r>
          </w:p>
        </w:tc>
      </w:tr>
    </w:tbl>
    <w:p w14:paraId="5646B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4821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2BF4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1B58F28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cs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cs w:val="0"/>
          <w:lang w:val="en-US" w:eastAsia="zh-CN" w:bidi="ar-SA"/>
        </w:rPr>
        <w:t>鄂尔多斯市东胜区公平竞争审查联席会议办公室</w:t>
      </w:r>
    </w:p>
    <w:p w14:paraId="7DE792D1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4157" w:leftChars="608" w:right="0" w:rightChars="0" w:hanging="2880" w:hangingChars="9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cs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cs w:val="0"/>
          <w:lang w:val="en-US" w:eastAsia="zh-CN" w:bidi="ar-SA"/>
        </w:rPr>
        <w:t xml:space="preserve">      鄂尔多斯市东胜区市场监督管理局（代章）                            2024年12月16日</w:t>
      </w:r>
    </w:p>
    <w:p w14:paraId="2B06C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2BEF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6F5152"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6F5152"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GNmNzVlNzhiMDM4MDQ3OTRhZTUzYjViMjBjYjMifQ=="/>
  </w:docVars>
  <w:rsids>
    <w:rsidRoot w:val="74A02267"/>
    <w:rsid w:val="00005A58"/>
    <w:rsid w:val="000C2009"/>
    <w:rsid w:val="001237BE"/>
    <w:rsid w:val="0017501E"/>
    <w:rsid w:val="001A7E2F"/>
    <w:rsid w:val="0020382B"/>
    <w:rsid w:val="00224AE2"/>
    <w:rsid w:val="00342B71"/>
    <w:rsid w:val="003946D8"/>
    <w:rsid w:val="00491CEF"/>
    <w:rsid w:val="004B5B9A"/>
    <w:rsid w:val="004D3896"/>
    <w:rsid w:val="005F4ECA"/>
    <w:rsid w:val="006501B8"/>
    <w:rsid w:val="007A5981"/>
    <w:rsid w:val="007F5297"/>
    <w:rsid w:val="008174D9"/>
    <w:rsid w:val="00822A72"/>
    <w:rsid w:val="00914AE6"/>
    <w:rsid w:val="009608C1"/>
    <w:rsid w:val="009979C7"/>
    <w:rsid w:val="00B04226"/>
    <w:rsid w:val="00B84988"/>
    <w:rsid w:val="00CB19F1"/>
    <w:rsid w:val="00D90792"/>
    <w:rsid w:val="00D941D2"/>
    <w:rsid w:val="00DE5830"/>
    <w:rsid w:val="00E47E7E"/>
    <w:rsid w:val="00E55C64"/>
    <w:rsid w:val="00E914E4"/>
    <w:rsid w:val="00F01975"/>
    <w:rsid w:val="00F03A96"/>
    <w:rsid w:val="00F1197A"/>
    <w:rsid w:val="01264C3D"/>
    <w:rsid w:val="02B60A90"/>
    <w:rsid w:val="065A6FA7"/>
    <w:rsid w:val="070872AE"/>
    <w:rsid w:val="0A894677"/>
    <w:rsid w:val="0C231B02"/>
    <w:rsid w:val="0DC101F2"/>
    <w:rsid w:val="0E453AA1"/>
    <w:rsid w:val="0F405D72"/>
    <w:rsid w:val="0FB00BF3"/>
    <w:rsid w:val="125E4DC1"/>
    <w:rsid w:val="13591F2C"/>
    <w:rsid w:val="18217889"/>
    <w:rsid w:val="1BCE2DA3"/>
    <w:rsid w:val="1C6542B2"/>
    <w:rsid w:val="1CA50A52"/>
    <w:rsid w:val="1E757C88"/>
    <w:rsid w:val="1E932A4C"/>
    <w:rsid w:val="1EA638ED"/>
    <w:rsid w:val="25484605"/>
    <w:rsid w:val="25AF2225"/>
    <w:rsid w:val="260656A7"/>
    <w:rsid w:val="264B793C"/>
    <w:rsid w:val="26A34C93"/>
    <w:rsid w:val="27E37895"/>
    <w:rsid w:val="28F91E03"/>
    <w:rsid w:val="2928453B"/>
    <w:rsid w:val="2DF251FE"/>
    <w:rsid w:val="2E6C5A91"/>
    <w:rsid w:val="2E6F211F"/>
    <w:rsid w:val="2F0C54C5"/>
    <w:rsid w:val="2F7D06E3"/>
    <w:rsid w:val="355F7EFA"/>
    <w:rsid w:val="35E61257"/>
    <w:rsid w:val="35F46FB1"/>
    <w:rsid w:val="368528E8"/>
    <w:rsid w:val="374675C3"/>
    <w:rsid w:val="377F4EBA"/>
    <w:rsid w:val="39456D42"/>
    <w:rsid w:val="3A0354E8"/>
    <w:rsid w:val="3B5D2D00"/>
    <w:rsid w:val="3C385B36"/>
    <w:rsid w:val="3E395A8B"/>
    <w:rsid w:val="415B2315"/>
    <w:rsid w:val="42390B0D"/>
    <w:rsid w:val="425E6111"/>
    <w:rsid w:val="441915E8"/>
    <w:rsid w:val="45612558"/>
    <w:rsid w:val="461F38CB"/>
    <w:rsid w:val="475C073D"/>
    <w:rsid w:val="49653AE8"/>
    <w:rsid w:val="4A8A5946"/>
    <w:rsid w:val="4B2A15DD"/>
    <w:rsid w:val="4C2B21CC"/>
    <w:rsid w:val="4D527205"/>
    <w:rsid w:val="4D994499"/>
    <w:rsid w:val="4E994E01"/>
    <w:rsid w:val="4FBE01E7"/>
    <w:rsid w:val="51595741"/>
    <w:rsid w:val="51DF7300"/>
    <w:rsid w:val="527E4E8E"/>
    <w:rsid w:val="55A76C6D"/>
    <w:rsid w:val="56102E1E"/>
    <w:rsid w:val="57521214"/>
    <w:rsid w:val="57541DE0"/>
    <w:rsid w:val="57583CC0"/>
    <w:rsid w:val="583D480F"/>
    <w:rsid w:val="59461638"/>
    <w:rsid w:val="595C1EBC"/>
    <w:rsid w:val="59A14509"/>
    <w:rsid w:val="5A207BC6"/>
    <w:rsid w:val="5AB12894"/>
    <w:rsid w:val="5BD85ABF"/>
    <w:rsid w:val="5D2A5A46"/>
    <w:rsid w:val="5DA155BF"/>
    <w:rsid w:val="5E6E3B5E"/>
    <w:rsid w:val="5E993BCD"/>
    <w:rsid w:val="5FD3707C"/>
    <w:rsid w:val="6076669D"/>
    <w:rsid w:val="63252EC9"/>
    <w:rsid w:val="634877EE"/>
    <w:rsid w:val="651B1CA8"/>
    <w:rsid w:val="65620306"/>
    <w:rsid w:val="657B13F8"/>
    <w:rsid w:val="69914D94"/>
    <w:rsid w:val="6DF8446C"/>
    <w:rsid w:val="6E5E76C8"/>
    <w:rsid w:val="6E61426C"/>
    <w:rsid w:val="6FD259F2"/>
    <w:rsid w:val="7065125B"/>
    <w:rsid w:val="7457572B"/>
    <w:rsid w:val="74A02267"/>
    <w:rsid w:val="75076B07"/>
    <w:rsid w:val="761132EE"/>
    <w:rsid w:val="762304F4"/>
    <w:rsid w:val="767A1EB3"/>
    <w:rsid w:val="779C3202"/>
    <w:rsid w:val="77C67CCB"/>
    <w:rsid w:val="78233148"/>
    <w:rsid w:val="78C671F3"/>
    <w:rsid w:val="79206F6D"/>
    <w:rsid w:val="7A2C321F"/>
    <w:rsid w:val="7AEE52AF"/>
    <w:rsid w:val="7B4122BB"/>
    <w:rsid w:val="7BC16CE6"/>
    <w:rsid w:val="7E14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99"/>
    <w:pPr>
      <w:spacing w:after="120"/>
    </w:pPr>
    <w:rPr>
      <w:rFonts w:hint="eastAsia"/>
    </w:r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99"/>
    <w:pPr>
      <w:ind w:firstLine="640" w:firstLineChars="200"/>
    </w:pPr>
    <w:rPr>
      <w:rFonts w:ascii="仿宋_GB2312" w:cs="黑体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Title"/>
    <w:basedOn w:val="1"/>
    <w:next w:val="1"/>
    <w:qFormat/>
    <w:uiPriority w:val="99"/>
    <w:pPr>
      <w:widowControl w:val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BodyText"/>
    <w:basedOn w:val="1"/>
    <w:qFormat/>
    <w:uiPriority w:val="0"/>
    <w:pPr>
      <w:spacing w:after="120" w:line="240" w:lineRule="auto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15">
    <w:name w:val="批注框文本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  <w:rPr>
      <w:rFonts w:ascii="仿宋_GB2312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524</Words>
  <Characters>562</Characters>
  <Lines>9</Lines>
  <Paragraphs>2</Paragraphs>
  <TotalTime>2</TotalTime>
  <ScaleCrop>false</ScaleCrop>
  <LinksUpToDate>false</LinksUpToDate>
  <CharactersWithSpaces>624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2023-03-21T03:40:00Z</dcterms:created>
  <dc:creator>莫浅忆</dc:creator>
  <cp:lastModifiedBy>言不由衷</cp:lastModifiedBy>
  <cp:lastPrinted>2024-11-19T00:24:00Z</cp:lastPrinted>
  <dcterms:modified xsi:type="dcterms:W3CDTF">2024-12-24T00:44:30Z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D678441C4A444617AABF670A70000C2C_13</vt:lpwstr>
  </property>
</Properties>
</file>