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color w:val="auto"/>
          <w:lang w:eastAsia="zh-CN"/>
        </w:rPr>
      </w:pPr>
    </w:p>
    <w:p>
      <w:pPr>
        <w:spacing w:line="620" w:lineRule="exact"/>
        <w:rPr>
          <w:rFonts w:hint="eastAsia" w:ascii="仿宋_GB2312" w:hAnsi="仿宋" w:eastAsia="仿宋_GB2312"/>
          <w:color w:val="auto"/>
          <w:sz w:val="32"/>
          <w:szCs w:val="32"/>
        </w:rPr>
      </w:pPr>
    </w:p>
    <w:p>
      <w:pPr>
        <w:spacing w:line="620" w:lineRule="exact"/>
        <w:rPr>
          <w:rFonts w:hint="eastAsia" w:ascii="仿宋_GB2312" w:hAnsi="仿宋" w:eastAsia="仿宋_GB2312"/>
          <w:color w:val="auto"/>
          <w:sz w:val="32"/>
          <w:szCs w:val="32"/>
        </w:rPr>
      </w:pPr>
    </w:p>
    <w:p>
      <w:pPr>
        <w:spacing w:line="620" w:lineRule="exact"/>
        <w:rPr>
          <w:rFonts w:hint="eastAsia" w:ascii="仿宋_GB2312" w:hAnsi="仿宋" w:eastAsia="仿宋_GB2312"/>
          <w:color w:val="auto"/>
          <w:sz w:val="32"/>
          <w:szCs w:val="32"/>
        </w:rPr>
      </w:pPr>
    </w:p>
    <w:p>
      <w:pPr>
        <w:spacing w:line="620" w:lineRule="exact"/>
        <w:rPr>
          <w:rFonts w:hint="eastAsia" w:ascii="仿宋_GB2312" w:hAnsi="仿宋" w:eastAsia="仿宋_GB2312"/>
          <w:color w:val="auto"/>
          <w:sz w:val="32"/>
          <w:szCs w:val="32"/>
        </w:rPr>
      </w:pPr>
    </w:p>
    <w:p>
      <w:pPr>
        <w:spacing w:line="620" w:lineRule="exact"/>
        <w:rPr>
          <w:rFonts w:hint="eastAsia" w:ascii="仿宋_GB2312" w:hAnsi="仿宋" w:eastAsia="仿宋_GB2312"/>
          <w:color w:val="auto"/>
          <w:sz w:val="32"/>
          <w:szCs w:val="32"/>
        </w:rPr>
      </w:pPr>
    </w:p>
    <w:p>
      <w:pPr>
        <w:spacing w:line="620" w:lineRule="exact"/>
        <w:jc w:val="both"/>
        <w:rPr>
          <w:rFonts w:hint="eastAsia" w:ascii="仿宋_GB2312" w:hAnsi="仿宋" w:eastAsia="仿宋_GB2312"/>
          <w:color w:val="auto"/>
          <w:sz w:val="32"/>
          <w:szCs w:val="32"/>
        </w:rPr>
      </w:pPr>
    </w:p>
    <w:p>
      <w:pPr>
        <w:pStyle w:val="2"/>
        <w:rPr>
          <w:rFonts w:hint="eastAsia"/>
        </w:rPr>
      </w:pPr>
    </w:p>
    <w:p>
      <w:pPr>
        <w:tabs>
          <w:tab w:val="left" w:pos="6516"/>
        </w:tabs>
        <w:spacing w:line="620" w:lineRule="exact"/>
        <w:jc w:val="left"/>
        <w:rPr>
          <w:rFonts w:hint="eastAsia" w:ascii="仿宋_GB2312" w:hAnsi="仿宋" w:eastAsia="仿宋_GB2312"/>
          <w:color w:val="auto"/>
          <w:sz w:val="32"/>
          <w:szCs w:val="32"/>
        </w:rPr>
      </w:pPr>
    </w:p>
    <w:p>
      <w:pPr>
        <w:tabs>
          <w:tab w:val="left" w:pos="6516"/>
        </w:tabs>
        <w:spacing w:line="620" w:lineRule="exact"/>
        <w:jc w:val="left"/>
        <w:rPr>
          <w:rFonts w:hint="eastAsia" w:ascii="仿宋_GB2312" w:hAnsi="仿宋"/>
          <w:color w:val="auto"/>
          <w:sz w:val="32"/>
          <w:szCs w:val="32"/>
          <w:lang w:val="en-US" w:eastAsia="zh-CN"/>
        </w:rPr>
      </w:pPr>
      <w:r>
        <w:rPr>
          <w:rFonts w:hint="eastAsia" w:ascii="仿宋_GB2312" w:hAnsi="仿宋" w:eastAsia="仿宋_GB2312"/>
          <w:color w:val="auto"/>
          <w:sz w:val="32"/>
          <w:szCs w:val="32"/>
        </w:rPr>
        <w:t>东民</w:t>
      </w:r>
      <w:r>
        <w:rPr>
          <w:rFonts w:hint="eastAsia" w:ascii="仿宋_GB2312" w:hAnsi="仿宋"/>
          <w:color w:val="auto"/>
          <w:sz w:val="32"/>
          <w:szCs w:val="32"/>
          <w:lang w:val="en-US" w:eastAsia="zh-CN"/>
        </w:rPr>
        <w:t>发</w:t>
      </w:r>
      <w:r>
        <w:rPr>
          <w:rFonts w:hint="eastAsia" w:ascii="仿宋_GB2312" w:hAnsi="仿宋" w:eastAsia="仿宋_GB2312"/>
          <w:color w:val="auto"/>
          <w:sz w:val="32"/>
          <w:szCs w:val="32"/>
        </w:rPr>
        <w:t>〔202</w:t>
      </w:r>
      <w:r>
        <w:rPr>
          <w:rFonts w:hint="eastAsia" w:ascii="仿宋_GB2312" w:hAnsi="仿宋"/>
          <w:color w:val="auto"/>
          <w:sz w:val="32"/>
          <w:szCs w:val="32"/>
          <w:lang w:val="en-US" w:eastAsia="zh-CN"/>
        </w:rPr>
        <w:t>5</w:t>
      </w:r>
      <w:r>
        <w:rPr>
          <w:rFonts w:hint="eastAsia" w:ascii="仿宋_GB2312" w:hAnsi="仿宋" w:eastAsia="仿宋_GB2312"/>
          <w:color w:val="auto"/>
          <w:sz w:val="32"/>
          <w:szCs w:val="32"/>
        </w:rPr>
        <w:t>〕</w:t>
      </w:r>
      <w:r>
        <w:rPr>
          <w:rFonts w:hint="eastAsia" w:ascii="仿宋_GB2312" w:hAnsi="仿宋"/>
          <w:color w:val="auto"/>
          <w:sz w:val="32"/>
          <w:szCs w:val="32"/>
          <w:lang w:val="en-US" w:eastAsia="zh-CN"/>
        </w:rPr>
        <w:t>35</w:t>
      </w:r>
      <w:r>
        <w:rPr>
          <w:rFonts w:hint="eastAsia" w:ascii="仿宋_GB2312" w:hAnsi="仿宋" w:eastAsia="仿宋_GB2312"/>
          <w:color w:val="auto"/>
          <w:sz w:val="32"/>
          <w:szCs w:val="32"/>
        </w:rPr>
        <w:t>号</w:t>
      </w:r>
      <w:r>
        <w:rPr>
          <w:rFonts w:hint="eastAsia" w:ascii="仿宋_GB2312" w:hAnsi="仿宋"/>
          <w:color w:val="auto"/>
          <w:sz w:val="32"/>
          <w:szCs w:val="32"/>
          <w:lang w:eastAsia="zh-CN"/>
        </w:rPr>
        <w:tab/>
      </w:r>
      <w:r>
        <w:rPr>
          <w:rFonts w:hint="eastAsia" w:ascii="仿宋_GB2312" w:hAnsi="仿宋"/>
          <w:color w:val="auto"/>
          <w:sz w:val="32"/>
          <w:szCs w:val="32"/>
          <w:lang w:val="en-US" w:eastAsia="zh-CN"/>
        </w:rPr>
        <w:t>签发人：孙军</w:t>
      </w:r>
    </w:p>
    <w:p>
      <w:pPr>
        <w:pStyle w:val="2"/>
        <w:rPr>
          <w:rFonts w:hint="eastAsia" w:ascii="仿宋_GB2312" w:hAnsi="仿宋"/>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color w:val="auto"/>
          <w:lang w:eastAsia="zh-CN"/>
        </w:rPr>
      </w:pPr>
      <w:r>
        <w:rPr>
          <w:rFonts w:hint="eastAsia" w:ascii="方正小标宋简体" w:hAnsi="方正小标宋简体" w:eastAsia="方正小标宋简体" w:cs="方正小标宋简体"/>
          <w:sz w:val="44"/>
          <w:szCs w:val="44"/>
          <w:lang w:val="en-US" w:eastAsia="zh-CN"/>
        </w:rPr>
        <w:t>鄂尔多斯市东胜区民政局关于转发《鄂尔多斯市权益保障专项工作机制老龄工作委员会办公室关于印发鄂尔多斯市深入开展新时代“银龄行动”实施方案的通知》的通知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cs="仿宋_GB2312"/>
          <w:kern w:val="0"/>
          <w:sz w:val="32"/>
          <w:szCs w:val="32"/>
          <w:lang w:val="en-US" w:eastAsia="zh-CN" w:bidi="ar-SA"/>
        </w:rPr>
        <w:t>各镇、街道办事处</w:t>
      </w:r>
      <w:r>
        <w:rPr>
          <w:rFonts w:hint="eastAsia" w:ascii="仿宋_GB2312" w:hAnsi="仿宋_GB2312" w:eastAsia="仿宋_GB2312" w:cs="仿宋_GB2312"/>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cs="仿宋_GB2312"/>
          <w:sz w:val="32"/>
          <w:szCs w:val="32"/>
          <w:lang w:val="en-US" w:eastAsia="zh-CN"/>
        </w:rPr>
      </w:pPr>
      <w:r>
        <w:rPr>
          <w:rFonts w:hint="eastAsia" w:ascii="仿宋_GB2312" w:hAnsi="仿宋"/>
          <w:color w:val="auto"/>
          <w:sz w:val="32"/>
          <w:szCs w:val="32"/>
          <w:lang w:val="en-US" w:eastAsia="zh-CN"/>
        </w:rPr>
        <w:t xml:space="preserve">   </w:t>
      </w:r>
      <w:r>
        <w:rPr>
          <w:rFonts w:hint="eastAsia" w:ascii="仿宋_GB2312" w:hAnsi="仿宋_GB2312" w:cs="仿宋_GB2312"/>
          <w:sz w:val="32"/>
          <w:szCs w:val="32"/>
          <w:lang w:val="en-US" w:eastAsia="zh-CN"/>
        </w:rPr>
        <w:t>现将鄂尔多斯市权益保障专项工作机制老龄工作委员会办公室关于印发《鄂尔多斯市深入开展新时代“银龄行动”实施方案的通知》的通知（鄂老龄办发〔2025〕5号）文件转发给你们。按照相关要求开展工作。</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鄂</w:t>
      </w:r>
      <w:r>
        <w:rPr>
          <w:rFonts w:hint="eastAsia" w:ascii="仿宋_GB2312" w:hAnsi="仿宋_GB2312" w:eastAsia="仿宋_GB2312" w:cs="仿宋_GB2312"/>
          <w:sz w:val="32"/>
          <w:szCs w:val="32"/>
        </w:rPr>
        <w:t>尔多斯市东胜区民政局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20</w:t>
      </w:r>
      <w:r>
        <w:rPr>
          <w:rFonts w:hint="eastAsia" w:ascii="仿宋_GB2312" w:hAnsi="仿宋_GB2312" w:eastAsia="仿宋_GB2312" w:cs="仿宋_GB2312"/>
          <w:sz w:val="32"/>
          <w:szCs w:val="32"/>
        </w:rPr>
        <w:t>日</w:t>
      </w:r>
    </w:p>
    <w:p>
      <w:pPr>
        <w:pStyle w:val="2"/>
        <w:ind w:left="0" w:leftChars="0" w:firstLine="0" w:firstLineChars="0"/>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（此页无正文）</w:t>
      </w:r>
      <w:bookmarkStart w:id="0" w:name="_GoBack"/>
      <w:bookmarkEnd w:id="0"/>
    </w:p>
    <w:p>
      <w:pPr>
        <w:rPr>
          <w:rFonts w:hint="eastAsia" w:ascii="仿宋_GB2312" w:hAnsi="仿宋_GB2312" w:eastAsia="仿宋_GB2312" w:cs="仿宋_GB2312"/>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2"/>
        <w:ind w:left="0" w:leftChars="0" w:firstLine="0" w:firstLineChars="0"/>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tbl>
      <w:tblPr>
        <w:tblStyle w:val="5"/>
        <w:tblW w:w="9061"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PrEx>
        <w:tc>
          <w:tcPr>
            <w:tcW w:w="906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right="0" w:rightChars="0" w:firstLine="280" w:firstLineChars="100"/>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鄂尔多斯市东胜区</w:t>
            </w:r>
            <w:r>
              <w:rPr>
                <w:rFonts w:hint="eastAsia" w:ascii="仿宋_GB2312" w:hAnsi="仿宋_GB2312" w:eastAsia="仿宋_GB2312" w:cs="仿宋_GB2312"/>
                <w:sz w:val="28"/>
                <w:szCs w:val="28"/>
                <w:lang w:val="en-US" w:eastAsia="zh-CN"/>
              </w:rPr>
              <w:t>民政局</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w:t>
            </w:r>
            <w:r>
              <w:rPr>
                <w:rFonts w:hint="eastAsia" w:ascii="仿宋_GB2312" w:hAnsi="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cs="仿宋_GB2312"/>
                <w:sz w:val="28"/>
                <w:szCs w:val="28"/>
                <w:lang w:val="en-US" w:eastAsia="zh-CN"/>
              </w:rPr>
              <w:t>20</w:t>
            </w:r>
            <w:r>
              <w:rPr>
                <w:rFonts w:hint="eastAsia" w:ascii="仿宋_GB2312" w:hAnsi="仿宋_GB2312" w:eastAsia="仿宋_GB2312" w:cs="仿宋_GB2312"/>
                <w:sz w:val="28"/>
                <w:szCs w:val="28"/>
              </w:rPr>
              <w:t>日印发</w:t>
            </w:r>
          </w:p>
        </w:tc>
      </w:tr>
    </w:tbl>
    <w:p>
      <w:pPr>
        <w:rPr>
          <w:rFonts w:hint="default"/>
          <w:lang w:val="en-US" w:eastAsia="zh-CN"/>
        </w:rPr>
      </w:pPr>
    </w:p>
    <w:p>
      <w:pPr>
        <w:spacing w:line="620" w:lineRule="exact"/>
        <w:rPr>
          <w:rFonts w:hint="eastAsia" w:ascii="仿宋_GB2312" w:hAnsi="仿宋" w:eastAsia="仿宋_GB2312"/>
          <w:color w:val="auto"/>
          <w:sz w:val="32"/>
          <w:szCs w:val="32"/>
        </w:rPr>
      </w:pPr>
    </w:p>
    <w:p>
      <w:pPr>
        <w:spacing w:line="620" w:lineRule="exact"/>
        <w:rPr>
          <w:rFonts w:hint="eastAsia" w:ascii="仿宋_GB2312" w:hAnsi="仿宋" w:eastAsia="仿宋_GB2312"/>
          <w:color w:val="auto"/>
          <w:sz w:val="32"/>
          <w:szCs w:val="32"/>
        </w:rPr>
      </w:pPr>
    </w:p>
    <w:p>
      <w:pPr>
        <w:spacing w:line="620" w:lineRule="exact"/>
        <w:rPr>
          <w:rFonts w:hint="eastAsia" w:ascii="仿宋_GB2312" w:hAnsi="仿宋" w:eastAsia="仿宋_GB2312"/>
          <w:color w:val="auto"/>
          <w:sz w:val="32"/>
          <w:szCs w:val="32"/>
        </w:rPr>
      </w:pPr>
    </w:p>
    <w:p>
      <w:pPr>
        <w:spacing w:line="620" w:lineRule="exact"/>
        <w:jc w:val="both"/>
        <w:rPr>
          <w:rFonts w:hint="eastAsia" w:ascii="仿宋_GB2312" w:hAnsi="仿宋" w:eastAsia="仿宋_GB2312"/>
          <w:color w:val="auto"/>
          <w:sz w:val="32"/>
          <w:szCs w:val="32"/>
        </w:rPr>
      </w:pPr>
    </w:p>
    <w:p>
      <w:pPr>
        <w:pStyle w:val="2"/>
        <w:rPr>
          <w:rFonts w:hint="eastAsia" w:ascii="仿宋_GB2312" w:hAnsi="仿宋"/>
          <w:color w:val="auto"/>
          <w:sz w:val="32"/>
          <w:szCs w:val="32"/>
          <w:lang w:val="en-US" w:eastAsia="zh-CN"/>
        </w:rPr>
      </w:pPr>
    </w:p>
    <w:p>
      <w:pPr>
        <w:rPr>
          <w:rFonts w:hint="default"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624EB"/>
    <w:rsid w:val="3A602902"/>
    <w:rsid w:val="3B4C7E47"/>
    <w:rsid w:val="74B24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index 6"/>
    <w:basedOn w:val="1"/>
    <w:next w:val="1"/>
    <w:qFormat/>
    <w:uiPriority w:val="0"/>
    <w:pPr>
      <w:ind w:firstLine="200" w:firstLineChars="200"/>
    </w:pPr>
    <w:rPr>
      <w:rFonts w:ascii="楷体_GB2312" w:eastAsia="楷体_GB2312"/>
      <w:bCs/>
      <w:color w:val="000000"/>
      <w:sz w:val="32"/>
      <w:szCs w:val="32"/>
    </w:rPr>
  </w:style>
  <w:style w:type="paragraph" w:styleId="3">
    <w:name w:val="Body Text"/>
    <w:basedOn w:val="1"/>
    <w:next w:val="1"/>
    <w:qFormat/>
    <w:uiPriority w:val="0"/>
    <w:pPr>
      <w:spacing w:after="120"/>
    </w:pPr>
    <w:rPr>
      <w:rFonts w:hint="eastAsia" w:ascii="Times New Roman" w:hAnsi="Times New Roman" w:eastAsia="宋体" w:cs="Times New Roma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2025-06-23T03:12:00Z</dcterms:created>
  <cp:lastModifiedBy>东胜区民政局</cp:lastModifiedBy>
  <dcterms:modified xsi:type="dcterms:W3CDTF">2025-06-23T03:17:13Z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