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仿宋_GB2312" w:eastAsia="仿宋_GB2312"/>
          <w:sz w:val="32"/>
        </w:rPr>
      </w:pPr>
      <w:bookmarkStart w:id="0" w:name="_Hlk162358180"/>
    </w:p>
    <w:p>
      <w:pPr>
        <w:spacing w:line="760" w:lineRule="exact"/>
        <w:jc w:val="center"/>
        <w:rPr>
          <w:rFonts w:ascii="仿宋_GB2312" w:eastAsia="仿宋_GB2312"/>
          <w:sz w:val="32"/>
        </w:rPr>
      </w:pPr>
    </w:p>
    <w:p>
      <w:pPr>
        <w:rPr>
          <w:rFonts w:ascii="仿宋_GB2312" w:eastAsia="仿宋_GB2312"/>
          <w:sz w:val="32"/>
        </w:rPr>
      </w:pPr>
    </w:p>
    <w:p>
      <w:pPr>
        <w:jc w:val="center"/>
        <w:rPr>
          <w:rFonts w:ascii="仿宋_GB2312" w:eastAsia="仿宋_GB2312"/>
          <w:sz w:val="32"/>
        </w:rPr>
      </w:pPr>
    </w:p>
    <w:p>
      <w:pPr>
        <w:rPr>
          <w:rFonts w:ascii="仿宋_GB2312" w:eastAsia="仿宋_GB2312"/>
          <w:sz w:val="32"/>
        </w:rPr>
      </w:pPr>
    </w:p>
    <w:p>
      <w:pPr>
        <w:rPr>
          <w:rFonts w:ascii="仿宋_GB2312" w:eastAsia="仿宋_GB2312"/>
          <w:sz w:val="32"/>
        </w:rPr>
      </w:pPr>
    </w:p>
    <w:p>
      <w:pPr>
        <w:pStyle w:val="13"/>
        <w:spacing w:before="0" w:after="0"/>
        <w:ind w:left="0" w:leftChars="0"/>
      </w:pPr>
    </w:p>
    <w:p>
      <w:pPr>
        <w:pStyle w:val="13"/>
        <w:spacing w:before="0" w:after="0"/>
        <w:ind w:left="0" w:leftChars="0"/>
      </w:pPr>
    </w:p>
    <w:p>
      <w:pPr>
        <w:jc w:val="center"/>
        <w:rPr>
          <w:rFonts w:ascii="仿宋_GB2312" w:eastAsia="仿宋_GB2312"/>
          <w:sz w:val="10"/>
          <w:szCs w:val="10"/>
        </w:rPr>
      </w:pPr>
    </w:p>
    <w:p>
      <w:pPr>
        <w:jc w:val="center"/>
        <w:rPr>
          <w:rFonts w:ascii="仿宋_GB2312" w:eastAsia="仿宋_GB2312"/>
          <w:sz w:val="32"/>
        </w:rPr>
      </w:pPr>
      <w:r>
        <w:rPr>
          <w:rFonts w:hint="eastAsia" w:ascii="仿宋_GB2312" w:eastAsia="仿宋_GB2312"/>
          <w:sz w:val="32"/>
        </w:rPr>
        <w:t>东国资发〔2024〕</w:t>
      </w:r>
      <w:r>
        <w:rPr>
          <w:rFonts w:hint="eastAsia" w:ascii="仿宋_GB2312" w:eastAsia="仿宋_GB2312"/>
          <w:sz w:val="32"/>
          <w:lang w:val="en-US" w:eastAsia="zh-CN"/>
        </w:rPr>
        <w:t>44</w:t>
      </w:r>
      <w:r>
        <w:rPr>
          <w:rFonts w:hint="eastAsia" w:ascii="仿宋_GB2312" w:eastAsia="仿宋_GB2312"/>
          <w:sz w:val="32"/>
        </w:rPr>
        <w:t>号</w:t>
      </w:r>
    </w:p>
    <w:p>
      <w:pPr>
        <w:rPr>
          <w:rFonts w:ascii="仿宋_GB2312" w:eastAsia="仿宋_GB2312"/>
          <w:sz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宋体" w:eastAsia="方正小标宋简体"/>
          <w:sz w:val="44"/>
          <w:szCs w:val="44"/>
        </w:rPr>
      </w:pPr>
      <w:r>
        <w:rPr>
          <w:rFonts w:hint="eastAsia" w:ascii="方正小标宋简体" w:hAnsi="宋体" w:eastAsia="方正小标宋简体" w:cs="方正小标宋简体"/>
          <w:sz w:val="44"/>
          <w:szCs w:val="44"/>
        </w:rPr>
        <w:t>鄂尔多斯市东胜区国有资产监督管理委员会</w:t>
      </w:r>
    </w:p>
    <w:p>
      <w:pPr>
        <w:pStyle w:val="6"/>
        <w:keepNext w:val="0"/>
        <w:keepLines w:val="0"/>
        <w:pageBreakBefore w:val="0"/>
        <w:widowControl w:val="0"/>
        <w:kinsoku/>
        <w:wordWrap/>
        <w:overflowPunct/>
        <w:topLinePunct w:val="0"/>
        <w:autoSpaceDE/>
        <w:autoSpaceDN/>
        <w:bidi w:val="0"/>
        <w:spacing w:line="600" w:lineRule="exact"/>
        <w:textAlignment w:val="auto"/>
        <w:rPr>
          <w:rFonts w:hint="eastAsia" w:ascii="方正小标宋简体" w:hAnsi="宋体" w:eastAsia="方正小标宋简体"/>
          <w:w w:val="100"/>
          <w:szCs w:val="44"/>
          <w:lang w:val="en-US" w:eastAsia="zh-CN"/>
        </w:rPr>
      </w:pPr>
      <w:bookmarkStart w:id="1" w:name="_GoBack"/>
      <w:r>
        <w:rPr>
          <w:rFonts w:hint="eastAsia" w:ascii="方正小标宋简体" w:hAnsi="宋体" w:eastAsia="方正小标宋简体"/>
          <w:w w:val="100"/>
          <w:szCs w:val="44"/>
        </w:rPr>
        <w:t>关于</w:t>
      </w:r>
      <w:r>
        <w:rPr>
          <w:rFonts w:hint="eastAsia" w:ascii="方正小标宋简体" w:hAnsi="宋体" w:eastAsia="方正小标宋简体"/>
          <w:w w:val="100"/>
          <w:szCs w:val="44"/>
          <w:lang w:val="en-US" w:eastAsia="zh-CN"/>
        </w:rPr>
        <w:t>印发《东胜区直属国有企业推行职业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经典粗宋简"/>
          <w:w w:val="100"/>
          <w:kern w:val="2"/>
          <w:sz w:val="44"/>
          <w:szCs w:val="44"/>
          <w:lang w:val="en-US" w:eastAsia="zh-CN" w:bidi="ar-SA"/>
        </w:rPr>
      </w:pPr>
      <w:r>
        <w:rPr>
          <w:rFonts w:hint="eastAsia" w:ascii="方正小标宋简体" w:hAnsi="宋体" w:eastAsia="方正小标宋简体" w:cs="经典粗宋简"/>
          <w:w w:val="100"/>
          <w:kern w:val="2"/>
          <w:sz w:val="44"/>
          <w:szCs w:val="44"/>
          <w:lang w:val="en-US" w:eastAsia="zh-CN" w:bidi="ar-SA"/>
        </w:rPr>
        <w:t>经理人制度操作指引》的通知</w:t>
      </w:r>
      <w:bookmarkEnd w:id="1"/>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ind w:left="0" w:right="0" w:firstLine="0"/>
        <w:jc w:val="left"/>
        <w:textAlignment w:val="auto"/>
        <w:rPr>
          <w:rFonts w:hint="eastAsia" w:ascii="仿宋_GB2312" w:hAnsi="仿宋_GB2312" w:eastAsia="仿宋_GB2312"/>
          <w:snapToGrid w:val="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直属国有企业：</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现将《东胜区直属国有企业推行职业经理人制度操作指引》印发给你们，请结合实际遵照执行。</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firstLine="2560" w:firstLineChars="8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鄂尔多斯市东胜区国有资产监督管理委员会</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东胜区直</w:t>
      </w:r>
      <w:r>
        <w:rPr>
          <w:rFonts w:hint="eastAsia" w:ascii="方正小标宋简体" w:hAnsi="方正小标宋简体" w:eastAsia="方正小标宋简体" w:cs="方正小标宋简体"/>
          <w:sz w:val="44"/>
          <w:szCs w:val="44"/>
        </w:rPr>
        <w:t>属国有企业推行职业经理人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sz w:val="44"/>
          <w:szCs w:val="44"/>
        </w:rPr>
        <w:t>制度操作指引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党中央、国务院关于建立健全市场化经营机制、激发企业活力的决策部署，完善国有企业领导人员分类分层管理制度，更好解决三项制度改革中的突出矛盾和问题，有效激发微观主体活力，按照《中共中央 国务院关于深化国有企业改革的指导意见》（中发〔2015〕22号）等精神和有关政策规定，结合全面落实全市“人才新政双30条”，全面推动区“人才强区20条”政策，结合《东胜区国企改革深化提升行动方案（2023-2025年）》，为全面提升东胜区国有企业人才质效，制定本操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东胜区直属国有企业及其子企业在推行职业经理人制度时，相关工作可以参照本操作指引。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一、基本概念、范围和职责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国标仿宋-GB/T 2312" w:hAnsi="国标仿宋-GB/T 2312" w:eastAsia="国标仿宋-GB/T 2312" w:cs="国标仿宋-GB/T 2312"/>
          <w:sz w:val="32"/>
          <w:szCs w:val="32"/>
        </w:rPr>
      </w:pPr>
      <w:r>
        <w:rPr>
          <w:rFonts w:hint="eastAsia" w:ascii="CESI楷体-GB2312" w:hAnsi="CESI楷体-GB2312" w:eastAsia="CESI楷体-GB2312" w:cs="CESI楷体-GB2312"/>
          <w:sz w:val="32"/>
          <w:szCs w:val="32"/>
        </w:rPr>
        <w:t>（一）基本概念。</w:t>
      </w:r>
      <w:r>
        <w:rPr>
          <w:rFonts w:hint="eastAsia" w:ascii="仿宋_GB2312" w:hAnsi="仿宋_GB2312" w:eastAsia="仿宋_GB2312" w:cs="仿宋_GB2312"/>
          <w:sz w:val="32"/>
          <w:szCs w:val="32"/>
          <w:lang w:val="en-US" w:eastAsia="zh-CN"/>
        </w:rPr>
        <w:t>本操作指引所称职业经理人是指按照“市场化选聘、契约化管理、差异化薪酬、市场化退出”原则选聘和管理的，在充分授权范围内依靠专业的管理知识、技能和经验，实现企业经营目标的高级管理人员。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（二）范围和对象。</w:t>
      </w:r>
      <w:r>
        <w:rPr>
          <w:rFonts w:hint="eastAsia" w:ascii="仿宋_GB2312" w:hAnsi="仿宋_GB2312" w:eastAsia="仿宋_GB2312" w:cs="仿宋_GB2312"/>
          <w:sz w:val="32"/>
          <w:szCs w:val="32"/>
          <w:lang w:val="en-US" w:eastAsia="zh-CN"/>
        </w:rPr>
        <w:t>东胜区国资委出资监管企业（以下简称“国有企业”）及其所属的各级全资、控股（以下统称“子企业”）的职业经理人。职业经理人一般包括总经理、副总经理、财务总监和按照公司章程规定的高级管理人员。对于确定推行职业经理人制度的国有企业，原则上应当在高级管理人员中全面推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（三）职责</w:t>
      </w:r>
      <w:r>
        <w:rPr>
          <w:rFonts w:hint="eastAsia" w:ascii="CESI楷体-GB2312" w:hAnsi="CESI楷体-GB2312" w:eastAsia="CESI楷体-GB2312" w:cs="CESI楷体-GB2312"/>
          <w:sz w:val="32"/>
          <w:szCs w:val="32"/>
          <w:lang w:val="en-US" w:eastAsia="zh-CN"/>
        </w:rPr>
        <w:t>。</w:t>
      </w:r>
      <w:r>
        <w:rPr>
          <w:rFonts w:hint="eastAsia" w:ascii="仿宋_GB2312" w:hAnsi="仿宋_GB2312" w:eastAsia="仿宋_GB2312" w:cs="仿宋_GB2312"/>
          <w:sz w:val="32"/>
          <w:szCs w:val="32"/>
          <w:lang w:val="en-US" w:eastAsia="zh-CN"/>
        </w:rPr>
        <w:t>国有企业的党组织对企业推行职业经理人制度工作发挥领导和把关作用，负责对相关工作方案，特别是在确定标准、规范程序、参与考察、推荐人选等方面把关。国有企业董事会依法选聘和管理职业经理人，负责组织制定相关工作方案和管理制度、履行决策审批程序、组织开展选聘、参与考察、决定聘任或解聘、开展考核、兑现薪酬等。由董事会制定相关工作方案和管理制度并组织人选推荐、测试、考察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二、基本操作流程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（一）企业条件。</w:t>
      </w:r>
      <w:r>
        <w:rPr>
          <w:rFonts w:hint="eastAsia" w:ascii="仿宋_GB2312" w:hAnsi="仿宋_GB2312" w:eastAsia="仿宋_GB2312" w:cs="仿宋_GB2312"/>
          <w:sz w:val="32"/>
          <w:szCs w:val="32"/>
          <w:lang w:val="en-US" w:eastAsia="zh-CN"/>
        </w:rPr>
        <w:t>支持鼓励同时具备以下条件的国有企业，加快推行职业经理人制度：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1.主业处于充分竞争行业和领域，或者主要从事新产业、新业态、新商业模式；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2.人力资源市场化程度较高；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3.建立了权责对等、运转协调、有效制衡的决策执行监督机制；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4.董事会重大决策、选人用人、薪酬分配等权利依法得到有效落实等。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（二）操作流程。</w:t>
      </w:r>
      <w:r>
        <w:rPr>
          <w:rFonts w:hint="eastAsia" w:ascii="仿宋_GB2312" w:hAnsi="仿宋_GB2312" w:eastAsia="仿宋_GB2312" w:cs="仿宋_GB2312"/>
          <w:sz w:val="32"/>
          <w:szCs w:val="32"/>
          <w:lang w:val="en-US" w:eastAsia="zh-CN"/>
        </w:rPr>
        <w:t>国有企业推行职业经理人制度，一般应履行以下基本操作流程：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方案。国有企业应结合实际制定工作方案，方案一般包括以下内容：企业基本情况、背景和目的、岗位职责、任职条件、选聘方式、选聘程序、薪酬标准、业绩目标、考核规定、退出规定、组织保障和进度安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2.履行决策审批程序。方案制定后，国有企业应按照“三重一大”决策机制，根据公司章程及其党组织有关要求，履行相关决策审批程序；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3.市场化选聘。一般包括制定招聘方案、发布招聘公告、报名及资格审查、实施综合考评（测评、面试评估等）、组织考察或背景调查、作出聘任决定等；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签订契约。国有企业与职业经理人签订劳动合同、聘任合同、经营业绩责任书等，以契约方式明确聘任岗位、聘任期限、任务目标、权利义务、考核评价、薪酬标准、履职待遇及福利、奖惩措施、续聘和解聘条件、保密以及竞业限制要求、违约责任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5.开展考核。严格按照契约约定开展年度和任期经营业绩考核，强化刚性考核；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6.结果应用。依据年度和任期经营业绩考核结果等确定薪酬、决定聘任（或解聘），强化刚性兑现；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区属国有一级企业及子企业的职业经理人属于市场化选聘的企业领导人员的，根据《东胜区国有企业领导人员选拔任用管理办法》《鄂尔多斯市国有资产监督管理委员会出资监管企业中层管理人员选任管理办法》履行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三、市场化选聘相关环节操作要点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国有企业职业经理人可以采取竞聘上岗、公开招聘、委托推荐等方式产生。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CESI楷体-GB2312" w:hAnsi="CESI楷体-GB2312" w:eastAsia="CESI楷体-GB2312" w:cs="CESI楷体-GB2312"/>
          <w:sz w:val="32"/>
          <w:szCs w:val="32"/>
        </w:rPr>
        <w:t>（一）选聘标准。</w:t>
      </w:r>
      <w:r>
        <w:rPr>
          <w:rFonts w:hint="eastAsia" w:ascii="仿宋_GB2312" w:hAnsi="仿宋_GB2312" w:eastAsia="仿宋_GB2312" w:cs="仿宋_GB2312"/>
          <w:sz w:val="32"/>
          <w:szCs w:val="32"/>
          <w:lang w:val="en-US" w:eastAsia="zh-CN"/>
        </w:rPr>
        <w:t>坚持业绩导向、市场导向。人选应具有良好的职业道德、职业操守、职业信用，具有过硬的专业素质和治企能力，熟悉企业经营管理工作，以往经营业绩突出，在所处行业或相关专业领域有一定影响力和认可度。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（二）人选来源。</w:t>
      </w:r>
      <w:r>
        <w:rPr>
          <w:rFonts w:hint="eastAsia" w:ascii="仿宋_GB2312" w:hAnsi="仿宋_GB2312" w:eastAsia="仿宋_GB2312" w:cs="仿宋_GB2312"/>
          <w:sz w:val="32"/>
          <w:szCs w:val="32"/>
          <w:lang w:val="en-US" w:eastAsia="zh-CN"/>
        </w:rPr>
        <w:t>坚持五湖四海、任人唯贤。一般包括本企业内部人员、股东推荐人员、社会参与人员、人才中介机构推荐人员等，不受企业内外、级别高低、资历深浅限制。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（三）选聘程序。</w:t>
      </w:r>
      <w:r>
        <w:rPr>
          <w:rFonts w:hint="eastAsia" w:ascii="仿宋_GB2312" w:hAnsi="仿宋_GB2312" w:eastAsia="仿宋_GB2312" w:cs="仿宋_GB2312"/>
          <w:sz w:val="32"/>
          <w:szCs w:val="32"/>
          <w:lang w:val="en-US" w:eastAsia="zh-CN"/>
        </w:rPr>
        <w:t>坚持公平公正、竞争择优。本企业内部人员参与竞聘职业经理人的，个人应当先行提出申请，承诺竞聘成功后放弃原有身份、解除（终止）聘任关系后不得要求恢复原有身份，并遵守职业经理人管理的相关规定。符合条件的职业经理人，可以按照有关规定进入国有企业党组织领导班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四、契约化管理相关环节操作要点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（一）契约签订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1.职业经理人实行聘任制。职业经理人聘任期限由董事会决定，原则上不超过三年，可以根据实际情况适当延长。董事会可以依法对职业经理人设置试用期；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契约实现形式。国有企业应与职业经理人签订劳动合同、聘任合同和经营业绩责任书（年度和任期）。国有企业与职业经理人依法签订劳动合同。本企业内部人员选聘为职业经理人的，一般应重新签订劳动合同。董事会授权董事长与职业经理人签订聘任合同，聘任期限原则上应与劳动合同期限保持一致。根据聘任合同，董事会授权董事长与总经理签订年度和任期经营业绩责任书，董事会可以授权总经理与其他职业经理人签订年度和任期经营业绩责任书。经营业绩责任书一般包括以下内容：双方基本信息，考核内容及指标，考核指标的目标值、确定方法及计分规则，考核实施与奖惩及其他需要约定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核内容及指标。董事会对职业经理人实施年度和任期考核，考核以经营业绩考核指标为主，根据岗位职责和工作分工，确定每位职业经理人的考核内容及指标，年度和任期经营业绩考核内容及指标应适当区分、有效衔接。董事会可以结合实际对职业经理人进行试用期考核和任期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4.考核指标的目标值。考核指标目标值设定应当具有较强的挑战性，力争跑赢市场、优于同行。考核指标目标值应当结合本企业历史业绩、同行业可比企业业绩情况等综合确定。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（二）考核实施。</w:t>
      </w:r>
      <w:r>
        <w:rPr>
          <w:rFonts w:hint="eastAsia" w:ascii="仿宋_GB2312" w:hAnsi="仿宋_GB2312" w:eastAsia="仿宋_GB2312" w:cs="仿宋_GB2312"/>
          <w:sz w:val="32"/>
          <w:szCs w:val="32"/>
          <w:lang w:val="en-US" w:eastAsia="zh-CN"/>
        </w:rPr>
        <w:t>年度经营业绩考核以年度为周期进行考核，一般在当年年末或次年年初进行。任期经营业绩考核一般结合聘任期限届满当年年度考核一并进行。考核期末，董事会依据经审计的企业财务数据等，对职业经理人考核内容及指标的完成情况进行考核，形成考核与奖惩意见，并反馈给职业经理人。职业经理人对考核与奖惩意见有异议的，可及时向董事会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五、差异化薪酬相关环节操作要点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（一）薪酬结构。</w:t>
      </w:r>
      <w:r>
        <w:rPr>
          <w:rFonts w:hint="eastAsia" w:ascii="仿宋_GB2312" w:hAnsi="仿宋_GB2312" w:eastAsia="仿宋_GB2312" w:cs="仿宋_GB2312"/>
          <w:sz w:val="32"/>
          <w:szCs w:val="32"/>
          <w:lang w:val="en-US" w:eastAsia="zh-CN"/>
        </w:rPr>
        <w:t>职业经理人薪酬结构可以包括基本年薪、绩效年薪、任期激励，也可以实施各种方式的中长期激励，具体由董事会与职业经理人协商确定。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1.基本年薪是职业经理人的年度基本收入。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2.绩效年薪是与职业经理人年度经营业绩考核结果相挂钩的浮动收入，原则上占年度薪酬（基本年薪与绩效年薪之和）的比例不低于60%。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任期激励是与职业经理人任期经营业绩考核结果挂钩的收入。鼓励国有企业综合运用国有控股上市公司股权激励、国有科技型企业股权和分红激励、国有控股混合所有制企业员工持股等中长期激励政策，探索超额利润分享、虚拟股权、跟投等中长期激励方式，不断丰富完善职业经理人的薪酬结构。职业经理人履职待遇及福利，由董事会与职业经理人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lang w:val="en-US" w:eastAsia="zh-CN"/>
        </w:rPr>
        <w:t>（二）薪酬水平。</w:t>
      </w:r>
      <w:r>
        <w:rPr>
          <w:rFonts w:hint="eastAsia" w:ascii="仿宋_GB2312" w:hAnsi="仿宋_GB2312" w:eastAsia="仿宋_GB2312" w:cs="仿宋_GB2312"/>
          <w:sz w:val="32"/>
          <w:szCs w:val="32"/>
          <w:lang w:val="en-US" w:eastAsia="zh-CN"/>
        </w:rPr>
        <w:t>职业经理人薪酬总水平应当按照“业绩与薪酬双对标”原则，根据行业特点、企业发展战略目标、经营业绩、市场同类可比企业人员薪酬水平等因素，由董事会与职业经理人在工资总额内协商确定，如有国有企业重点行业研发人员紧缺及特殊需求人才，引进和刚性引进硕博人才及高技能人才引进方式选聘职业经理人的可以不受工资总额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（三）薪酬支付。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年薪按月支付。绩效年薪、任期激励先考核后兑现，可结合企业实际情况延期支付。中长期激励收入在董事会与职业经理人签订的聘任合同约定的锁定期到期后支付或行权。解除（终止）聘用和劳动关系后（聘期届满考核合格但不再续聘的除外），原则上不得兑现当年绩效年薪、任期激励和其他中长期激励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六、市场化退出相关环节操作要点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（一）退出条件。</w:t>
      </w:r>
      <w:r>
        <w:rPr>
          <w:rFonts w:hint="eastAsia" w:ascii="仿宋_GB2312" w:hAnsi="仿宋_GB2312" w:eastAsia="仿宋_GB2312" w:cs="仿宋_GB2312"/>
          <w:sz w:val="32"/>
          <w:szCs w:val="32"/>
          <w:lang w:val="en-US" w:eastAsia="zh-CN"/>
        </w:rPr>
        <w:t>建立职业经理人市场化退出机制，依据职业经理人聘任合同约定和经营业绩考核结果等，出现以下情形的，应解除（终止）聘任关系。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核不达标的。如：年度经营业绩考核结果未达到完成底线（如百分制低于70分）；年度经营业绩考核主要指标未达到完成底线（如完成率低于70%）；聘任期限内累计两个年度经营业绩考核结果为不合格；任期经营业绩考核结果为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2.对于开展任期综合考核评价的，评价结果为不称职的；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3.因严重违纪违法、严重违反企业管理制度被追究相关责任的；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4.聘任期间对企业重大决策失误、重大资产损失、重大安全事故等负有重要领导责任的，或对违规经营投资造成国有资产损失负有责任的；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5.因健康原因无法正常履行工作职责的；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6.聘期未满但双方协商一致解除聘任合同或者聘期届满不再续聘的；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7.试用期内或试用期满，经试用发现或试用考核结果不适宜聘任的情形；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8.董事会认定不适宜继续聘任的其他情形。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（二）辞职规定。</w:t>
      </w:r>
      <w:r>
        <w:rPr>
          <w:rFonts w:hint="eastAsia" w:ascii="仿宋_GB2312" w:hAnsi="仿宋_GB2312" w:eastAsia="仿宋_GB2312" w:cs="仿宋_GB2312"/>
          <w:sz w:val="32"/>
          <w:szCs w:val="32"/>
          <w:lang w:val="en-US" w:eastAsia="zh-CN"/>
        </w:rPr>
        <w:t>职业经理人因个人原因辞职的，应依据《中华人民共和国劳动合同法》和签订的聘任合同有关条款，提前30日提出辞职申请。未经批准擅自离职、给企业造成损失的，依法依规追究其相应责任。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（三）退出规定。</w:t>
      </w:r>
      <w:r>
        <w:rPr>
          <w:rFonts w:hint="eastAsia" w:ascii="仿宋_GB2312" w:hAnsi="仿宋_GB2312" w:eastAsia="仿宋_GB2312" w:cs="仿宋_GB2312"/>
          <w:sz w:val="32"/>
          <w:szCs w:val="32"/>
          <w:lang w:val="en-US" w:eastAsia="zh-CN"/>
        </w:rPr>
        <w:t>国有企业在职业经理人解除（终止）聘任关系的同时，如有党组织职务应当一并免去，并依法解除（终止）劳动关系。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rPr>
      </w:pPr>
      <w:r>
        <w:rPr>
          <w:rFonts w:hint="eastAsia" w:ascii="黑体" w:hAnsi="黑体" w:eastAsia="黑体" w:cs="黑体"/>
          <w:sz w:val="32"/>
          <w:szCs w:val="32"/>
        </w:rPr>
        <w:t>七、监督管理相关环节操作要点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（一）组织人事关系管理。</w:t>
      </w:r>
      <w:r>
        <w:rPr>
          <w:rFonts w:hint="eastAsia" w:ascii="仿宋_GB2312" w:hAnsi="仿宋_GB2312" w:eastAsia="仿宋_GB2312" w:cs="仿宋_GB2312"/>
          <w:sz w:val="32"/>
          <w:szCs w:val="32"/>
          <w:lang w:val="en-US" w:eastAsia="zh-CN"/>
        </w:rPr>
        <w:t>职业经理人是中共党员的，其党组织关系由国有企业党组织进行管理，其中来自于外部的，其党组织关系应当及时转入国有企业党组织进行管理。国有企业可以根据有关要求自行明确职业经理人个人有关事项报告的管理规定。职业经理人的人事档案原则上应委托人才服务机构管理。职业经理人退休相关事宜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（二）出国（境）管理。</w:t>
      </w:r>
      <w:r>
        <w:rPr>
          <w:rFonts w:hint="eastAsia" w:ascii="仿宋_GB2312" w:hAnsi="仿宋_GB2312" w:eastAsia="仿宋_GB2312" w:cs="仿宋_GB2312"/>
          <w:sz w:val="32"/>
          <w:szCs w:val="32"/>
          <w:lang w:val="en-US" w:eastAsia="zh-CN"/>
        </w:rPr>
        <w:t>职业经理人因私出国（境）证件由国有企业党组织集中保管，职业经理人因私出国（境）时应当根据有关规定履行请假等手续。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（三）培养发展。</w:t>
      </w:r>
      <w:r>
        <w:rPr>
          <w:rFonts w:hint="eastAsia" w:ascii="仿宋_GB2312" w:hAnsi="仿宋_GB2312" w:eastAsia="仿宋_GB2312" w:cs="仿宋_GB2312"/>
          <w:sz w:val="32"/>
          <w:szCs w:val="32"/>
          <w:lang w:val="en-US" w:eastAsia="zh-CN"/>
        </w:rPr>
        <w:t>国有企业应加强对职业经理人的思想政治教育，提高职业经理人的政治素质。建立健全符合职业经理人特点的培养体系，提升职业经理人的专业能力和职业素养。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（四）保密管理。</w:t>
      </w:r>
      <w:r>
        <w:rPr>
          <w:rFonts w:hint="eastAsia" w:ascii="仿宋_GB2312" w:hAnsi="仿宋_GB2312" w:eastAsia="仿宋_GB2312" w:cs="仿宋_GB2312"/>
          <w:sz w:val="32"/>
          <w:szCs w:val="32"/>
          <w:lang w:val="en-US" w:eastAsia="zh-CN"/>
        </w:rPr>
        <w:t>聘任期间以及退出后，职业经理人应当按照国家和企业有关规定以及聘任合同有关约定，严格履行保密以及竞业限制责任和义务。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楷体-GB2312" w:hAnsi="CESI楷体-GB2312" w:eastAsia="CESI楷体-GB2312" w:cs="CESI楷体-GB2312"/>
          <w:sz w:val="32"/>
          <w:szCs w:val="32"/>
        </w:rPr>
        <w:t>（五）履职监督。</w:t>
      </w:r>
      <w:r>
        <w:rPr>
          <w:rFonts w:hint="eastAsia" w:ascii="仿宋_GB2312" w:hAnsi="仿宋_GB2312" w:eastAsia="仿宋_GB2312" w:cs="仿宋_GB2312"/>
          <w:sz w:val="32"/>
          <w:szCs w:val="32"/>
          <w:lang w:val="en-US" w:eastAsia="zh-CN"/>
        </w:rPr>
        <w:t>国有企业应建立健全对职业经理人的监督体系，党组织和董事会治理主体，以及纪检监察、巡察、审计等部门根据职能分工，做好履职监督工作。坚持以预防和事前监督为主，建立健全提醒、诫勉、函询等制度办法，及早发现和纠正其不良行为倾向。</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CESI楷体-GB2312" w:hAnsi="CESI楷体-GB2312" w:eastAsia="CESI楷体-GB2312" w:cs="CESI楷体-GB2312"/>
          <w:kern w:val="2"/>
          <w:sz w:val="32"/>
          <w:szCs w:val="32"/>
          <w:lang w:val="en-US" w:eastAsia="zh-CN" w:bidi="ar-SA"/>
        </w:rPr>
        <w:t>（六）责任追究。</w:t>
      </w:r>
      <w:r>
        <w:rPr>
          <w:rFonts w:hint="eastAsia" w:ascii="仿宋_GB2312" w:hAnsi="仿宋_GB2312" w:eastAsia="仿宋_GB2312" w:cs="仿宋_GB2312"/>
          <w:kern w:val="2"/>
          <w:sz w:val="32"/>
          <w:szCs w:val="32"/>
          <w:lang w:val="en-US" w:eastAsia="zh-CN" w:bidi="ar-SA"/>
        </w:rPr>
        <w:t>职业经理人在聘任期间应当维护企业国有资产安全、防止国有资产流失，不得侵吞、贪污、输送、挥霍国有资产。职业经理人违反规定，未履行或未正确履行职责，在经营投资中造成国有资产损失或其他严重不良后果的，根据《东胜区直属企业违规经营投资责任追究办法》等法规制度规定，严肃追究责任。</w:t>
      </w:r>
    </w:p>
    <w:p>
      <w:pPr>
        <w:pStyle w:val="7"/>
        <w:keepNext w:val="0"/>
        <w:keepLines w:val="0"/>
        <w:pageBreakBefore w:val="0"/>
        <w:widowControl w:val="0"/>
        <w:kinsoku/>
        <w:wordWrap/>
        <w:overflowPunct/>
        <w:topLinePunct w:val="0"/>
        <w:autoSpaceDE/>
        <w:autoSpaceDN/>
        <w:bidi w:val="0"/>
        <w:adjustRightInd/>
        <w:snapToGrid/>
        <w:spacing w:line="740" w:lineRule="exact"/>
        <w:ind w:firstLine="0"/>
        <w:textAlignment w:val="auto"/>
      </w:pPr>
    </w:p>
    <w:p>
      <w:pPr>
        <w:pStyle w:val="7"/>
        <w:keepNext w:val="0"/>
        <w:keepLines w:val="0"/>
        <w:pageBreakBefore w:val="0"/>
        <w:widowControl w:val="0"/>
        <w:kinsoku/>
        <w:wordWrap/>
        <w:overflowPunct/>
        <w:topLinePunct w:val="0"/>
        <w:autoSpaceDE/>
        <w:autoSpaceDN/>
        <w:bidi w:val="0"/>
        <w:adjustRightInd/>
        <w:snapToGrid/>
        <w:spacing w:line="500" w:lineRule="exact"/>
        <w:ind w:firstLine="0"/>
        <w:textAlignment w:val="auto"/>
        <w:rPr>
          <w:rFonts w:hint="eastAsia"/>
        </w:rPr>
      </w:pPr>
    </w:p>
    <w:p>
      <w:pPr>
        <w:pStyle w:val="5"/>
        <w:rPr>
          <w:rFonts w:hint="eastAsia"/>
        </w:rPr>
      </w:pPr>
    </w:p>
    <w:p>
      <w:pPr>
        <w:rPr>
          <w:rFonts w:hint="eastAsia"/>
        </w:rPr>
      </w:pPr>
    </w:p>
    <w:p>
      <w:pPr>
        <w:pStyle w:val="4"/>
        <w:rPr>
          <w:rFonts w:hint="eastAsia"/>
        </w:rPr>
      </w:pPr>
    </w:p>
    <w:p>
      <w:pPr>
        <w:pStyle w:val="4"/>
        <w:rPr>
          <w:rFonts w:hint="eastAsia"/>
        </w:rPr>
      </w:pPr>
    </w:p>
    <w:p>
      <w:pPr>
        <w:pStyle w:val="4"/>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rPr>
      </w:pPr>
    </w:p>
    <w:p>
      <w:pPr>
        <w:pStyle w:val="5"/>
        <w:rPr>
          <w:rFonts w:hint="eastAsia"/>
        </w:rPr>
      </w:pPr>
    </w:p>
    <w:p>
      <w:pPr>
        <w:pStyle w:val="7"/>
        <w:keepNext w:val="0"/>
        <w:keepLines w:val="0"/>
        <w:pageBreakBefore w:val="0"/>
        <w:widowControl w:val="0"/>
        <w:kinsoku/>
        <w:wordWrap/>
        <w:overflowPunct/>
        <w:topLinePunct w:val="0"/>
        <w:autoSpaceDE/>
        <w:autoSpaceDN/>
        <w:bidi w:val="0"/>
        <w:adjustRightInd/>
        <w:snapToGrid/>
        <w:spacing w:line="500" w:lineRule="exact"/>
        <w:ind w:firstLine="0"/>
        <w:textAlignment w:val="auto"/>
        <w:rPr>
          <w:rFonts w:hint="eastAsia"/>
        </w:rPr>
      </w:pPr>
    </w:p>
    <w:p>
      <w:pPr>
        <w:pStyle w:val="4"/>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rPr>
          <w:rFonts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334645</wp:posOffset>
                </wp:positionV>
                <wp:extent cx="5600700" cy="12700"/>
                <wp:effectExtent l="0" t="6350" r="0" b="952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600700" cy="12700"/>
                        </a:xfrm>
                        <a:prstGeom prst="line">
                          <a:avLst/>
                        </a:prstGeom>
                        <a:noFill/>
                        <a:ln w="12700">
                          <a:solidFill>
                            <a:srgbClr val="000000"/>
                          </a:solidFill>
                          <a:round/>
                        </a:ln>
                        <a:effectLst/>
                      </wps:spPr>
                      <wps:bodyPr/>
                    </wps:wsp>
                  </a:graphicData>
                </a:graphic>
              </wp:anchor>
            </w:drawing>
          </mc:Choice>
          <mc:Fallback>
            <w:pict>
              <v:line id="Line 2" o:spid="_x0000_s1026" o:spt="20" style="position:absolute;left:0pt;margin-left:0pt;margin-top:26.35pt;height:1pt;width:441pt;z-index:251659264;mso-width-relative:page;mso-height-relative:page;" filled="f" stroked="t" coordsize="21600,21600" o:gfxdata="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oqerx1QAAAAYBAAAP&#10;AAAAAAAAAAEAIAAAADgAAABkcnMvZG93bnJldi54bWxQSwECFAAUAAAACACHTuJAnql/48wBAACy&#10;AwAADgAAAAAAAAABACAAAAA6AQAAZHJzL2Uyb0RvYy54bWxQSwUGAAAAAAYABgBZAQAAeA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29845</wp:posOffset>
                </wp:positionV>
                <wp:extent cx="5600700" cy="12700"/>
                <wp:effectExtent l="0" t="6350" r="0" b="952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600700" cy="12700"/>
                        </a:xfrm>
                        <a:prstGeom prst="line">
                          <a:avLst/>
                        </a:prstGeom>
                        <a:noFill/>
                        <a:ln w="12700">
                          <a:solidFill>
                            <a:srgbClr val="000000"/>
                          </a:solidFill>
                          <a:round/>
                        </a:ln>
                        <a:effectLst/>
                      </wps:spPr>
                      <wps:bodyPr/>
                    </wps:wsp>
                  </a:graphicData>
                </a:graphic>
              </wp:anchor>
            </w:drawing>
          </mc:Choice>
          <mc:Fallback>
            <w:pict>
              <v:line id="Line 3" o:spid="_x0000_s1026" o:spt="20" style="position:absolute;left:0pt;margin-left:0pt;margin-top:2.35pt;height:1pt;width:441pt;z-index:251660288;mso-width-relative:page;mso-height-relative:page;" filled="f" stroked="t" coordsize="21600,21600" o:gfxdata="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JRGHkXUAAAABAEAAA8A&#10;AAAAAAAAAQAgAAAAOAAAAGRycy9kb3ducmV2LnhtbFBLAQIUABQAAAAIAIdO4kAa5wK4zAEAALID&#10;AAAOAAAAAAAAAAEAIAAAADkBAABkcnMvZTJvRG9jLnhtbFBLBQYAAAAABgAGAFkBAAB3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鄂尔多斯市东胜区国有资产监督管理委员会   </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24年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bookmarkEnd w:id="0"/>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日印发</w:t>
      </w:r>
    </w:p>
    <w:sectPr>
      <w:headerReference r:id="rId3" w:type="default"/>
      <w:footerReference r:id="rId4" w:type="default"/>
      <w:footerReference r:id="rId5" w:type="even"/>
      <w:pgSz w:w="11906" w:h="16838"/>
      <w:pgMar w:top="2098" w:right="1474" w:bottom="1984" w:left="1587"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经典粗宋简">
    <w:altName w:val="方正书宋_GBK"/>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经典粗宋简">
    <w:altName w:val="方正书宋_GBK"/>
    <w:panose1 w:val="00000000000000000000"/>
    <w:charset w:val="00"/>
    <w:family w:val="modern"/>
    <w:pitch w:val="default"/>
    <w:sig w:usb0="00000000" w:usb1="00000000" w:usb2="00000010" w:usb3="00000000" w:csb0="00040000" w:csb1="0000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国标仿宋-GB/T 2312">
    <w:panose1 w:val="02000500000000000000"/>
    <w:charset w:val="86"/>
    <w:family w:val="auto"/>
    <w:pitch w:val="default"/>
    <w:sig w:usb0="800002AF" w:usb1="08476CF8" w:usb2="00000010" w:usb3="00000000" w:csb0="00040000" w:csb1="00000000"/>
  </w:font>
  <w:font w:name="国标楷体-GB/T 2312">
    <w:panose1 w:val="020005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208" w:h="464" w:hRule="exact" w:wrap="around" w:vAnchor="text" w:hAnchor="page" w:x="9509" w:y="-25"/>
      <w:ind w:right="210" w:rightChars="100"/>
      <w:rPr>
        <w:rStyle w:val="18"/>
        <w:rFonts w:ascii="宋体"/>
        <w:sz w:val="28"/>
        <w:szCs w:val="28"/>
      </w:rPr>
    </w:pPr>
    <w:r>
      <w:rPr>
        <w:rStyle w:val="18"/>
        <w:rFonts w:ascii="宋体" w:hAnsi="宋体" w:cs="宋体"/>
        <w:sz w:val="28"/>
        <w:szCs w:val="28"/>
      </w:rPr>
      <w:fldChar w:fldCharType="begin"/>
    </w:r>
    <w:r>
      <w:rPr>
        <w:rStyle w:val="18"/>
        <w:rFonts w:ascii="宋体" w:hAnsi="宋体" w:cs="宋体"/>
        <w:sz w:val="28"/>
        <w:szCs w:val="28"/>
      </w:rPr>
      <w:instrText xml:space="preserve">PAGE  </w:instrText>
    </w:r>
    <w:r>
      <w:rPr>
        <w:rStyle w:val="18"/>
        <w:rFonts w:ascii="宋体" w:hAnsi="宋体" w:cs="宋体"/>
        <w:sz w:val="28"/>
        <w:szCs w:val="28"/>
      </w:rPr>
      <w:fldChar w:fldCharType="separate"/>
    </w:r>
    <w:r>
      <w:rPr>
        <w:rStyle w:val="18"/>
        <w:rFonts w:ascii="宋体" w:hAnsi="宋体" w:cs="宋体"/>
        <w:sz w:val="28"/>
        <w:szCs w:val="28"/>
      </w:rPr>
      <w:t>- 3 -</w:t>
    </w:r>
    <w:r>
      <w:rPr>
        <w:rStyle w:val="18"/>
        <w:rFonts w:ascii="宋体" w:hAnsi="宋体" w:cs="宋体"/>
        <w:sz w:val="28"/>
        <w:szCs w:val="28"/>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256" w:h="434" w:hRule="exact" w:wrap="notBeside" w:vAnchor="text" w:hAnchor="page" w:x="1532" w:y="239"/>
      <w:ind w:left="210" w:leftChars="100"/>
      <w:rPr>
        <w:rStyle w:val="18"/>
        <w:rFonts w:ascii="宋体"/>
        <w:sz w:val="28"/>
        <w:szCs w:val="28"/>
      </w:rPr>
    </w:pPr>
    <w:r>
      <w:rPr>
        <w:rStyle w:val="18"/>
        <w:rFonts w:ascii="宋体" w:hAnsi="宋体" w:cs="宋体"/>
        <w:sz w:val="28"/>
        <w:szCs w:val="28"/>
      </w:rPr>
      <w:fldChar w:fldCharType="begin"/>
    </w:r>
    <w:r>
      <w:rPr>
        <w:rStyle w:val="18"/>
        <w:rFonts w:ascii="宋体" w:hAnsi="宋体" w:cs="宋体"/>
        <w:sz w:val="28"/>
        <w:szCs w:val="28"/>
      </w:rPr>
      <w:instrText xml:space="preserve">PAGE  </w:instrText>
    </w:r>
    <w:r>
      <w:rPr>
        <w:rStyle w:val="18"/>
        <w:rFonts w:ascii="宋体" w:hAnsi="宋体" w:cs="宋体"/>
        <w:sz w:val="28"/>
        <w:szCs w:val="28"/>
      </w:rPr>
      <w:fldChar w:fldCharType="separate"/>
    </w:r>
    <w:r>
      <w:rPr>
        <w:rStyle w:val="18"/>
        <w:rFonts w:ascii="宋体" w:hAnsi="宋体" w:cs="宋体"/>
        <w:sz w:val="28"/>
        <w:szCs w:val="28"/>
      </w:rPr>
      <w:t>- 2 -</w:t>
    </w:r>
    <w:r>
      <w:rPr>
        <w:rStyle w:val="18"/>
        <w:rFonts w:ascii="宋体" w:hAnsi="宋体" w:cs="宋体"/>
        <w:sz w:val="28"/>
        <w:szCs w:val="28"/>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2Q0MDM4NWFkOGVjY2UwMjg2ZDA1NTM5YWNlOWEifQ=="/>
  </w:docVars>
  <w:rsids>
    <w:rsidRoot w:val="005D3580"/>
    <w:rsid w:val="00002022"/>
    <w:rsid w:val="00002742"/>
    <w:rsid w:val="00012B81"/>
    <w:rsid w:val="00012C60"/>
    <w:rsid w:val="00014859"/>
    <w:rsid w:val="00014B2D"/>
    <w:rsid w:val="00023D4F"/>
    <w:rsid w:val="000268CE"/>
    <w:rsid w:val="0003136F"/>
    <w:rsid w:val="00047DA0"/>
    <w:rsid w:val="00050EA0"/>
    <w:rsid w:val="0005773E"/>
    <w:rsid w:val="000709CB"/>
    <w:rsid w:val="00073CBA"/>
    <w:rsid w:val="0007765C"/>
    <w:rsid w:val="00083203"/>
    <w:rsid w:val="00091A70"/>
    <w:rsid w:val="000A0085"/>
    <w:rsid w:val="000A1B80"/>
    <w:rsid w:val="000A521F"/>
    <w:rsid w:val="000A535B"/>
    <w:rsid w:val="000A7A78"/>
    <w:rsid w:val="000B35EC"/>
    <w:rsid w:val="000C3EA8"/>
    <w:rsid w:val="000C4920"/>
    <w:rsid w:val="000F3B75"/>
    <w:rsid w:val="000F5266"/>
    <w:rsid w:val="00101F3B"/>
    <w:rsid w:val="0010777C"/>
    <w:rsid w:val="00113B93"/>
    <w:rsid w:val="00117466"/>
    <w:rsid w:val="0012001E"/>
    <w:rsid w:val="00123412"/>
    <w:rsid w:val="001248BE"/>
    <w:rsid w:val="00130087"/>
    <w:rsid w:val="0013081A"/>
    <w:rsid w:val="00136623"/>
    <w:rsid w:val="001419AE"/>
    <w:rsid w:val="00145B9D"/>
    <w:rsid w:val="00146EBA"/>
    <w:rsid w:val="00152FFA"/>
    <w:rsid w:val="00155324"/>
    <w:rsid w:val="00155D1F"/>
    <w:rsid w:val="00176D69"/>
    <w:rsid w:val="001810CE"/>
    <w:rsid w:val="00182AF5"/>
    <w:rsid w:val="0018703B"/>
    <w:rsid w:val="001872CA"/>
    <w:rsid w:val="00194DDA"/>
    <w:rsid w:val="00195CD1"/>
    <w:rsid w:val="001A55CB"/>
    <w:rsid w:val="001C243F"/>
    <w:rsid w:val="001C5D0E"/>
    <w:rsid w:val="001C7946"/>
    <w:rsid w:val="001D6F9A"/>
    <w:rsid w:val="001E2295"/>
    <w:rsid w:val="001E2316"/>
    <w:rsid w:val="001F40C4"/>
    <w:rsid w:val="001F4B1F"/>
    <w:rsid w:val="00203085"/>
    <w:rsid w:val="00203A71"/>
    <w:rsid w:val="002103AE"/>
    <w:rsid w:val="00221277"/>
    <w:rsid w:val="00225290"/>
    <w:rsid w:val="0022685B"/>
    <w:rsid w:val="00233FBC"/>
    <w:rsid w:val="002348FB"/>
    <w:rsid w:val="002426A6"/>
    <w:rsid w:val="0025363C"/>
    <w:rsid w:val="002563F0"/>
    <w:rsid w:val="00257DA0"/>
    <w:rsid w:val="00275D9A"/>
    <w:rsid w:val="00293B52"/>
    <w:rsid w:val="002941B7"/>
    <w:rsid w:val="002A145C"/>
    <w:rsid w:val="002A34D5"/>
    <w:rsid w:val="002C0885"/>
    <w:rsid w:val="002C2D00"/>
    <w:rsid w:val="002C568A"/>
    <w:rsid w:val="002E228A"/>
    <w:rsid w:val="002E4DE1"/>
    <w:rsid w:val="002F351D"/>
    <w:rsid w:val="002F3E3A"/>
    <w:rsid w:val="003005DD"/>
    <w:rsid w:val="00305409"/>
    <w:rsid w:val="00306914"/>
    <w:rsid w:val="00311960"/>
    <w:rsid w:val="00316CB9"/>
    <w:rsid w:val="00317105"/>
    <w:rsid w:val="003208B2"/>
    <w:rsid w:val="0032497F"/>
    <w:rsid w:val="00330C02"/>
    <w:rsid w:val="00347817"/>
    <w:rsid w:val="0035474A"/>
    <w:rsid w:val="00355A8D"/>
    <w:rsid w:val="00366004"/>
    <w:rsid w:val="00370662"/>
    <w:rsid w:val="00371256"/>
    <w:rsid w:val="00371BC7"/>
    <w:rsid w:val="00380B42"/>
    <w:rsid w:val="003821C5"/>
    <w:rsid w:val="003837D8"/>
    <w:rsid w:val="00385595"/>
    <w:rsid w:val="00387AA0"/>
    <w:rsid w:val="003919F7"/>
    <w:rsid w:val="00392F1C"/>
    <w:rsid w:val="003977C4"/>
    <w:rsid w:val="003A1688"/>
    <w:rsid w:val="003A4BC4"/>
    <w:rsid w:val="003A4F44"/>
    <w:rsid w:val="003B485A"/>
    <w:rsid w:val="003B66DC"/>
    <w:rsid w:val="003B785C"/>
    <w:rsid w:val="003C07ED"/>
    <w:rsid w:val="003C5E37"/>
    <w:rsid w:val="003D2D69"/>
    <w:rsid w:val="003D3B3F"/>
    <w:rsid w:val="003D55D4"/>
    <w:rsid w:val="003D7D83"/>
    <w:rsid w:val="003E23AE"/>
    <w:rsid w:val="003E4C19"/>
    <w:rsid w:val="003F5D96"/>
    <w:rsid w:val="003F7DB2"/>
    <w:rsid w:val="00403F10"/>
    <w:rsid w:val="0040714F"/>
    <w:rsid w:val="00414EF3"/>
    <w:rsid w:val="00415638"/>
    <w:rsid w:val="004210E2"/>
    <w:rsid w:val="00422410"/>
    <w:rsid w:val="004242B5"/>
    <w:rsid w:val="00426055"/>
    <w:rsid w:val="00427095"/>
    <w:rsid w:val="00441606"/>
    <w:rsid w:val="004526AE"/>
    <w:rsid w:val="00453DF8"/>
    <w:rsid w:val="004546E4"/>
    <w:rsid w:val="004753CA"/>
    <w:rsid w:val="00477251"/>
    <w:rsid w:val="00477403"/>
    <w:rsid w:val="00477899"/>
    <w:rsid w:val="0048236D"/>
    <w:rsid w:val="0049168D"/>
    <w:rsid w:val="00494547"/>
    <w:rsid w:val="004A0134"/>
    <w:rsid w:val="004A10E4"/>
    <w:rsid w:val="004A151E"/>
    <w:rsid w:val="004B3B48"/>
    <w:rsid w:val="004C3C8D"/>
    <w:rsid w:val="004C426A"/>
    <w:rsid w:val="004C76E7"/>
    <w:rsid w:val="004D1037"/>
    <w:rsid w:val="004D3A4F"/>
    <w:rsid w:val="004E39C3"/>
    <w:rsid w:val="004E3E59"/>
    <w:rsid w:val="004E5434"/>
    <w:rsid w:val="004E5D52"/>
    <w:rsid w:val="004E691C"/>
    <w:rsid w:val="004E7587"/>
    <w:rsid w:val="004E766B"/>
    <w:rsid w:val="004F5EB2"/>
    <w:rsid w:val="005047BA"/>
    <w:rsid w:val="00506420"/>
    <w:rsid w:val="005148E5"/>
    <w:rsid w:val="00520036"/>
    <w:rsid w:val="00532538"/>
    <w:rsid w:val="00537BEB"/>
    <w:rsid w:val="00546E17"/>
    <w:rsid w:val="005475E2"/>
    <w:rsid w:val="005509A8"/>
    <w:rsid w:val="00551976"/>
    <w:rsid w:val="005609B0"/>
    <w:rsid w:val="00561614"/>
    <w:rsid w:val="0056485E"/>
    <w:rsid w:val="00565AA2"/>
    <w:rsid w:val="0056708D"/>
    <w:rsid w:val="005727D6"/>
    <w:rsid w:val="00574B2F"/>
    <w:rsid w:val="0057685D"/>
    <w:rsid w:val="00584C2D"/>
    <w:rsid w:val="00586722"/>
    <w:rsid w:val="005867D6"/>
    <w:rsid w:val="005921BF"/>
    <w:rsid w:val="00592F9B"/>
    <w:rsid w:val="00593EB0"/>
    <w:rsid w:val="00595DDE"/>
    <w:rsid w:val="005A5266"/>
    <w:rsid w:val="005B02F7"/>
    <w:rsid w:val="005B2DD7"/>
    <w:rsid w:val="005B3198"/>
    <w:rsid w:val="005C47F5"/>
    <w:rsid w:val="005D0D46"/>
    <w:rsid w:val="005D3580"/>
    <w:rsid w:val="005E0AD4"/>
    <w:rsid w:val="005E3520"/>
    <w:rsid w:val="005E3D04"/>
    <w:rsid w:val="005E6436"/>
    <w:rsid w:val="005F2981"/>
    <w:rsid w:val="00600020"/>
    <w:rsid w:val="00601243"/>
    <w:rsid w:val="006035CC"/>
    <w:rsid w:val="006041A7"/>
    <w:rsid w:val="0061085C"/>
    <w:rsid w:val="00617AA6"/>
    <w:rsid w:val="00620E6C"/>
    <w:rsid w:val="0062281E"/>
    <w:rsid w:val="00625DA5"/>
    <w:rsid w:val="00626329"/>
    <w:rsid w:val="0063632C"/>
    <w:rsid w:val="00642688"/>
    <w:rsid w:val="00642E4E"/>
    <w:rsid w:val="00644625"/>
    <w:rsid w:val="00646191"/>
    <w:rsid w:val="006477A6"/>
    <w:rsid w:val="00647A28"/>
    <w:rsid w:val="00650893"/>
    <w:rsid w:val="00654013"/>
    <w:rsid w:val="00654869"/>
    <w:rsid w:val="00657CD5"/>
    <w:rsid w:val="00660112"/>
    <w:rsid w:val="00663C0E"/>
    <w:rsid w:val="0067048C"/>
    <w:rsid w:val="006740D6"/>
    <w:rsid w:val="006778DD"/>
    <w:rsid w:val="00680E5D"/>
    <w:rsid w:val="00681DFD"/>
    <w:rsid w:val="006844B2"/>
    <w:rsid w:val="00686EFA"/>
    <w:rsid w:val="00690504"/>
    <w:rsid w:val="00690918"/>
    <w:rsid w:val="00692BFE"/>
    <w:rsid w:val="006933C6"/>
    <w:rsid w:val="00693AC9"/>
    <w:rsid w:val="006A3A62"/>
    <w:rsid w:val="006A5E2D"/>
    <w:rsid w:val="006A7359"/>
    <w:rsid w:val="006B6582"/>
    <w:rsid w:val="006B7D8C"/>
    <w:rsid w:val="006C23A7"/>
    <w:rsid w:val="006C7150"/>
    <w:rsid w:val="006E27EF"/>
    <w:rsid w:val="006E3B39"/>
    <w:rsid w:val="0071278A"/>
    <w:rsid w:val="00712B97"/>
    <w:rsid w:val="00715055"/>
    <w:rsid w:val="0072153A"/>
    <w:rsid w:val="007232B7"/>
    <w:rsid w:val="00734DD6"/>
    <w:rsid w:val="00744250"/>
    <w:rsid w:val="007475A3"/>
    <w:rsid w:val="007476E4"/>
    <w:rsid w:val="00747FD7"/>
    <w:rsid w:val="0075036D"/>
    <w:rsid w:val="007505B3"/>
    <w:rsid w:val="00753BEB"/>
    <w:rsid w:val="007544AD"/>
    <w:rsid w:val="0075508A"/>
    <w:rsid w:val="007644DA"/>
    <w:rsid w:val="00773399"/>
    <w:rsid w:val="00773DF5"/>
    <w:rsid w:val="00785819"/>
    <w:rsid w:val="007878F1"/>
    <w:rsid w:val="00793D36"/>
    <w:rsid w:val="00793DA9"/>
    <w:rsid w:val="007943D4"/>
    <w:rsid w:val="00797721"/>
    <w:rsid w:val="00797877"/>
    <w:rsid w:val="007A41D2"/>
    <w:rsid w:val="007B0385"/>
    <w:rsid w:val="007B0B37"/>
    <w:rsid w:val="007B0C42"/>
    <w:rsid w:val="007B3FF3"/>
    <w:rsid w:val="007C1D65"/>
    <w:rsid w:val="007C3DBC"/>
    <w:rsid w:val="007D6C6D"/>
    <w:rsid w:val="007D764A"/>
    <w:rsid w:val="007D7BD6"/>
    <w:rsid w:val="007E06B9"/>
    <w:rsid w:val="007E5E29"/>
    <w:rsid w:val="007E652E"/>
    <w:rsid w:val="007F0E7F"/>
    <w:rsid w:val="0080047F"/>
    <w:rsid w:val="00805C5F"/>
    <w:rsid w:val="00807D9C"/>
    <w:rsid w:val="00813289"/>
    <w:rsid w:val="00830108"/>
    <w:rsid w:val="0083117D"/>
    <w:rsid w:val="00835901"/>
    <w:rsid w:val="00837609"/>
    <w:rsid w:val="008437D5"/>
    <w:rsid w:val="0084455C"/>
    <w:rsid w:val="00846BFE"/>
    <w:rsid w:val="008527BA"/>
    <w:rsid w:val="00856AEE"/>
    <w:rsid w:val="008570DF"/>
    <w:rsid w:val="00862936"/>
    <w:rsid w:val="008662EA"/>
    <w:rsid w:val="00872E5B"/>
    <w:rsid w:val="008742CC"/>
    <w:rsid w:val="008824F2"/>
    <w:rsid w:val="00883333"/>
    <w:rsid w:val="00887C68"/>
    <w:rsid w:val="00890856"/>
    <w:rsid w:val="00892EE4"/>
    <w:rsid w:val="00893130"/>
    <w:rsid w:val="008A75B4"/>
    <w:rsid w:val="008A7E05"/>
    <w:rsid w:val="008B5288"/>
    <w:rsid w:val="008C626E"/>
    <w:rsid w:val="008E07A3"/>
    <w:rsid w:val="008E3298"/>
    <w:rsid w:val="008E3B0E"/>
    <w:rsid w:val="008E48BD"/>
    <w:rsid w:val="008F25E8"/>
    <w:rsid w:val="008F3F21"/>
    <w:rsid w:val="00901A5F"/>
    <w:rsid w:val="00901C09"/>
    <w:rsid w:val="0090367D"/>
    <w:rsid w:val="00910CCF"/>
    <w:rsid w:val="00912510"/>
    <w:rsid w:val="00920FE2"/>
    <w:rsid w:val="00922097"/>
    <w:rsid w:val="00925E4E"/>
    <w:rsid w:val="00927C2E"/>
    <w:rsid w:val="00933FF2"/>
    <w:rsid w:val="00934BE5"/>
    <w:rsid w:val="00937CB5"/>
    <w:rsid w:val="00940FCB"/>
    <w:rsid w:val="0094585A"/>
    <w:rsid w:val="00947D8F"/>
    <w:rsid w:val="009531E6"/>
    <w:rsid w:val="009544AD"/>
    <w:rsid w:val="00955ED9"/>
    <w:rsid w:val="00956003"/>
    <w:rsid w:val="009578DE"/>
    <w:rsid w:val="0097292B"/>
    <w:rsid w:val="00985758"/>
    <w:rsid w:val="0099305A"/>
    <w:rsid w:val="009946CA"/>
    <w:rsid w:val="009A1624"/>
    <w:rsid w:val="009A2D8F"/>
    <w:rsid w:val="009A3BF7"/>
    <w:rsid w:val="009A3FAF"/>
    <w:rsid w:val="009A4827"/>
    <w:rsid w:val="009A4FC1"/>
    <w:rsid w:val="009A5496"/>
    <w:rsid w:val="009B3BE7"/>
    <w:rsid w:val="009B4160"/>
    <w:rsid w:val="009B477F"/>
    <w:rsid w:val="009C4D05"/>
    <w:rsid w:val="009C5159"/>
    <w:rsid w:val="009C628B"/>
    <w:rsid w:val="009C633E"/>
    <w:rsid w:val="009C7091"/>
    <w:rsid w:val="009D6789"/>
    <w:rsid w:val="009E69D9"/>
    <w:rsid w:val="009F40CE"/>
    <w:rsid w:val="009F70FA"/>
    <w:rsid w:val="00A04F2C"/>
    <w:rsid w:val="00A055DC"/>
    <w:rsid w:val="00A104D7"/>
    <w:rsid w:val="00A1411C"/>
    <w:rsid w:val="00A15A73"/>
    <w:rsid w:val="00A2079F"/>
    <w:rsid w:val="00A230AE"/>
    <w:rsid w:val="00A25640"/>
    <w:rsid w:val="00A3399A"/>
    <w:rsid w:val="00A35BD3"/>
    <w:rsid w:val="00A45AA1"/>
    <w:rsid w:val="00A51671"/>
    <w:rsid w:val="00A51E97"/>
    <w:rsid w:val="00A5246C"/>
    <w:rsid w:val="00A54E87"/>
    <w:rsid w:val="00A6293E"/>
    <w:rsid w:val="00A667D0"/>
    <w:rsid w:val="00A74E68"/>
    <w:rsid w:val="00A85385"/>
    <w:rsid w:val="00A939B7"/>
    <w:rsid w:val="00AB450C"/>
    <w:rsid w:val="00AB45C9"/>
    <w:rsid w:val="00AC0AE1"/>
    <w:rsid w:val="00AC7847"/>
    <w:rsid w:val="00AD3004"/>
    <w:rsid w:val="00AD3905"/>
    <w:rsid w:val="00AD4D24"/>
    <w:rsid w:val="00AD5A02"/>
    <w:rsid w:val="00AE09E7"/>
    <w:rsid w:val="00AE2357"/>
    <w:rsid w:val="00AE275F"/>
    <w:rsid w:val="00AE4172"/>
    <w:rsid w:val="00B07290"/>
    <w:rsid w:val="00B1051A"/>
    <w:rsid w:val="00B1314C"/>
    <w:rsid w:val="00B17648"/>
    <w:rsid w:val="00B4356E"/>
    <w:rsid w:val="00B730C1"/>
    <w:rsid w:val="00B73384"/>
    <w:rsid w:val="00B75016"/>
    <w:rsid w:val="00B7671A"/>
    <w:rsid w:val="00B8184A"/>
    <w:rsid w:val="00B842BB"/>
    <w:rsid w:val="00B91820"/>
    <w:rsid w:val="00B9251E"/>
    <w:rsid w:val="00B92F7F"/>
    <w:rsid w:val="00B94FD2"/>
    <w:rsid w:val="00B95144"/>
    <w:rsid w:val="00B9774B"/>
    <w:rsid w:val="00BA1D2C"/>
    <w:rsid w:val="00BA6E68"/>
    <w:rsid w:val="00BB25E2"/>
    <w:rsid w:val="00BB2738"/>
    <w:rsid w:val="00BB34AD"/>
    <w:rsid w:val="00BC0B3C"/>
    <w:rsid w:val="00BC2563"/>
    <w:rsid w:val="00BC5509"/>
    <w:rsid w:val="00BC7986"/>
    <w:rsid w:val="00BD6211"/>
    <w:rsid w:val="00BE2506"/>
    <w:rsid w:val="00BE65FA"/>
    <w:rsid w:val="00BF7194"/>
    <w:rsid w:val="00C018F9"/>
    <w:rsid w:val="00C03974"/>
    <w:rsid w:val="00C1755A"/>
    <w:rsid w:val="00C21BB9"/>
    <w:rsid w:val="00C302D2"/>
    <w:rsid w:val="00C46AD7"/>
    <w:rsid w:val="00C54942"/>
    <w:rsid w:val="00C5657A"/>
    <w:rsid w:val="00C5710C"/>
    <w:rsid w:val="00C60F6E"/>
    <w:rsid w:val="00C61896"/>
    <w:rsid w:val="00C6297C"/>
    <w:rsid w:val="00C62A8B"/>
    <w:rsid w:val="00C632ED"/>
    <w:rsid w:val="00C72B9E"/>
    <w:rsid w:val="00C80A13"/>
    <w:rsid w:val="00C828C1"/>
    <w:rsid w:val="00C84588"/>
    <w:rsid w:val="00C87043"/>
    <w:rsid w:val="00C9092E"/>
    <w:rsid w:val="00C939E8"/>
    <w:rsid w:val="00C93A89"/>
    <w:rsid w:val="00CA1ABF"/>
    <w:rsid w:val="00CA5EEB"/>
    <w:rsid w:val="00CB7A50"/>
    <w:rsid w:val="00CC0B97"/>
    <w:rsid w:val="00CD0642"/>
    <w:rsid w:val="00CD0C46"/>
    <w:rsid w:val="00CD0F5B"/>
    <w:rsid w:val="00CD19D1"/>
    <w:rsid w:val="00CD6E91"/>
    <w:rsid w:val="00CE2915"/>
    <w:rsid w:val="00CE2EAB"/>
    <w:rsid w:val="00CE3A03"/>
    <w:rsid w:val="00CE5651"/>
    <w:rsid w:val="00CF4ADF"/>
    <w:rsid w:val="00CF7079"/>
    <w:rsid w:val="00CF7323"/>
    <w:rsid w:val="00D00BD7"/>
    <w:rsid w:val="00D01C33"/>
    <w:rsid w:val="00D11852"/>
    <w:rsid w:val="00D172D5"/>
    <w:rsid w:val="00D21886"/>
    <w:rsid w:val="00D2535E"/>
    <w:rsid w:val="00D253DD"/>
    <w:rsid w:val="00D26263"/>
    <w:rsid w:val="00D31010"/>
    <w:rsid w:val="00D40D9E"/>
    <w:rsid w:val="00D4369F"/>
    <w:rsid w:val="00D438A6"/>
    <w:rsid w:val="00D43FA1"/>
    <w:rsid w:val="00D4541F"/>
    <w:rsid w:val="00D5650B"/>
    <w:rsid w:val="00D56DD7"/>
    <w:rsid w:val="00D56F03"/>
    <w:rsid w:val="00D5725B"/>
    <w:rsid w:val="00D71E32"/>
    <w:rsid w:val="00D729A6"/>
    <w:rsid w:val="00D85705"/>
    <w:rsid w:val="00D91560"/>
    <w:rsid w:val="00D93AEF"/>
    <w:rsid w:val="00D975BF"/>
    <w:rsid w:val="00DA2F92"/>
    <w:rsid w:val="00DA7DE1"/>
    <w:rsid w:val="00DB41E6"/>
    <w:rsid w:val="00DC4570"/>
    <w:rsid w:val="00DD533C"/>
    <w:rsid w:val="00DE1DBF"/>
    <w:rsid w:val="00DE4B63"/>
    <w:rsid w:val="00DE5E9D"/>
    <w:rsid w:val="00E02EF5"/>
    <w:rsid w:val="00E0408C"/>
    <w:rsid w:val="00E068D7"/>
    <w:rsid w:val="00E2113F"/>
    <w:rsid w:val="00E22CE5"/>
    <w:rsid w:val="00E34C06"/>
    <w:rsid w:val="00E5145E"/>
    <w:rsid w:val="00E5357A"/>
    <w:rsid w:val="00E54089"/>
    <w:rsid w:val="00E54F67"/>
    <w:rsid w:val="00E60862"/>
    <w:rsid w:val="00E6327D"/>
    <w:rsid w:val="00E63D63"/>
    <w:rsid w:val="00E64CF0"/>
    <w:rsid w:val="00E67261"/>
    <w:rsid w:val="00E74BAF"/>
    <w:rsid w:val="00E83024"/>
    <w:rsid w:val="00E83B26"/>
    <w:rsid w:val="00E9186A"/>
    <w:rsid w:val="00E94CE4"/>
    <w:rsid w:val="00E96975"/>
    <w:rsid w:val="00E97207"/>
    <w:rsid w:val="00EA0AEF"/>
    <w:rsid w:val="00EB3D4D"/>
    <w:rsid w:val="00EC2D33"/>
    <w:rsid w:val="00ED70A4"/>
    <w:rsid w:val="00ED79A7"/>
    <w:rsid w:val="00EE68BA"/>
    <w:rsid w:val="00EF0D92"/>
    <w:rsid w:val="00EF16A8"/>
    <w:rsid w:val="00EF508B"/>
    <w:rsid w:val="00F0108C"/>
    <w:rsid w:val="00F01FCB"/>
    <w:rsid w:val="00F10BFD"/>
    <w:rsid w:val="00F15178"/>
    <w:rsid w:val="00F25E40"/>
    <w:rsid w:val="00F42610"/>
    <w:rsid w:val="00F46B9A"/>
    <w:rsid w:val="00F55F26"/>
    <w:rsid w:val="00F56DF8"/>
    <w:rsid w:val="00F654FA"/>
    <w:rsid w:val="00F67CDB"/>
    <w:rsid w:val="00F7761C"/>
    <w:rsid w:val="00F80579"/>
    <w:rsid w:val="00F87CBD"/>
    <w:rsid w:val="00F94CE2"/>
    <w:rsid w:val="00FA2432"/>
    <w:rsid w:val="00FB4EBB"/>
    <w:rsid w:val="00FB5474"/>
    <w:rsid w:val="00FC19F5"/>
    <w:rsid w:val="00FC649E"/>
    <w:rsid w:val="00FD193F"/>
    <w:rsid w:val="00FD7932"/>
    <w:rsid w:val="00FE08B2"/>
    <w:rsid w:val="00FE671E"/>
    <w:rsid w:val="00FE7DFB"/>
    <w:rsid w:val="00FF1B99"/>
    <w:rsid w:val="00FF2D0D"/>
    <w:rsid w:val="00FF7D31"/>
    <w:rsid w:val="02644E75"/>
    <w:rsid w:val="04FB3B88"/>
    <w:rsid w:val="07C84A57"/>
    <w:rsid w:val="0ED62150"/>
    <w:rsid w:val="0F22693E"/>
    <w:rsid w:val="109F7838"/>
    <w:rsid w:val="10A03D46"/>
    <w:rsid w:val="11FC2410"/>
    <w:rsid w:val="127557DC"/>
    <w:rsid w:val="167819F2"/>
    <w:rsid w:val="17607F1E"/>
    <w:rsid w:val="1E5D3CF4"/>
    <w:rsid w:val="20D81AD9"/>
    <w:rsid w:val="27F436AA"/>
    <w:rsid w:val="2BB56D42"/>
    <w:rsid w:val="2C8D6B0D"/>
    <w:rsid w:val="2D3B040F"/>
    <w:rsid w:val="2F1877C3"/>
    <w:rsid w:val="32847649"/>
    <w:rsid w:val="3513254A"/>
    <w:rsid w:val="37753892"/>
    <w:rsid w:val="3F7722E4"/>
    <w:rsid w:val="3FB2BC47"/>
    <w:rsid w:val="40F90F5B"/>
    <w:rsid w:val="44977F05"/>
    <w:rsid w:val="44DD1B7F"/>
    <w:rsid w:val="45740699"/>
    <w:rsid w:val="465805F6"/>
    <w:rsid w:val="46B03E65"/>
    <w:rsid w:val="499E09AD"/>
    <w:rsid w:val="4AA83518"/>
    <w:rsid w:val="4C6E231C"/>
    <w:rsid w:val="4C836D03"/>
    <w:rsid w:val="4FD80B7D"/>
    <w:rsid w:val="551B5793"/>
    <w:rsid w:val="570E5ABC"/>
    <w:rsid w:val="59824BB6"/>
    <w:rsid w:val="59897866"/>
    <w:rsid w:val="5AB50DD3"/>
    <w:rsid w:val="5E4F3DD4"/>
    <w:rsid w:val="600E74FD"/>
    <w:rsid w:val="60723E07"/>
    <w:rsid w:val="63732C3E"/>
    <w:rsid w:val="6426760F"/>
    <w:rsid w:val="67513149"/>
    <w:rsid w:val="69B856EC"/>
    <w:rsid w:val="69F00443"/>
    <w:rsid w:val="6AEF572F"/>
    <w:rsid w:val="6C1B11F8"/>
    <w:rsid w:val="6E334EC2"/>
    <w:rsid w:val="719D21B7"/>
    <w:rsid w:val="75BD3E8B"/>
    <w:rsid w:val="761B3ECF"/>
    <w:rsid w:val="77EE9FC4"/>
    <w:rsid w:val="79276845"/>
    <w:rsid w:val="7C406472"/>
    <w:rsid w:val="7D932159"/>
    <w:rsid w:val="7E4941AF"/>
    <w:rsid w:val="7EAFF4CA"/>
    <w:rsid w:val="7F7513EC"/>
    <w:rsid w:val="C8FF7617"/>
    <w:rsid w:val="DABB6163"/>
    <w:rsid w:val="DDFAD6F4"/>
    <w:rsid w:val="DDFF4CD9"/>
    <w:rsid w:val="F5BFE769"/>
    <w:rsid w:val="FEF53B40"/>
    <w:rsid w:val="FEFB52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4"/>
    <w:unhideWhenUsed/>
    <w:qFormat/>
    <w:locked/>
    <w:uiPriority w:val="0"/>
    <w:pPr>
      <w:jc w:val="left"/>
      <w:outlineLvl w:val="1"/>
    </w:pPr>
    <w:rPr>
      <w:rFonts w:hint="eastAsia" w:ascii="宋体" w:hAnsi="宋体"/>
      <w:kern w:val="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Normal Indent"/>
    <w:basedOn w:val="1"/>
    <w:unhideWhenUsed/>
    <w:qFormat/>
    <w:uiPriority w:val="0"/>
    <w:pPr>
      <w:spacing w:line="300" w:lineRule="exact"/>
      <w:ind w:firstLine="420"/>
    </w:pPr>
  </w:style>
  <w:style w:type="paragraph" w:styleId="5">
    <w:name w:val="index 5"/>
    <w:basedOn w:val="1"/>
    <w:next w:val="1"/>
    <w:qFormat/>
    <w:uiPriority w:val="0"/>
    <w:pPr>
      <w:ind w:left="1680"/>
    </w:pPr>
  </w:style>
  <w:style w:type="paragraph" w:styleId="6">
    <w:name w:val="Body Text"/>
    <w:basedOn w:val="1"/>
    <w:link w:val="29"/>
    <w:qFormat/>
    <w:uiPriority w:val="99"/>
    <w:pPr>
      <w:spacing w:line="800" w:lineRule="exact"/>
      <w:jc w:val="center"/>
    </w:pPr>
    <w:rPr>
      <w:rFonts w:ascii="经典粗宋简" w:eastAsia="经典粗宋简" w:cs="经典粗宋简"/>
      <w:w w:val="80"/>
      <w:sz w:val="44"/>
      <w:szCs w:val="44"/>
    </w:rPr>
  </w:style>
  <w:style w:type="paragraph" w:styleId="7">
    <w:name w:val="Body Text Indent"/>
    <w:basedOn w:val="1"/>
    <w:next w:val="5"/>
    <w:link w:val="32"/>
    <w:qFormat/>
    <w:uiPriority w:val="0"/>
    <w:pPr>
      <w:ind w:firstLine="630"/>
    </w:pPr>
  </w:style>
  <w:style w:type="paragraph" w:styleId="8">
    <w:name w:val="Date"/>
    <w:basedOn w:val="1"/>
    <w:next w:val="1"/>
    <w:link w:val="22"/>
    <w:qFormat/>
    <w:uiPriority w:val="99"/>
    <w:pPr>
      <w:ind w:left="100" w:leftChars="2500"/>
    </w:pPr>
  </w:style>
  <w:style w:type="paragraph" w:styleId="9">
    <w:name w:val="Balloon Text"/>
    <w:basedOn w:val="1"/>
    <w:link w:val="19"/>
    <w:semiHidden/>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7"/>
    <w:qFormat/>
    <w:locked/>
    <w:uiPriority w:val="0"/>
    <w:pPr>
      <w:spacing w:before="240" w:after="60"/>
      <w:ind w:left="640" w:leftChars="200"/>
      <w:outlineLvl w:val="0"/>
    </w:pPr>
    <w:rPr>
      <w:rFonts w:ascii="Arial" w:hAnsi="Arial" w:eastAsia="仿宋_GB2312"/>
      <w:b/>
      <w:sz w:val="32"/>
      <w:szCs w:val="24"/>
    </w:rPr>
  </w:style>
  <w:style w:type="paragraph" w:styleId="14">
    <w:name w:val="Body Text First Indent 2"/>
    <w:basedOn w:val="7"/>
    <w:next w:val="1"/>
    <w:qFormat/>
    <w:uiPriority w:val="0"/>
    <w:pPr>
      <w:ind w:firstLine="420" w:firstLineChars="200"/>
    </w:pPr>
  </w:style>
  <w:style w:type="character" w:styleId="17">
    <w:name w:val="Strong"/>
    <w:basedOn w:val="16"/>
    <w:qFormat/>
    <w:locked/>
    <w:uiPriority w:val="99"/>
    <w:rPr>
      <w:b/>
      <w:bCs/>
    </w:rPr>
  </w:style>
  <w:style w:type="character" w:styleId="18">
    <w:name w:val="page number"/>
    <w:basedOn w:val="16"/>
    <w:qFormat/>
    <w:uiPriority w:val="99"/>
  </w:style>
  <w:style w:type="character" w:customStyle="1" w:styleId="19">
    <w:name w:val="批注框文本 字符"/>
    <w:basedOn w:val="16"/>
    <w:link w:val="9"/>
    <w:semiHidden/>
    <w:qFormat/>
    <w:uiPriority w:val="99"/>
    <w:rPr>
      <w:sz w:val="0"/>
      <w:szCs w:val="0"/>
    </w:rPr>
  </w:style>
  <w:style w:type="paragraph" w:customStyle="1" w:styleId="20">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
    <w:name w:val="默认段落字体 Para Char Char Char Char Char Char Char"/>
    <w:basedOn w:val="1"/>
    <w:qFormat/>
    <w:uiPriority w:val="99"/>
    <w:pPr>
      <w:adjustRightInd w:val="0"/>
      <w:spacing w:line="360" w:lineRule="auto"/>
      <w:textAlignment w:val="baseline"/>
    </w:pPr>
  </w:style>
  <w:style w:type="character" w:customStyle="1" w:styleId="22">
    <w:name w:val="日期 字符"/>
    <w:basedOn w:val="16"/>
    <w:link w:val="8"/>
    <w:semiHidden/>
    <w:qFormat/>
    <w:uiPriority w:val="99"/>
    <w:rPr>
      <w:szCs w:val="21"/>
    </w:rPr>
  </w:style>
  <w:style w:type="paragraph" w:customStyle="1" w:styleId="23">
    <w:name w:val="Char Char Char Char"/>
    <w:basedOn w:val="1"/>
    <w:qFormat/>
    <w:uiPriority w:val="99"/>
    <w:pPr>
      <w:widowControl/>
      <w:spacing w:after="160" w:line="240" w:lineRule="exact"/>
      <w:jc w:val="left"/>
    </w:pPr>
  </w:style>
  <w:style w:type="character" w:customStyle="1" w:styleId="24">
    <w:name w:val="页眉 字符"/>
    <w:basedOn w:val="16"/>
    <w:link w:val="11"/>
    <w:qFormat/>
    <w:locked/>
    <w:uiPriority w:val="99"/>
    <w:rPr>
      <w:kern w:val="2"/>
      <w:sz w:val="18"/>
      <w:szCs w:val="18"/>
    </w:rPr>
  </w:style>
  <w:style w:type="character" w:customStyle="1" w:styleId="25">
    <w:name w:val="页脚 字符"/>
    <w:basedOn w:val="16"/>
    <w:link w:val="10"/>
    <w:qFormat/>
    <w:locked/>
    <w:uiPriority w:val="99"/>
    <w:rPr>
      <w:kern w:val="2"/>
      <w:sz w:val="18"/>
      <w:szCs w:val="18"/>
    </w:rPr>
  </w:style>
  <w:style w:type="character" w:customStyle="1" w:styleId="26">
    <w:name w:val="newsitemtext1"/>
    <w:basedOn w:val="16"/>
    <w:qFormat/>
    <w:uiPriority w:val="99"/>
    <w:rPr>
      <w:color w:val="000000"/>
      <w:sz w:val="21"/>
      <w:szCs w:val="21"/>
    </w:rPr>
  </w:style>
  <w:style w:type="paragraph" w:customStyle="1" w:styleId="27">
    <w:name w:val="List Paragraph1"/>
    <w:basedOn w:val="1"/>
    <w:qFormat/>
    <w:uiPriority w:val="99"/>
    <w:pPr>
      <w:ind w:firstLine="420" w:firstLineChars="200"/>
    </w:pPr>
    <w:rPr>
      <w:rFonts w:ascii="Calibri" w:hAnsi="Calibri" w:cs="Calibri"/>
    </w:rPr>
  </w:style>
  <w:style w:type="paragraph" w:customStyle="1" w:styleId="28">
    <w:name w:val="列出段落1"/>
    <w:basedOn w:val="1"/>
    <w:qFormat/>
    <w:uiPriority w:val="99"/>
    <w:pPr>
      <w:ind w:firstLine="420" w:firstLineChars="200"/>
    </w:pPr>
    <w:rPr>
      <w:rFonts w:ascii="Calibri" w:hAnsi="Calibri" w:cs="Calibri"/>
    </w:rPr>
  </w:style>
  <w:style w:type="character" w:customStyle="1" w:styleId="29">
    <w:name w:val="正文文本 字符"/>
    <w:basedOn w:val="16"/>
    <w:link w:val="6"/>
    <w:semiHidden/>
    <w:qFormat/>
    <w:locked/>
    <w:uiPriority w:val="99"/>
    <w:rPr>
      <w:rFonts w:ascii="经典粗宋简" w:eastAsia="经典粗宋简" w:cs="经典粗宋简"/>
      <w:w w:val="80"/>
      <w:kern w:val="2"/>
      <w:sz w:val="24"/>
      <w:szCs w:val="24"/>
      <w:lang w:val="en-US" w:eastAsia="zh-CN"/>
    </w:rPr>
  </w:style>
  <w:style w:type="paragraph" w:customStyle="1" w:styleId="30">
    <w:name w:val="Body text|1"/>
    <w:basedOn w:val="1"/>
    <w:qFormat/>
    <w:uiPriority w:val="0"/>
    <w:pPr>
      <w:spacing w:line="386" w:lineRule="auto"/>
      <w:ind w:firstLine="400"/>
    </w:pPr>
    <w:rPr>
      <w:rFonts w:ascii="宋体" w:hAnsi="宋体" w:cs="宋体"/>
      <w:sz w:val="30"/>
      <w:szCs w:val="30"/>
      <w:lang w:val="zh-TW" w:eastAsia="zh-TW" w:bidi="zh-TW"/>
    </w:rPr>
  </w:style>
  <w:style w:type="paragraph" w:customStyle="1" w:styleId="31">
    <w:name w:val="Table Text"/>
    <w:basedOn w:val="1"/>
    <w:semiHidden/>
    <w:qFormat/>
    <w:uiPriority w:val="0"/>
    <w:rPr>
      <w:rFonts w:ascii="宋体" w:hAnsi="宋体" w:cs="宋体"/>
      <w:snapToGrid w:val="0"/>
      <w:sz w:val="20"/>
      <w:szCs w:val="20"/>
      <w:lang w:eastAsia="en-US"/>
    </w:rPr>
  </w:style>
  <w:style w:type="character" w:customStyle="1" w:styleId="32">
    <w:name w:val="正文文本缩进 字符"/>
    <w:basedOn w:val="16"/>
    <w:link w:val="7"/>
    <w:qFormat/>
    <w:uiPriority w:val="0"/>
    <w:rPr>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352</Words>
  <Characters>90</Characters>
  <Lines>1</Lines>
  <Paragraphs>1</Paragraphs>
  <TotalTime>10</TotalTime>
  <ScaleCrop>false</ScaleCrop>
  <LinksUpToDate>false</LinksUpToDate>
  <CharactersWithSpaces>441</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2024-07-20T04:41:00Z</dcterms:created>
  <dc:creator>user</dc:creator>
  <cp:lastModifiedBy>greatwall</cp:lastModifiedBy>
  <cp:lastPrinted>2024-11-15T03:41:00Z</cp:lastPrinted>
  <dcterms:modified xsi:type="dcterms:W3CDTF">2024-12-04T14:56:46Z</dcterms:modified>
  <dc:title>东城发〔2009〕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557211E79B9D5BC42EFD4F672F86ADA5</vt:lpwstr>
  </property>
</Properties>
</file>