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76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民政发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号                     </w:t>
      </w:r>
    </w:p>
    <w:p>
      <w:pPr>
        <w:widowControl w:val="0"/>
        <w:wordWrap/>
        <w:autoSpaceDN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鄂尔多斯市东胜区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关于巩固专项整治成果强化隐患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排查治理工作的通知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开展了岁末年初安全生产大排查大整治、安全隐患大排查大整治、拉网式安全隐患大排查大整治、全覆盖安全隐患大排查大整治、重大事故隐患专项排查整治2023 行动、外包专项整治、中介机构管理专项整治等隐患排查治理行动，燃气、危险化学品、消防等行业领域同时开展了针对性专项治理行动，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各行业、各领域安全隐患排查治理工作取得显著成效，确保了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安全生产形势持续稳定。为进一步提升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安全隐患排查治理质效，总结应用各专项整治中的好做法好经验，请结合实际认真做好以下工作。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一、深入开展进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安全生产宣讲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要紧紧围绕习近平总书记关于安全生产重要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论述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重要指示批示精神、安全生产法律法规、安全生产方针政策安全隐患排查重点事项、重大事故隐患判定标准、生产安全事故警示教育等内容，通过部门宣讲、专家讲解、企业互讲、座谈交流等方式，深入企业一线全面进行宣讲解读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要建立常态化进企宣讲安全生产工作机制，结合安全生产月、安全生产法宣传周、复工复产、重大活动安全生产保障、各类重大安全生产专项整治行动等重点工作，科学安排，合理、及时开展宣讲活动。各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村社区包联领导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要带头落实进企宣讲安全生产工作，多讲、精讲、常讲;带动所有监管执法人员将宣讲活动与日常监管执法相结合、专题宣讲与日常宣讲相结合，形成“时时讲安全、处处讲安全、人人讲安全”的宣讲氛围。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二、深入开展助企帮扶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各村社区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加强本辖区安全生产形势分析、调研检查，摸排了解企业在安全生产方面存在的困难，“一企一策”制定帮扶指导措施，通过驻企指导、专家巡查、业务培训、“评估+服务”、企业互查等多种方式帮扶指导企业落实安全生产主体责任，强化安全风险分级管控和隐患排查治理，提升企业安全生产管理和本质安全水平。要注重对企业的帮扶指导实效，加强与企业的沟通交流，对不适宜的措施、办法要及时调整:确保帮扶一家、提升一家，并持续巩固帮扶成果，坚决杜绝走形式、走过场帮扶指导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三、深入开展隐患整改“回头看”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要全面总结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安全隐患排查整治情况，梳理监管执法中企业存在的共性问题、突出风险、重大事故隐患，深入分析各类风险隐患产生的原因，适时组织开展隐患整改情况“回头看”，检查复核企业隐患整改质效。对安全隐患整改不到位、不整改、假整改、同类隐患反复出现的企业，要严格依法处罚，坚决杜绝书面整改、虚假整改行为。要督促企业同步开展隐患整改“回头看”复核工作，对2023年以来企业自查、部门执法检查、上级督导检查发现的隐患进行一次大起底，逐项复核隐患整改情况，确保每项隐患都真整改、改到位，提升企业隐患自查自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四、强化工作措施落实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要提高思想认识，加强组织领导，切实推进进企安全生产宣讲、助企帮扶、隐患整改“回头看”工作开展，进一步细化工作措施、丰富工作内容和形式，常态长期开展。要注重安全生产监管过程中好经验好做法总结，广泛推广应用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安全生产工作持续向好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 w:firstLine="3840" w:firstLineChars="1200"/>
        <w:textAlignment w:val="auto"/>
        <w:outlineLvl w:val="9"/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鄂尔多斯市东胜区民族街道办事处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 w:firstLine="3840" w:firstLineChars="1200"/>
        <w:textAlignment w:val="auto"/>
        <w:outlineLvl w:val="9"/>
        <w:rPr>
          <w:rFonts w:hint="default" w:ascii="仿宋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   2024年2月5日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76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24130</wp:posOffset>
                </wp:positionV>
                <wp:extent cx="5600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6pt;margin-top:1.9pt;height:0.05pt;width:441pt;z-index:251660288;mso-width-relative:page;mso-height-relative:page;" filled="f" stroked="t" coordsize="21600,21600" o:gfxdata="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w/PvNIAAAAFAQAADwAAAAAAAAABACAAAAAiAAAAZHJzL2Rv&#10;d25yZXYueG1sUEsBAhQAFAAAAAgAh07iQGqI613OAQAAjw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424180</wp:posOffset>
                </wp:positionV>
                <wp:extent cx="56007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6pt;margin-top:33.4pt;height:0.05pt;width:441pt;z-index:251659264;mso-width-relative:page;mso-height-relative:page;" filled="f" stroked="t" coordsize="21600,21600" o:gfxdata="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UTx71QAAAAcBAAAPAAAAAAAAAAEAIAAAACIAAABkcnMv&#10;ZG93bnJldi54bWxQSwECFAAUAAAACACHTuJAdCQClc0BAACP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鄂尔多斯市东胜区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民族</w:t>
      </w:r>
      <w:r>
        <w:rPr>
          <w:rFonts w:hint="eastAsia" w:ascii="仿宋_GB2312" w:eastAsia="仿宋_GB2312"/>
          <w:sz w:val="28"/>
          <w:szCs w:val="28"/>
        </w:rPr>
        <w:t>街道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办事处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ArabicDash  \* MERGEFORMAT </w:instrText>
    </w:r>
    <w:r>
      <w:rPr>
        <w:sz w:val="28"/>
        <w:szCs w:val="28"/>
      </w:rPr>
      <w:fldChar w:fldCharType="separate"/>
    </w:r>
    <w:r>
      <w:t>- 1 -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t>- 2 -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OTA5Nzc2MjMyYmE2YmYwMzA3M2YxZDUzZTJiNWUifQ=="/>
    <w:docVar w:name="KSO_WPS_MARK_KEY" w:val="971a1ee3-1672-4bd3-8401-a77610ad63a7"/>
  </w:docVars>
  <w:rsids>
    <w:rsidRoot w:val="00172A27"/>
    <w:rsid w:val="000654A6"/>
    <w:rsid w:val="000734DA"/>
    <w:rsid w:val="000B52E1"/>
    <w:rsid w:val="000D25FA"/>
    <w:rsid w:val="000E0D9E"/>
    <w:rsid w:val="000E3903"/>
    <w:rsid w:val="000F1613"/>
    <w:rsid w:val="00140B07"/>
    <w:rsid w:val="001859D3"/>
    <w:rsid w:val="001E2603"/>
    <w:rsid w:val="0027535B"/>
    <w:rsid w:val="00294172"/>
    <w:rsid w:val="002A7C01"/>
    <w:rsid w:val="002A7D84"/>
    <w:rsid w:val="002D5AE1"/>
    <w:rsid w:val="0035109E"/>
    <w:rsid w:val="0036747B"/>
    <w:rsid w:val="00397FCE"/>
    <w:rsid w:val="003A2DFF"/>
    <w:rsid w:val="003C6A1F"/>
    <w:rsid w:val="00427EF8"/>
    <w:rsid w:val="00433ECD"/>
    <w:rsid w:val="00445DDB"/>
    <w:rsid w:val="00465B24"/>
    <w:rsid w:val="004668F0"/>
    <w:rsid w:val="00481C60"/>
    <w:rsid w:val="00516D4D"/>
    <w:rsid w:val="005433ED"/>
    <w:rsid w:val="00593651"/>
    <w:rsid w:val="0064755C"/>
    <w:rsid w:val="0069646D"/>
    <w:rsid w:val="00697F77"/>
    <w:rsid w:val="006B04A9"/>
    <w:rsid w:val="006C439F"/>
    <w:rsid w:val="0070023B"/>
    <w:rsid w:val="007528A6"/>
    <w:rsid w:val="0075370B"/>
    <w:rsid w:val="007740C9"/>
    <w:rsid w:val="00775D1D"/>
    <w:rsid w:val="007B7768"/>
    <w:rsid w:val="007C2F48"/>
    <w:rsid w:val="00804F7D"/>
    <w:rsid w:val="008232CC"/>
    <w:rsid w:val="0084498C"/>
    <w:rsid w:val="00890801"/>
    <w:rsid w:val="008B3175"/>
    <w:rsid w:val="008F753C"/>
    <w:rsid w:val="00921EC6"/>
    <w:rsid w:val="009D0CD4"/>
    <w:rsid w:val="00A231C3"/>
    <w:rsid w:val="00A74C63"/>
    <w:rsid w:val="00A946E5"/>
    <w:rsid w:val="00AA0CA2"/>
    <w:rsid w:val="00AA667F"/>
    <w:rsid w:val="00AD566A"/>
    <w:rsid w:val="00B112C0"/>
    <w:rsid w:val="00B747C0"/>
    <w:rsid w:val="00B762BE"/>
    <w:rsid w:val="00B85E95"/>
    <w:rsid w:val="00BD2E8D"/>
    <w:rsid w:val="00BE1713"/>
    <w:rsid w:val="00BF7C75"/>
    <w:rsid w:val="00C063E9"/>
    <w:rsid w:val="00C6134D"/>
    <w:rsid w:val="00C64248"/>
    <w:rsid w:val="00CA71AE"/>
    <w:rsid w:val="00D22F4E"/>
    <w:rsid w:val="00D40917"/>
    <w:rsid w:val="00DF542B"/>
    <w:rsid w:val="00E21CC6"/>
    <w:rsid w:val="00E25FA8"/>
    <w:rsid w:val="00E36E18"/>
    <w:rsid w:val="00E9749C"/>
    <w:rsid w:val="00EB0725"/>
    <w:rsid w:val="00ED476E"/>
    <w:rsid w:val="00EE7641"/>
    <w:rsid w:val="00F33163"/>
    <w:rsid w:val="00F5387C"/>
    <w:rsid w:val="00FB6CDE"/>
    <w:rsid w:val="00FD2238"/>
    <w:rsid w:val="077E69B5"/>
    <w:rsid w:val="084D6632"/>
    <w:rsid w:val="0CEC726F"/>
    <w:rsid w:val="100B268F"/>
    <w:rsid w:val="121D7555"/>
    <w:rsid w:val="12F026A9"/>
    <w:rsid w:val="152D6AEB"/>
    <w:rsid w:val="178131C8"/>
    <w:rsid w:val="226D353C"/>
    <w:rsid w:val="23E80503"/>
    <w:rsid w:val="302F2322"/>
    <w:rsid w:val="31D93581"/>
    <w:rsid w:val="32A43661"/>
    <w:rsid w:val="3AFE17E6"/>
    <w:rsid w:val="3E2C01F3"/>
    <w:rsid w:val="4388738B"/>
    <w:rsid w:val="45C13932"/>
    <w:rsid w:val="508B25B9"/>
    <w:rsid w:val="53F45388"/>
    <w:rsid w:val="5B0B3B1C"/>
    <w:rsid w:val="5F0930A7"/>
    <w:rsid w:val="5F7401D8"/>
    <w:rsid w:val="68F62870"/>
    <w:rsid w:val="6AD6740C"/>
    <w:rsid w:val="6AF904DC"/>
    <w:rsid w:val="6DC410A5"/>
    <w:rsid w:val="74FF662E"/>
    <w:rsid w:val="77E41B5C"/>
    <w:rsid w:val="7C1423E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link w:val="1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页眉 Char"/>
    <w:link w:val="5"/>
    <w:qFormat/>
    <w:uiPriority w:val="99"/>
    <w:rPr>
      <w:rFonts w:eastAsia="宋体"/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宋体"/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无间隔 Char"/>
    <w:link w:val="8"/>
    <w:qFormat/>
    <w:uiPriority w:val="1"/>
    <w:rPr>
      <w:rFonts w:ascii="Calibri" w:hAnsi="Calibri" w:eastAsia="宋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1297</Words>
  <Characters>1315</Characters>
  <Lines>31</Lines>
  <Paragraphs>8</Paragraphs>
  <ScaleCrop>false</ScaleCrop>
  <LinksUpToDate>false</LinksUpToDate>
  <CharactersWithSpaces>1397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2019-02-28T09:02:00Z</dcterms:created>
  <dc:creator>微软用户</dc:creator>
  <cp:lastModifiedBy>李成龙:主任拟办</cp:lastModifiedBy>
  <cp:lastPrinted>2023-03-15T06:53:00Z</cp:lastPrinted>
  <dcterms:modified xsi:type="dcterms:W3CDTF">2024-03-01T07:00:02Z</dcterms:modified>
  <dc:title>纺织街道办事处关于小区地下室配电箱存在安全隐患的函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D87708AEF11C4670B9EC2B3E5A634F2E_13</vt:lpwstr>
  </property>
</Properties>
</file>