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2"/>
          <w:szCs w:val="32"/>
        </w:rPr>
      </w:pPr>
    </w:p>
    <w:p>
      <w:pPr>
        <w:pStyle w:val="2"/>
      </w:pPr>
    </w:p>
    <w:p>
      <w:pPr>
        <w:rPr>
          <w:sz w:val="32"/>
          <w:szCs w:val="32"/>
        </w:rPr>
      </w:pPr>
    </w:p>
    <w:p>
      <w:pPr>
        <w:pStyle w:val="2"/>
        <w:rPr>
          <w:sz w:val="32"/>
          <w:szCs w:val="32"/>
        </w:rPr>
      </w:pPr>
    </w:p>
    <w:p>
      <w:pPr>
        <w:rPr>
          <w:sz w:val="32"/>
          <w:szCs w:val="32"/>
        </w:rPr>
      </w:pPr>
    </w:p>
    <w:p>
      <w:pPr>
        <w:pStyle w:val="2"/>
      </w:pPr>
    </w:p>
    <w:p>
      <w:pPr>
        <w:rPr>
          <w:szCs w:val="21"/>
        </w:rPr>
      </w:pPr>
    </w:p>
    <w:p>
      <w:pPr>
        <w:snapToGrid w:val="0"/>
        <w:rPr>
          <w:szCs w:val="21"/>
        </w:rPr>
      </w:pPr>
    </w:p>
    <w:p>
      <w:pPr>
        <w:snapToGrid w:val="0"/>
        <w:jc w:val="center"/>
        <w:rPr>
          <w:color w:val="993300"/>
          <w:sz w:val="10"/>
          <w:szCs w:val="10"/>
          <w:u w:val="thick" w:color="FF0000"/>
        </w:rPr>
      </w:pPr>
      <w:r>
        <w:rPr>
          <w:rFonts w:hint="eastAsia" w:ascii="仿宋_GB2312" w:eastAsia="仿宋_GB2312"/>
          <w:sz w:val="32"/>
          <w:szCs w:val="32"/>
        </w:rPr>
        <w:t>罕政发〔202</w:t>
      </w: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val="en-US" w:eastAsia="zh-CN"/>
        </w:rPr>
        <w:t>7</w:t>
      </w:r>
      <w:r>
        <w:rPr>
          <w:rFonts w:hint="eastAsia" w:ascii="仿宋_GB2312" w:eastAsia="仿宋_GB2312"/>
          <w:sz w:val="32"/>
          <w:szCs w:val="32"/>
        </w:rPr>
        <w:t>号</w:t>
      </w:r>
      <w:r>
        <w:rPr>
          <w:rFonts w:ascii="Calibri" w:hAnsi="Calibri" w:eastAsia="宋体" w:cs="黑体"/>
          <w:kern w:val="2"/>
          <w:sz w:val="21"/>
          <w:szCs w:val="24"/>
          <w:lang w:val="en-US" w:eastAsia="zh-CN" w:bidi="ar-SA"/>
        </w:rPr>
        <w:drawing>
          <wp:inline distT="0" distB="0" distL="114300" distR="114300">
            <wp:extent cx="5611495" cy="494030"/>
            <wp:effectExtent l="0" t="0" r="0"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6">
                      <a:lum/>
                    </a:blip>
                    <a:stretch>
                      <a:fillRect/>
                    </a:stretch>
                  </pic:blipFill>
                  <pic:spPr>
                    <a:xfrm>
                      <a:off x="0" y="0"/>
                      <a:ext cx="5611495" cy="49403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鄂尔多斯市东胜区罕台镇人民政府关于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开展安全生产重大隐患专项</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整治的方案</w:t>
      </w:r>
    </w:p>
    <w:p>
      <w:pPr>
        <w:pStyle w:val="2"/>
        <w:rPr>
          <w:rFonts w:hint="eastAsia"/>
          <w:lang w:val="en-US" w:eastAsia="zh-CN"/>
        </w:rPr>
      </w:pPr>
    </w:p>
    <w:p>
      <w:pPr>
        <w:pStyle w:val="8"/>
        <w:keepNext w:val="0"/>
        <w:keepLines w:val="0"/>
        <w:widowControl/>
        <w:suppressLineNumbers w:val="0"/>
        <w:rPr>
          <w:rFonts w:ascii="宋体" w:hAnsi="宋体" w:eastAsia="宋体" w:cs="宋体"/>
          <w:highlight w:val="none"/>
          <w:lang w:bidi="ar"/>
        </w:rPr>
      </w:pPr>
      <w:r>
        <w:rPr>
          <w:rFonts w:hint="eastAsia" w:ascii="仿宋_GB2312" w:hAnsi="仿宋_GB2312" w:eastAsia="仿宋_GB2312" w:cs="仿宋_GB2312"/>
          <w:sz w:val="32"/>
          <w:szCs w:val="32"/>
          <w:highlight w:val="none"/>
          <w:lang w:bidi="ar"/>
        </w:rPr>
        <w:t>各村、社区，各办、局、中心，镇属各企事业单位：</w:t>
      </w:r>
    </w:p>
    <w:p>
      <w:pPr>
        <w:keepNext w:val="0"/>
        <w:keepLines w:val="0"/>
        <w:widowControl/>
        <w:suppressLineNumbers w:val="0"/>
        <w:ind w:left="0" w:firstLine="640"/>
        <w:jc w:val="left"/>
        <w:rPr>
          <w:rFonts w:hint="eastAsia" w:ascii="宋体" w:hAnsi="宋体" w:eastAsia="宋体" w:cs="宋体"/>
          <w:kern w:val="0"/>
          <w:sz w:val="24"/>
          <w:szCs w:val="24"/>
          <w:lang w:val="en-US" w:eastAsia="zh-CN" w:bidi="ar"/>
        </w:rPr>
      </w:pPr>
      <w:r>
        <w:rPr>
          <w:rFonts w:hint="eastAsia" w:ascii="仿宋_GB2312" w:hAnsi="宋体" w:eastAsia="仿宋_GB2312" w:cs="仿宋_GB2312"/>
          <w:color w:val="000000"/>
          <w:kern w:val="0"/>
          <w:sz w:val="31"/>
          <w:szCs w:val="31"/>
          <w:lang w:val="en-US" w:eastAsia="zh-CN" w:bidi="ar"/>
        </w:rPr>
        <w:t>为认真贯彻习近平总书记关于安全生产重要指示精神，严格落实李克强总理等领导同志批示要求，压紧压实属地管理、部门监管和企业主体责任，推进安全生产治理模式向事前预防转型，全面排查整治各类安全风险隐患，坚决防范和遏制生产安全事故发生。根据国家、自治区、市安全生产电视电话会议和区委、区政府安全生产工作部署，结合正在开展的岁末年初安全生产大排查大整治工作，突出重大隐患排查整治，我镇在全镇开展安全生产重大隐患专项整治和督导检查。相关要求通知如下：</w:t>
      </w:r>
    </w:p>
    <w:p>
      <w:pPr>
        <w:keepNext w:val="0"/>
        <w:keepLines w:val="0"/>
        <w:widowControl/>
        <w:suppressLineNumbers w:val="0"/>
        <w:ind w:left="0" w:firstLine="640"/>
        <w:jc w:val="left"/>
        <w:rPr>
          <w:rFonts w:hint="eastAsia" w:ascii="宋体" w:hAnsi="宋体" w:eastAsia="宋体" w:cs="宋体"/>
          <w:kern w:val="0"/>
          <w:sz w:val="24"/>
          <w:szCs w:val="24"/>
          <w:lang w:val="en-US" w:eastAsia="zh-CN" w:bidi="ar"/>
        </w:rPr>
      </w:pPr>
      <w:r>
        <w:rPr>
          <w:rFonts w:hint="eastAsia" w:ascii="黑体" w:hAnsi="宋体" w:eastAsia="黑体" w:cs="黑体"/>
          <w:color w:val="000000"/>
          <w:kern w:val="0"/>
          <w:sz w:val="31"/>
          <w:szCs w:val="31"/>
          <w:lang w:val="en-US" w:eastAsia="zh-CN" w:bidi="ar"/>
        </w:rPr>
        <w:t>一、总体要求</w:t>
      </w:r>
    </w:p>
    <w:p>
      <w:pPr>
        <w:keepNext w:val="0"/>
        <w:keepLines w:val="0"/>
        <w:widowControl/>
        <w:suppressLineNumbers w:val="0"/>
        <w:ind w:left="0" w:firstLine="640"/>
        <w:jc w:val="left"/>
        <w:rPr>
          <w:rFonts w:hint="eastAsia" w:ascii="宋体" w:hAnsi="宋体" w:eastAsia="宋体" w:cs="宋体"/>
          <w:kern w:val="0"/>
          <w:sz w:val="24"/>
          <w:szCs w:val="24"/>
          <w:lang w:val="en-US" w:eastAsia="zh-CN" w:bidi="ar"/>
        </w:rPr>
      </w:pPr>
      <w:r>
        <w:rPr>
          <w:rFonts w:hint="eastAsia" w:ascii="仿宋_GB2312" w:hAnsi="宋体" w:eastAsia="仿宋_GB2312" w:cs="仿宋_GB2312"/>
          <w:color w:val="000000"/>
          <w:kern w:val="0"/>
          <w:sz w:val="31"/>
          <w:szCs w:val="31"/>
          <w:lang w:val="en-US" w:eastAsia="zh-CN" w:bidi="ar"/>
        </w:rPr>
        <w:t>认真贯彻党的二十大精神和习近平总书记对安全生产重要指示和李克强总理重要批示精神，按照党中央、国务院决策部署和自治区、市、区委、政府工作要求，统筹发展和安全，坚持人民至上、生命至上，深刻汲取近期事故教训，落实落细国务院安委会安全生产15条硬措施、自治区53条工作举措、市66条具体举措和区68条具体贯彻落实举措，结合岁末年初安全生产大排查大整治行动，部署开展安全生产重大隐患专项整治，指导、督促、检查重点行业、重点领域开展重大隐患专项整治，坚决遏制生产安全事故发生。</w:t>
      </w:r>
    </w:p>
    <w:p>
      <w:pPr>
        <w:keepNext w:val="0"/>
        <w:keepLines w:val="0"/>
        <w:widowControl/>
        <w:suppressLineNumbers w:val="0"/>
        <w:ind w:left="0" w:firstLine="640"/>
        <w:jc w:val="left"/>
        <w:rPr>
          <w:rFonts w:hint="eastAsia" w:ascii="宋体" w:hAnsi="宋体" w:eastAsia="宋体" w:cs="宋体"/>
          <w:kern w:val="0"/>
          <w:sz w:val="24"/>
          <w:szCs w:val="24"/>
          <w:lang w:val="en-US" w:eastAsia="zh-CN" w:bidi="ar"/>
        </w:rPr>
      </w:pPr>
      <w:r>
        <w:rPr>
          <w:rFonts w:hint="eastAsia" w:ascii="黑体" w:hAnsi="宋体" w:eastAsia="黑体" w:cs="黑体"/>
          <w:color w:val="000000"/>
          <w:kern w:val="0"/>
          <w:sz w:val="31"/>
          <w:szCs w:val="31"/>
          <w:lang w:val="en-US" w:eastAsia="zh-CN" w:bidi="ar"/>
        </w:rPr>
        <w:t>二、整治范围</w:t>
      </w:r>
    </w:p>
    <w:p>
      <w:pPr>
        <w:keepNext w:val="0"/>
        <w:keepLines w:val="0"/>
        <w:widowControl/>
        <w:suppressLineNumbers w:val="0"/>
        <w:ind w:left="0" w:firstLine="640"/>
        <w:jc w:val="left"/>
        <w:rPr>
          <w:rFonts w:hint="eastAsia" w:ascii="宋体" w:hAnsi="宋体" w:eastAsia="宋体" w:cs="宋体"/>
          <w:kern w:val="0"/>
          <w:sz w:val="24"/>
          <w:szCs w:val="24"/>
          <w:lang w:val="en-US" w:eastAsia="zh-CN" w:bidi="ar"/>
        </w:rPr>
      </w:pPr>
      <w:r>
        <w:rPr>
          <w:rFonts w:hint="eastAsia" w:ascii="仿宋_GB2312" w:hAnsi="宋体" w:eastAsia="仿宋_GB2312" w:cs="仿宋_GB2312"/>
          <w:color w:val="000000"/>
          <w:kern w:val="0"/>
          <w:sz w:val="31"/>
          <w:szCs w:val="31"/>
          <w:lang w:val="en-US" w:eastAsia="zh-CN" w:bidi="ar"/>
        </w:rPr>
        <w:t>以煤矿、危险化学品、烟花爆竹、建筑施工、燃气、道路交通、工贸、消防为重点，覆盖所有行业、领域企业开展专项整治和督导检查。</w:t>
      </w:r>
    </w:p>
    <w:p>
      <w:pPr>
        <w:keepNext w:val="0"/>
        <w:keepLines w:val="0"/>
        <w:widowControl/>
        <w:suppressLineNumbers w:val="0"/>
        <w:ind w:left="0" w:firstLine="640"/>
        <w:jc w:val="left"/>
        <w:rPr>
          <w:rFonts w:hint="eastAsia" w:ascii="宋体" w:hAnsi="宋体" w:eastAsia="宋体" w:cs="宋体"/>
          <w:kern w:val="0"/>
          <w:sz w:val="24"/>
          <w:szCs w:val="24"/>
          <w:lang w:val="en-US" w:eastAsia="zh-CN" w:bidi="ar"/>
        </w:rPr>
      </w:pPr>
      <w:r>
        <w:rPr>
          <w:rFonts w:hint="eastAsia" w:ascii="黑体" w:hAnsi="宋体" w:eastAsia="黑体" w:cs="黑体"/>
          <w:color w:val="000000"/>
          <w:kern w:val="0"/>
          <w:sz w:val="31"/>
          <w:szCs w:val="31"/>
          <w:lang w:val="en-US" w:eastAsia="zh-CN" w:bidi="ar"/>
        </w:rPr>
        <w:t>三、整治内容</w:t>
      </w:r>
    </w:p>
    <w:p>
      <w:pPr>
        <w:keepNext w:val="0"/>
        <w:keepLines w:val="0"/>
        <w:widowControl/>
        <w:suppressLineNumbers w:val="0"/>
        <w:ind w:left="0" w:firstLine="640"/>
        <w:jc w:val="left"/>
        <w:rPr>
          <w:rFonts w:hint="eastAsia" w:ascii="宋体" w:hAnsi="宋体" w:eastAsia="宋体" w:cs="宋体"/>
          <w:kern w:val="0"/>
          <w:sz w:val="24"/>
          <w:szCs w:val="24"/>
          <w:lang w:val="en-US" w:eastAsia="zh-CN" w:bidi="ar"/>
        </w:rPr>
      </w:pPr>
      <w:r>
        <w:rPr>
          <w:rFonts w:hint="eastAsia" w:ascii="楷体_GB2312" w:hAnsi="宋体" w:eastAsia="楷体_GB2312" w:cs="楷体_GB2312"/>
          <w:color w:val="000000"/>
          <w:kern w:val="0"/>
          <w:sz w:val="31"/>
          <w:szCs w:val="31"/>
          <w:lang w:val="en-US" w:eastAsia="zh-CN" w:bidi="ar"/>
        </w:rPr>
        <w:t>（一）消防方面</w:t>
      </w:r>
    </w:p>
    <w:p>
      <w:pPr>
        <w:keepNext w:val="0"/>
        <w:keepLines w:val="0"/>
        <w:widowControl/>
        <w:suppressLineNumbers w:val="0"/>
        <w:ind w:left="0" w:firstLine="640"/>
        <w:jc w:val="left"/>
        <w:rPr>
          <w:rFonts w:hint="eastAsia" w:ascii="宋体" w:hAnsi="宋体" w:eastAsia="宋体" w:cs="宋体"/>
          <w:kern w:val="0"/>
          <w:sz w:val="24"/>
          <w:szCs w:val="24"/>
          <w:lang w:val="en-US" w:eastAsia="zh-CN" w:bidi="ar"/>
        </w:rPr>
      </w:pPr>
      <w:r>
        <w:rPr>
          <w:rFonts w:hint="eastAsia" w:ascii="仿宋" w:hAnsi="仿宋" w:eastAsia="仿宋" w:cs="仿宋"/>
          <w:color w:val="000000"/>
          <w:kern w:val="0"/>
          <w:sz w:val="31"/>
          <w:szCs w:val="31"/>
          <w:lang w:val="en-US" w:eastAsia="zh-CN" w:bidi="ar"/>
        </w:rPr>
        <w:t>重点整治劳动密集型企业、高层建筑、大型商业综合体、学校、福利机构等人员密集场所，仓储物流、“九小”场所等低设防区域等重大隐患。</w:t>
      </w:r>
    </w:p>
    <w:p>
      <w:pPr>
        <w:keepNext w:val="0"/>
        <w:keepLines w:val="0"/>
        <w:widowControl/>
        <w:suppressLineNumbers w:val="0"/>
        <w:ind w:left="0" w:firstLine="640"/>
        <w:jc w:val="left"/>
        <w:rPr>
          <w:rFonts w:hint="eastAsia" w:ascii="宋体" w:hAnsi="宋体" w:eastAsia="宋体" w:cs="宋体"/>
          <w:kern w:val="0"/>
          <w:sz w:val="24"/>
          <w:szCs w:val="24"/>
          <w:lang w:val="en-US" w:eastAsia="zh-CN" w:bidi="ar"/>
        </w:rPr>
      </w:pPr>
      <w:r>
        <w:rPr>
          <w:rFonts w:hint="eastAsia" w:ascii="楷体_GB2312" w:hAnsi="宋体" w:eastAsia="楷体_GB2312" w:cs="楷体_GB2312"/>
          <w:b/>
          <w:bCs/>
          <w:color w:val="000000"/>
          <w:kern w:val="0"/>
          <w:sz w:val="31"/>
          <w:szCs w:val="31"/>
          <w:lang w:val="en-US" w:eastAsia="zh-CN" w:bidi="ar"/>
        </w:rPr>
        <w:t>（二）</w:t>
      </w:r>
      <w:r>
        <w:rPr>
          <w:rFonts w:hint="eastAsia" w:ascii="楷体_GB2312" w:hAnsi="宋体" w:eastAsia="楷体_GB2312" w:cs="楷体_GB2312"/>
          <w:color w:val="000000"/>
          <w:kern w:val="0"/>
          <w:sz w:val="31"/>
          <w:szCs w:val="31"/>
          <w:lang w:val="en-US" w:eastAsia="zh-CN" w:bidi="ar"/>
        </w:rPr>
        <w:t>建筑施工方面</w:t>
      </w:r>
    </w:p>
    <w:p>
      <w:pPr>
        <w:keepNext w:val="0"/>
        <w:keepLines w:val="0"/>
        <w:widowControl/>
        <w:suppressLineNumbers w:val="0"/>
        <w:ind w:left="0" w:firstLine="640"/>
        <w:jc w:val="left"/>
        <w:rPr>
          <w:rFonts w:hint="eastAsia" w:ascii="宋体" w:hAnsi="宋体" w:eastAsia="宋体" w:cs="宋体"/>
          <w:kern w:val="0"/>
          <w:sz w:val="24"/>
          <w:szCs w:val="24"/>
          <w:lang w:val="en-US" w:eastAsia="zh-CN" w:bidi="ar"/>
        </w:rPr>
      </w:pPr>
      <w:r>
        <w:rPr>
          <w:rFonts w:hint="eastAsia" w:ascii="仿宋_GB2312" w:hAnsi="宋体" w:eastAsia="仿宋_GB2312" w:cs="仿宋_GB2312"/>
          <w:color w:val="000000"/>
          <w:kern w:val="0"/>
          <w:sz w:val="31"/>
          <w:szCs w:val="31"/>
          <w:lang w:val="en-US" w:eastAsia="zh-CN" w:bidi="ar"/>
        </w:rPr>
        <w:t>重点整治隧道、高陡边坡、建筑起重机械、基坑工程、模板工程及支撑体系等危大工程，工程转包、违法分包、不按方案施工以及盲目抢工期赶进度等重大隐患。</w:t>
      </w:r>
    </w:p>
    <w:p>
      <w:pPr>
        <w:keepNext w:val="0"/>
        <w:keepLines w:val="0"/>
        <w:widowControl/>
        <w:suppressLineNumbers w:val="0"/>
        <w:ind w:left="0" w:firstLine="640"/>
        <w:jc w:val="left"/>
        <w:rPr>
          <w:rFonts w:hint="eastAsia" w:ascii="宋体" w:hAnsi="宋体" w:eastAsia="宋体" w:cs="宋体"/>
          <w:kern w:val="0"/>
          <w:sz w:val="24"/>
          <w:szCs w:val="24"/>
          <w:lang w:val="en-US" w:eastAsia="zh-CN" w:bidi="ar"/>
        </w:rPr>
      </w:pPr>
      <w:r>
        <w:rPr>
          <w:rFonts w:hint="eastAsia" w:ascii="楷体_GB2312" w:hAnsi="宋体" w:eastAsia="楷体_GB2312" w:cs="楷体_GB2312"/>
          <w:color w:val="000000"/>
          <w:kern w:val="0"/>
          <w:sz w:val="31"/>
          <w:szCs w:val="31"/>
          <w:lang w:val="en-US" w:eastAsia="zh-CN" w:bidi="ar"/>
        </w:rPr>
        <w:t>（三）燃气方面</w:t>
      </w:r>
    </w:p>
    <w:p>
      <w:pPr>
        <w:keepNext w:val="0"/>
        <w:keepLines w:val="0"/>
        <w:widowControl/>
        <w:suppressLineNumbers w:val="0"/>
        <w:ind w:left="0" w:firstLine="640"/>
        <w:jc w:val="left"/>
        <w:rPr>
          <w:rFonts w:hint="eastAsia" w:ascii="宋体" w:hAnsi="宋体" w:eastAsia="宋体" w:cs="宋体"/>
          <w:kern w:val="0"/>
          <w:sz w:val="24"/>
          <w:szCs w:val="24"/>
          <w:lang w:val="en-US" w:eastAsia="zh-CN" w:bidi="ar"/>
        </w:rPr>
      </w:pPr>
      <w:r>
        <w:rPr>
          <w:rFonts w:hint="eastAsia" w:ascii="仿宋_GB2312" w:hAnsi="宋体" w:eastAsia="仿宋_GB2312" w:cs="仿宋_GB2312"/>
          <w:color w:val="000000"/>
          <w:kern w:val="0"/>
          <w:sz w:val="31"/>
          <w:szCs w:val="31"/>
          <w:lang w:val="en-US" w:eastAsia="zh-CN" w:bidi="ar"/>
        </w:rPr>
        <w:t>重点整治天然气管网、液化石油气供应企业和餐饮经营场所、农贸市场、商住混合体、学校医院等人员密集场所以及违规充装、非法储存等重大隐患。</w:t>
      </w:r>
    </w:p>
    <w:p>
      <w:pPr>
        <w:keepNext w:val="0"/>
        <w:keepLines w:val="0"/>
        <w:widowControl/>
        <w:suppressLineNumbers w:val="0"/>
        <w:ind w:left="0" w:firstLine="640"/>
        <w:jc w:val="left"/>
        <w:rPr>
          <w:rFonts w:hint="eastAsia" w:ascii="宋体" w:hAnsi="宋体" w:eastAsia="宋体" w:cs="宋体"/>
          <w:kern w:val="0"/>
          <w:sz w:val="24"/>
          <w:szCs w:val="24"/>
          <w:lang w:val="en-US" w:eastAsia="zh-CN" w:bidi="ar"/>
        </w:rPr>
      </w:pPr>
      <w:r>
        <w:rPr>
          <w:rFonts w:hint="eastAsia" w:ascii="楷体_GB2312" w:hAnsi="宋体" w:eastAsia="楷体_GB2312" w:cs="楷体_GB2312"/>
          <w:color w:val="000000"/>
          <w:kern w:val="0"/>
          <w:sz w:val="31"/>
          <w:szCs w:val="31"/>
          <w:lang w:val="en-US" w:eastAsia="zh-CN" w:bidi="ar"/>
        </w:rPr>
        <w:t>（四）道路交通方面</w:t>
      </w:r>
    </w:p>
    <w:p>
      <w:pPr>
        <w:keepNext w:val="0"/>
        <w:keepLines w:val="0"/>
        <w:widowControl/>
        <w:suppressLineNumbers w:val="0"/>
        <w:ind w:left="0" w:firstLine="640"/>
        <w:jc w:val="left"/>
        <w:rPr>
          <w:rFonts w:hint="eastAsia" w:ascii="宋体" w:hAnsi="宋体" w:eastAsia="宋体" w:cs="宋体"/>
          <w:kern w:val="0"/>
          <w:sz w:val="24"/>
          <w:szCs w:val="24"/>
          <w:lang w:val="en-US" w:eastAsia="zh-CN" w:bidi="ar"/>
        </w:rPr>
      </w:pPr>
      <w:r>
        <w:rPr>
          <w:rFonts w:hint="eastAsia" w:ascii="仿宋_GB2312" w:hAnsi="宋体" w:eastAsia="仿宋_GB2312" w:cs="仿宋_GB2312"/>
          <w:color w:val="000000"/>
          <w:kern w:val="0"/>
          <w:sz w:val="31"/>
          <w:szCs w:val="31"/>
          <w:lang w:val="en-US" w:eastAsia="zh-CN" w:bidi="ar"/>
        </w:rPr>
        <w:t>重点整治“两客一危一货”、拼装客货车、改装机动车、“百吨王”等重点车辆，农村公路和事故多发路段以及“三超一疲劳”、非法营运、货车和农用车违法载人等重大隐患。</w:t>
      </w:r>
    </w:p>
    <w:p>
      <w:pPr>
        <w:keepNext w:val="0"/>
        <w:keepLines w:val="0"/>
        <w:widowControl/>
        <w:suppressLineNumbers w:val="0"/>
        <w:ind w:left="0" w:firstLine="640"/>
        <w:jc w:val="left"/>
        <w:rPr>
          <w:rFonts w:hint="eastAsia" w:ascii="宋体" w:hAnsi="宋体" w:eastAsia="宋体" w:cs="宋体"/>
          <w:kern w:val="0"/>
          <w:sz w:val="24"/>
          <w:szCs w:val="24"/>
          <w:lang w:val="en-US" w:eastAsia="zh-CN" w:bidi="ar"/>
        </w:rPr>
      </w:pPr>
      <w:r>
        <w:rPr>
          <w:rFonts w:hint="eastAsia" w:ascii="楷体_GB2312" w:hAnsi="宋体" w:eastAsia="楷体_GB2312" w:cs="楷体_GB2312"/>
          <w:color w:val="000000"/>
          <w:kern w:val="0"/>
          <w:sz w:val="31"/>
          <w:szCs w:val="31"/>
          <w:lang w:val="en-US" w:eastAsia="zh-CN" w:bidi="ar"/>
        </w:rPr>
        <w:t>（五）煤矿方面</w:t>
      </w:r>
    </w:p>
    <w:p>
      <w:pPr>
        <w:keepNext w:val="0"/>
        <w:keepLines w:val="0"/>
        <w:widowControl/>
        <w:suppressLineNumbers w:val="0"/>
        <w:ind w:left="0" w:firstLine="640"/>
        <w:jc w:val="left"/>
        <w:rPr>
          <w:rFonts w:hint="eastAsia" w:ascii="宋体" w:hAnsi="宋体" w:eastAsia="宋体" w:cs="宋体"/>
          <w:kern w:val="0"/>
          <w:sz w:val="24"/>
          <w:szCs w:val="24"/>
          <w:lang w:val="en-US" w:eastAsia="zh-CN" w:bidi="ar"/>
        </w:rPr>
      </w:pPr>
      <w:r>
        <w:rPr>
          <w:rFonts w:hint="eastAsia" w:ascii="仿宋_GB2312" w:hAnsi="宋体" w:eastAsia="仿宋_GB2312" w:cs="仿宋_GB2312"/>
          <w:color w:val="000000"/>
          <w:kern w:val="0"/>
          <w:sz w:val="31"/>
          <w:szCs w:val="31"/>
          <w:lang w:val="en-US" w:eastAsia="zh-CN" w:bidi="ar"/>
        </w:rPr>
        <w:t>重点整治灾害严重煤矿、高风险煤矿、超能力生产、超层越界、煤矿采掘接续紧张、露天煤矿边坡角大于设计最大值等重大隐患。</w:t>
      </w:r>
    </w:p>
    <w:p>
      <w:pPr>
        <w:keepNext w:val="0"/>
        <w:keepLines w:val="0"/>
        <w:widowControl/>
        <w:suppressLineNumbers w:val="0"/>
        <w:ind w:left="0" w:firstLine="640"/>
        <w:jc w:val="left"/>
        <w:rPr>
          <w:rFonts w:hint="eastAsia" w:ascii="宋体" w:hAnsi="宋体" w:eastAsia="宋体" w:cs="宋体"/>
          <w:kern w:val="0"/>
          <w:sz w:val="24"/>
          <w:szCs w:val="24"/>
          <w:lang w:val="en-US" w:eastAsia="zh-CN" w:bidi="ar"/>
        </w:rPr>
      </w:pPr>
      <w:r>
        <w:rPr>
          <w:rFonts w:hint="eastAsia" w:ascii="楷体_GB2312" w:hAnsi="宋体" w:eastAsia="楷体_GB2312" w:cs="楷体_GB2312"/>
          <w:color w:val="000000"/>
          <w:kern w:val="0"/>
          <w:sz w:val="31"/>
          <w:szCs w:val="31"/>
          <w:lang w:val="en-US" w:eastAsia="zh-CN" w:bidi="ar"/>
        </w:rPr>
        <w:t>（六）危险化学品方面</w:t>
      </w:r>
    </w:p>
    <w:p>
      <w:pPr>
        <w:keepNext w:val="0"/>
        <w:keepLines w:val="0"/>
        <w:widowControl/>
        <w:suppressLineNumbers w:val="0"/>
        <w:ind w:left="0" w:firstLine="640"/>
        <w:jc w:val="left"/>
        <w:rPr>
          <w:rFonts w:hint="eastAsia" w:ascii="宋体" w:hAnsi="宋体" w:eastAsia="宋体" w:cs="宋体"/>
          <w:kern w:val="0"/>
          <w:sz w:val="24"/>
          <w:szCs w:val="24"/>
          <w:lang w:val="en-US" w:eastAsia="zh-CN" w:bidi="ar"/>
        </w:rPr>
      </w:pPr>
      <w:r>
        <w:rPr>
          <w:rFonts w:hint="eastAsia" w:ascii="仿宋_GB2312" w:hAnsi="宋体" w:eastAsia="仿宋_GB2312" w:cs="仿宋_GB2312"/>
          <w:color w:val="000000"/>
          <w:kern w:val="0"/>
          <w:sz w:val="31"/>
          <w:szCs w:val="31"/>
          <w:lang w:val="en-US" w:eastAsia="zh-CN" w:bidi="ar"/>
        </w:rPr>
        <w:t>重点整治重大危险源、精细化工、大型油气储存基地和涉及硝酸铵、硝化工艺等高危企业，危险化学品企业特殊作业，非法违法“小化工”、非法违法生产经营属于危险化学品的醇基燃料等重大隐患。</w:t>
      </w:r>
    </w:p>
    <w:p>
      <w:pPr>
        <w:keepNext w:val="0"/>
        <w:keepLines w:val="0"/>
        <w:widowControl/>
        <w:suppressLineNumbers w:val="0"/>
        <w:ind w:left="0" w:firstLine="640"/>
        <w:jc w:val="left"/>
        <w:rPr>
          <w:rFonts w:hint="eastAsia" w:ascii="宋体" w:hAnsi="宋体" w:eastAsia="宋体" w:cs="宋体"/>
          <w:kern w:val="0"/>
          <w:sz w:val="24"/>
          <w:szCs w:val="24"/>
          <w:lang w:val="en-US" w:eastAsia="zh-CN" w:bidi="ar"/>
        </w:rPr>
      </w:pPr>
      <w:r>
        <w:rPr>
          <w:rFonts w:hint="eastAsia" w:ascii="楷体_GB2312" w:hAnsi="宋体" w:eastAsia="楷体_GB2312" w:cs="楷体_GB2312"/>
          <w:color w:val="000000"/>
          <w:kern w:val="0"/>
          <w:sz w:val="31"/>
          <w:szCs w:val="31"/>
          <w:lang w:val="en-US" w:eastAsia="zh-CN" w:bidi="ar"/>
        </w:rPr>
        <w:t>（七）烟花爆竹方面</w:t>
      </w:r>
    </w:p>
    <w:p>
      <w:pPr>
        <w:keepNext w:val="0"/>
        <w:keepLines w:val="0"/>
        <w:widowControl/>
        <w:suppressLineNumbers w:val="0"/>
        <w:ind w:left="0" w:firstLine="640"/>
        <w:jc w:val="left"/>
        <w:rPr>
          <w:rFonts w:hint="eastAsia" w:ascii="宋体" w:hAnsi="宋体" w:eastAsia="宋体" w:cs="宋体"/>
          <w:kern w:val="0"/>
          <w:sz w:val="24"/>
          <w:szCs w:val="24"/>
          <w:lang w:val="en-US" w:eastAsia="zh-CN" w:bidi="ar"/>
        </w:rPr>
      </w:pPr>
      <w:r>
        <w:rPr>
          <w:rFonts w:hint="eastAsia" w:ascii="仿宋_GB2312" w:hAnsi="宋体" w:eastAsia="仿宋_GB2312" w:cs="仿宋_GB2312"/>
          <w:color w:val="000000"/>
          <w:kern w:val="0"/>
          <w:sz w:val="31"/>
          <w:szCs w:val="31"/>
          <w:lang w:val="en-US" w:eastAsia="zh-CN" w:bidi="ar"/>
        </w:rPr>
        <w:t>重点整治主要负责人和安全生产管理人员依法经考核合格、特种作业人员持证上岗、超量储存、外部安全距离不足、安全设施缺失或失效、违规存放其他危险物品、经营超标产品，零售店与居民居住场所设置在同一建筑物内、零售场所使用明火等重大隐患。</w:t>
      </w:r>
    </w:p>
    <w:p>
      <w:pPr>
        <w:keepNext w:val="0"/>
        <w:keepLines w:val="0"/>
        <w:widowControl/>
        <w:suppressLineNumbers w:val="0"/>
        <w:ind w:left="0" w:firstLine="640"/>
        <w:jc w:val="left"/>
        <w:rPr>
          <w:rFonts w:hint="eastAsia" w:ascii="宋体" w:hAnsi="宋体" w:eastAsia="宋体" w:cs="宋体"/>
          <w:kern w:val="0"/>
          <w:sz w:val="24"/>
          <w:szCs w:val="24"/>
          <w:lang w:val="en-US" w:eastAsia="zh-CN" w:bidi="ar"/>
        </w:rPr>
      </w:pPr>
      <w:r>
        <w:rPr>
          <w:rFonts w:hint="eastAsia" w:ascii="楷体_GB2312" w:hAnsi="宋体" w:eastAsia="楷体_GB2312" w:cs="楷体_GB2312"/>
          <w:color w:val="000000"/>
          <w:kern w:val="0"/>
          <w:sz w:val="31"/>
          <w:szCs w:val="31"/>
          <w:lang w:val="en-US" w:eastAsia="zh-CN" w:bidi="ar"/>
        </w:rPr>
        <w:t>（八）工贸方面</w:t>
      </w:r>
    </w:p>
    <w:p>
      <w:pPr>
        <w:keepNext w:val="0"/>
        <w:keepLines w:val="0"/>
        <w:widowControl/>
        <w:suppressLineNumbers w:val="0"/>
        <w:ind w:left="0" w:firstLine="640"/>
        <w:jc w:val="left"/>
        <w:rPr>
          <w:rFonts w:hint="eastAsia" w:ascii="宋体" w:hAnsi="宋体" w:eastAsia="宋体" w:cs="宋体"/>
          <w:kern w:val="0"/>
          <w:sz w:val="24"/>
          <w:szCs w:val="24"/>
          <w:lang w:val="en-US" w:eastAsia="zh-CN" w:bidi="ar"/>
        </w:rPr>
      </w:pPr>
      <w:r>
        <w:rPr>
          <w:rFonts w:hint="eastAsia" w:ascii="仿宋_GB2312" w:hAnsi="宋体" w:eastAsia="仿宋_GB2312" w:cs="仿宋_GB2312"/>
          <w:color w:val="000000"/>
          <w:kern w:val="0"/>
          <w:sz w:val="31"/>
          <w:szCs w:val="31"/>
          <w:lang w:val="en-US" w:eastAsia="zh-CN" w:bidi="ar"/>
        </w:rPr>
        <w:t>重点整治冶金、粉尘涉爆、铝加工（深井铸造）、有限空间作业等重大隐患。</w:t>
      </w:r>
    </w:p>
    <w:p>
      <w:pPr>
        <w:keepNext w:val="0"/>
        <w:keepLines w:val="0"/>
        <w:widowControl/>
        <w:suppressLineNumbers w:val="0"/>
        <w:ind w:left="0" w:firstLine="640"/>
        <w:jc w:val="left"/>
        <w:rPr>
          <w:rFonts w:hint="eastAsia" w:ascii="宋体" w:hAnsi="宋体" w:eastAsia="宋体" w:cs="宋体"/>
          <w:kern w:val="0"/>
          <w:sz w:val="24"/>
          <w:szCs w:val="24"/>
          <w:lang w:val="en-US" w:eastAsia="zh-CN" w:bidi="ar"/>
        </w:rPr>
      </w:pPr>
      <w:r>
        <w:rPr>
          <w:rFonts w:hint="eastAsia" w:ascii="仿宋_GB2312" w:hAnsi="宋体" w:eastAsia="仿宋_GB2312" w:cs="仿宋_GB2312"/>
          <w:color w:val="000000"/>
          <w:kern w:val="0"/>
          <w:sz w:val="31"/>
          <w:szCs w:val="31"/>
          <w:lang w:val="en-US" w:eastAsia="zh-CN" w:bidi="ar"/>
        </w:rPr>
        <w:t>其他行业领域，也要针对性地明确整治重点，确保重大隐患排查整改到位。</w:t>
      </w:r>
    </w:p>
    <w:p>
      <w:pPr>
        <w:keepNext w:val="0"/>
        <w:keepLines w:val="0"/>
        <w:widowControl/>
        <w:suppressLineNumbers w:val="0"/>
        <w:ind w:left="0" w:firstLine="640"/>
        <w:jc w:val="left"/>
        <w:rPr>
          <w:rFonts w:hint="eastAsia" w:ascii="宋体" w:hAnsi="宋体" w:eastAsia="宋体" w:cs="宋体"/>
          <w:kern w:val="0"/>
          <w:sz w:val="24"/>
          <w:szCs w:val="24"/>
          <w:lang w:val="en-US" w:eastAsia="zh-CN" w:bidi="ar"/>
        </w:rPr>
      </w:pPr>
      <w:r>
        <w:rPr>
          <w:rFonts w:hint="eastAsia" w:ascii="黑体" w:hAnsi="宋体" w:eastAsia="黑体" w:cs="黑体"/>
          <w:color w:val="000000"/>
          <w:kern w:val="0"/>
          <w:sz w:val="31"/>
          <w:szCs w:val="31"/>
          <w:lang w:val="en-US" w:eastAsia="zh-CN" w:bidi="ar"/>
        </w:rPr>
        <w:t>四、工作要求</w:t>
      </w:r>
    </w:p>
    <w:p>
      <w:pPr>
        <w:keepNext w:val="0"/>
        <w:keepLines w:val="0"/>
        <w:widowControl/>
        <w:suppressLineNumbers w:val="0"/>
        <w:ind w:left="0" w:firstLine="640"/>
        <w:jc w:val="left"/>
        <w:rPr>
          <w:rFonts w:hint="eastAsia" w:ascii="宋体" w:hAnsi="宋体" w:eastAsia="宋体" w:cs="宋体"/>
          <w:kern w:val="0"/>
          <w:sz w:val="24"/>
          <w:szCs w:val="24"/>
          <w:lang w:val="en-US" w:eastAsia="zh-CN" w:bidi="ar"/>
        </w:rPr>
      </w:pPr>
      <w:r>
        <w:rPr>
          <w:rFonts w:hint="eastAsia" w:ascii="楷体_GB2312" w:hAnsi="宋体" w:eastAsia="楷体_GB2312" w:cs="楷体_GB2312"/>
          <w:color w:val="000000"/>
          <w:kern w:val="0"/>
          <w:sz w:val="31"/>
          <w:szCs w:val="31"/>
          <w:lang w:val="en-US" w:eastAsia="zh-CN" w:bidi="ar"/>
        </w:rPr>
        <w:t>（一）加强组织领导</w:t>
      </w:r>
    </w:p>
    <w:p>
      <w:pPr>
        <w:keepNext w:val="0"/>
        <w:keepLines w:val="0"/>
        <w:widowControl/>
        <w:suppressLineNumbers w:val="0"/>
        <w:ind w:left="0" w:firstLine="640"/>
        <w:jc w:val="left"/>
        <w:rPr>
          <w:rFonts w:hint="eastAsia" w:ascii="宋体" w:hAnsi="宋体" w:eastAsia="宋体" w:cs="宋体"/>
          <w:kern w:val="0"/>
          <w:sz w:val="24"/>
          <w:szCs w:val="24"/>
          <w:lang w:val="en-US" w:eastAsia="zh-CN" w:bidi="ar"/>
        </w:rPr>
      </w:pPr>
      <w:r>
        <w:rPr>
          <w:rFonts w:hint="eastAsia" w:ascii="仿宋_GB2312" w:hAnsi="仿宋_GB2312" w:eastAsia="仿宋_GB2312" w:cs="仿宋_GB2312"/>
          <w:kern w:val="0"/>
          <w:sz w:val="32"/>
          <w:szCs w:val="32"/>
          <w:highlight w:val="none"/>
          <w:lang w:val="en-US" w:eastAsia="zh-CN" w:bidi="ar"/>
        </w:rPr>
        <w:t>各村、社区，各办、局、中心，镇属各企事业单位</w:t>
      </w:r>
      <w:r>
        <w:rPr>
          <w:rFonts w:hint="eastAsia" w:ascii="仿宋_GB2312" w:hAnsi="宋体" w:eastAsia="仿宋_GB2312" w:cs="仿宋_GB2312"/>
          <w:color w:val="000000"/>
          <w:kern w:val="0"/>
          <w:sz w:val="31"/>
          <w:szCs w:val="31"/>
          <w:lang w:val="en-US" w:eastAsia="zh-CN" w:bidi="ar"/>
        </w:rPr>
        <w:t>要高度重视安全生产重大隐患专项整治工作，统筹好安全生产督导检查与服务经济发展大局的关系，科学合理研究制定方案，对专项整治重点内容不搞“一刀切”，明确整治重点，确保查大问题、除大隐患、防大事故。要落实落细职责分工，加强协调联动，形成工作合力。</w:t>
      </w:r>
    </w:p>
    <w:p>
      <w:pPr>
        <w:keepNext w:val="0"/>
        <w:keepLines w:val="0"/>
        <w:widowControl/>
        <w:suppressLineNumbers w:val="0"/>
        <w:ind w:left="0" w:firstLine="640"/>
        <w:jc w:val="left"/>
        <w:rPr>
          <w:rFonts w:hint="eastAsia" w:ascii="宋体" w:hAnsi="宋体" w:eastAsia="宋体" w:cs="宋体"/>
          <w:kern w:val="0"/>
          <w:sz w:val="24"/>
          <w:szCs w:val="24"/>
          <w:lang w:val="en-US" w:eastAsia="zh-CN" w:bidi="ar"/>
        </w:rPr>
      </w:pPr>
      <w:r>
        <w:rPr>
          <w:rFonts w:hint="eastAsia" w:ascii="楷体_GB2312" w:hAnsi="宋体" w:eastAsia="楷体_GB2312" w:cs="楷体_GB2312"/>
          <w:color w:val="000000"/>
          <w:kern w:val="0"/>
          <w:sz w:val="31"/>
          <w:szCs w:val="31"/>
          <w:lang w:val="en-US" w:eastAsia="zh-CN" w:bidi="ar"/>
        </w:rPr>
        <w:t>（二）形成整改闭环</w:t>
      </w:r>
    </w:p>
    <w:p>
      <w:pPr>
        <w:keepNext w:val="0"/>
        <w:keepLines w:val="0"/>
        <w:widowControl/>
        <w:suppressLineNumbers w:val="0"/>
        <w:ind w:left="0" w:firstLine="640"/>
        <w:jc w:val="left"/>
        <w:rPr>
          <w:rFonts w:hint="eastAsia" w:ascii="宋体" w:hAnsi="宋体" w:eastAsia="宋体" w:cs="宋体"/>
          <w:kern w:val="0"/>
          <w:sz w:val="24"/>
          <w:szCs w:val="24"/>
          <w:lang w:val="en-US" w:eastAsia="zh-CN" w:bidi="ar"/>
        </w:rPr>
      </w:pPr>
      <w:r>
        <w:rPr>
          <w:rFonts w:hint="eastAsia" w:ascii="仿宋_GB2312" w:hAnsi="宋体" w:eastAsia="仿宋_GB2312" w:cs="仿宋_GB2312"/>
          <w:color w:val="000000"/>
          <w:kern w:val="0"/>
          <w:sz w:val="31"/>
          <w:szCs w:val="31"/>
          <w:lang w:val="en-US" w:eastAsia="zh-CN" w:bidi="ar"/>
        </w:rPr>
        <w:t>要坚持责任清单化、问题清单化、整改台账化，对发现的重大隐患，要依法依规采取关停整改等措施，整改不到位一律不得恢复生产经营。要建立重大隐患排查、整改、验收、销号的严密工作闭环，实行各环节责任人实名登记制度，盯紧看牢、一盯到底，确保重大隐患整改到位。</w:t>
      </w:r>
    </w:p>
    <w:p>
      <w:pPr>
        <w:keepNext w:val="0"/>
        <w:keepLines w:val="0"/>
        <w:widowControl/>
        <w:suppressLineNumbers w:val="0"/>
        <w:ind w:left="0" w:firstLine="640"/>
        <w:jc w:val="left"/>
        <w:rPr>
          <w:rFonts w:hint="eastAsia" w:ascii="宋体" w:hAnsi="宋体" w:eastAsia="宋体" w:cs="宋体"/>
          <w:kern w:val="0"/>
          <w:sz w:val="24"/>
          <w:szCs w:val="24"/>
          <w:lang w:val="en-US" w:eastAsia="zh-CN" w:bidi="ar"/>
        </w:rPr>
      </w:pPr>
      <w:r>
        <w:rPr>
          <w:rFonts w:hint="eastAsia" w:ascii="楷体_GB2312" w:hAnsi="宋体" w:eastAsia="楷体_GB2312" w:cs="楷体_GB2312"/>
          <w:color w:val="000000"/>
          <w:kern w:val="0"/>
          <w:sz w:val="31"/>
          <w:szCs w:val="31"/>
          <w:lang w:val="en-US" w:eastAsia="zh-CN" w:bidi="ar"/>
        </w:rPr>
        <w:t>（三）强化责任落实</w:t>
      </w:r>
    </w:p>
    <w:p>
      <w:pPr>
        <w:keepNext w:val="0"/>
        <w:keepLines w:val="0"/>
        <w:widowControl/>
        <w:suppressLineNumbers w:val="0"/>
        <w:ind w:left="0" w:firstLine="640"/>
        <w:jc w:val="left"/>
        <w:rPr>
          <w:rFonts w:hint="eastAsia" w:ascii="宋体" w:hAnsi="宋体" w:eastAsia="宋体" w:cs="宋体"/>
          <w:kern w:val="0"/>
          <w:sz w:val="24"/>
          <w:szCs w:val="24"/>
          <w:lang w:val="en-US" w:eastAsia="zh-CN" w:bidi="ar"/>
        </w:rPr>
      </w:pPr>
      <w:r>
        <w:rPr>
          <w:rFonts w:hint="eastAsia" w:ascii="仿宋_GB2312" w:hAnsi="宋体" w:eastAsia="仿宋_GB2312" w:cs="仿宋_GB2312"/>
          <w:color w:val="000000"/>
          <w:kern w:val="0"/>
          <w:sz w:val="31"/>
          <w:szCs w:val="31"/>
          <w:lang w:val="en-US" w:eastAsia="zh-CN" w:bidi="ar"/>
        </w:rPr>
        <w:t>要严格落实安全生产属地管理责任、部门监管责任、企业主体责任，建立健全“谁排查谁签字、谁整改谁签字、谁验收谁签字、谁签字谁负责”的重大隐患整治全链条责任追究机制。要明确奖惩措施，对工作成效突出的大力表扬，对不负责任、搞形式主义走过场的通报批评，对专项整治期间发生生产安全事故的依法依规严肃追责问责。</w:t>
      </w:r>
    </w:p>
    <w:p>
      <w:pPr>
        <w:keepNext w:val="0"/>
        <w:keepLines w:val="0"/>
        <w:widowControl/>
        <w:suppressLineNumbers w:val="0"/>
        <w:ind w:left="0" w:firstLine="64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附件：安全生产重大隐患清单</w:t>
      </w:r>
    </w:p>
    <w:p>
      <w:pPr>
        <w:ind w:left="1478" w:leftChars="304" w:hanging="840" w:hangingChars="400"/>
        <w:jc w:val="left"/>
        <w:rPr>
          <w:rFonts w:eastAsia="宋体" w:cs="Times New Roman"/>
        </w:rPr>
      </w:pPr>
    </w:p>
    <w:p>
      <w:pPr>
        <w:rPr>
          <w:rFonts w:hint="eastAsia" w:ascii="仿宋_GB2312" w:hAnsi="仿宋_GB2312" w:eastAsia="仿宋_GB2312" w:cs="仿宋_GB2312"/>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鄂尔多斯市东胜区罕台镇人民政府</w:t>
      </w:r>
    </w:p>
    <w:p>
      <w:pPr>
        <w:pStyle w:val="3"/>
        <w:keepNext w:val="0"/>
        <w:keepLines w:val="0"/>
        <w:pageBreakBefore w:val="0"/>
        <w:widowControl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20</w:t>
      </w:r>
      <w:r>
        <w:rPr>
          <w:rFonts w:hint="eastAsia" w:ascii="仿宋_GB2312" w:hAnsi="仿宋_GB2312" w:eastAsia="仿宋_GB2312" w:cs="仿宋_GB2312"/>
          <w:color w:val="000000"/>
          <w:sz w:val="32"/>
          <w:szCs w:val="32"/>
          <w:lang w:val="en-US" w:eastAsia="zh-CN"/>
        </w:rPr>
        <w:t>23</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16</w:t>
      </w:r>
      <w:r>
        <w:rPr>
          <w:rFonts w:hint="eastAsia" w:ascii="仿宋_GB2312" w:hAnsi="仿宋_GB2312" w:eastAsia="仿宋_GB2312" w:cs="仿宋_GB2312"/>
          <w:color w:val="000000"/>
          <w:sz w:val="32"/>
          <w:szCs w:val="32"/>
        </w:rPr>
        <w:t>日</w:t>
      </w:r>
    </w:p>
    <w:p>
      <w:pPr>
        <w:pStyle w:val="3"/>
        <w:keepNext w:val="0"/>
        <w:keepLines w:val="0"/>
        <w:pageBreakBefore w:val="0"/>
        <w:widowControl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color w:val="000000"/>
          <w:sz w:val="32"/>
          <w:szCs w:val="32"/>
        </w:rPr>
      </w:pPr>
    </w:p>
    <w:p>
      <w:pPr>
        <w:pStyle w:val="3"/>
        <w:keepNext w:val="0"/>
        <w:keepLines w:val="0"/>
        <w:pageBreakBefore w:val="0"/>
        <w:widowControl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color w:val="000000"/>
          <w:sz w:val="32"/>
          <w:szCs w:val="32"/>
        </w:rPr>
      </w:pPr>
    </w:p>
    <w:p>
      <w:pPr>
        <w:pStyle w:val="3"/>
        <w:keepNext w:val="0"/>
        <w:keepLines w:val="0"/>
        <w:pageBreakBefore w:val="0"/>
        <w:widowControl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color w:val="000000"/>
          <w:sz w:val="32"/>
          <w:szCs w:val="32"/>
        </w:rPr>
      </w:pPr>
    </w:p>
    <w:p>
      <w:pPr>
        <w:pStyle w:val="3"/>
        <w:keepNext w:val="0"/>
        <w:keepLines w:val="0"/>
        <w:pageBreakBefore w:val="0"/>
        <w:widowControl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color w:val="000000"/>
          <w:sz w:val="32"/>
          <w:szCs w:val="32"/>
        </w:rPr>
      </w:pPr>
    </w:p>
    <w:p>
      <w:pPr>
        <w:pStyle w:val="3"/>
        <w:keepNext w:val="0"/>
        <w:keepLines w:val="0"/>
        <w:pageBreakBefore w:val="0"/>
        <w:widowControl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color w:val="000000"/>
          <w:sz w:val="32"/>
          <w:szCs w:val="32"/>
        </w:rPr>
      </w:pPr>
    </w:p>
    <w:p>
      <w:pPr>
        <w:pStyle w:val="3"/>
        <w:keepNext w:val="0"/>
        <w:keepLines w:val="0"/>
        <w:pageBreakBefore w:val="0"/>
        <w:widowControl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color w:val="000000"/>
          <w:sz w:val="32"/>
          <w:szCs w:val="32"/>
        </w:rPr>
      </w:pPr>
    </w:p>
    <w:p>
      <w:pPr>
        <w:pStyle w:val="3"/>
        <w:keepNext w:val="0"/>
        <w:keepLines w:val="0"/>
        <w:pageBreakBefore w:val="0"/>
        <w:widowControl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color w:val="000000"/>
          <w:sz w:val="32"/>
          <w:szCs w:val="32"/>
        </w:rPr>
      </w:pPr>
    </w:p>
    <w:p>
      <w:pPr>
        <w:pStyle w:val="3"/>
        <w:keepNext w:val="0"/>
        <w:keepLines w:val="0"/>
        <w:pageBreakBefore w:val="0"/>
        <w:widowControl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color w:val="000000"/>
          <w:sz w:val="32"/>
          <w:szCs w:val="32"/>
        </w:rPr>
      </w:pPr>
    </w:p>
    <w:p>
      <w:pPr>
        <w:pStyle w:val="3"/>
        <w:keepNext w:val="0"/>
        <w:keepLines w:val="0"/>
        <w:pageBreakBefore w:val="0"/>
        <w:widowControl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color w:val="000000"/>
          <w:sz w:val="32"/>
          <w:szCs w:val="32"/>
        </w:rPr>
      </w:pPr>
    </w:p>
    <w:p>
      <w:pPr>
        <w:pStyle w:val="3"/>
        <w:keepNext w:val="0"/>
        <w:keepLines w:val="0"/>
        <w:pageBreakBefore w:val="0"/>
        <w:widowControl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color w:val="000000"/>
          <w:sz w:val="32"/>
          <w:szCs w:val="32"/>
        </w:rPr>
      </w:pPr>
    </w:p>
    <w:p>
      <w:pPr>
        <w:pStyle w:val="3"/>
        <w:keepNext w:val="0"/>
        <w:keepLines w:val="0"/>
        <w:pageBreakBefore w:val="0"/>
        <w:widowControl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color w:val="000000"/>
          <w:sz w:val="32"/>
          <w:szCs w:val="32"/>
        </w:rPr>
      </w:pPr>
    </w:p>
    <w:p>
      <w:pPr>
        <w:pStyle w:val="3"/>
        <w:keepNext w:val="0"/>
        <w:keepLines w:val="0"/>
        <w:pageBreakBefore w:val="0"/>
        <w:widowControl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color w:val="000000"/>
          <w:sz w:val="32"/>
          <w:szCs w:val="32"/>
        </w:rPr>
      </w:pPr>
    </w:p>
    <w:p>
      <w:pPr>
        <w:pStyle w:val="3"/>
        <w:keepNext w:val="0"/>
        <w:keepLines w:val="0"/>
        <w:pageBreakBefore w:val="0"/>
        <w:widowControl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color w:val="000000"/>
          <w:sz w:val="32"/>
          <w:szCs w:val="32"/>
        </w:rPr>
      </w:pPr>
    </w:p>
    <w:p>
      <w:pPr>
        <w:pStyle w:val="3"/>
        <w:keepNext w:val="0"/>
        <w:keepLines w:val="0"/>
        <w:pageBreakBefore w:val="0"/>
        <w:widowControl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color w:val="000000"/>
          <w:sz w:val="32"/>
          <w:szCs w:val="32"/>
        </w:rPr>
      </w:pPr>
    </w:p>
    <w:p>
      <w:pPr>
        <w:pStyle w:val="3"/>
        <w:keepNext w:val="0"/>
        <w:keepLines w:val="0"/>
        <w:pageBreakBefore w:val="0"/>
        <w:widowControl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color w:val="000000"/>
          <w:sz w:val="32"/>
          <w:szCs w:val="32"/>
        </w:rPr>
      </w:pPr>
    </w:p>
    <w:p>
      <w:pPr>
        <w:pStyle w:val="3"/>
        <w:keepNext w:val="0"/>
        <w:keepLines w:val="0"/>
        <w:pageBreakBefore w:val="0"/>
        <w:widowControl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color w:val="000000"/>
          <w:sz w:val="32"/>
          <w:szCs w:val="32"/>
        </w:rPr>
      </w:pPr>
    </w:p>
    <w:p>
      <w:pPr>
        <w:pStyle w:val="3"/>
        <w:keepNext w:val="0"/>
        <w:keepLines w:val="0"/>
        <w:pageBreakBefore w:val="0"/>
        <w:widowControl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color w:val="000000"/>
          <w:sz w:val="32"/>
          <w:szCs w:val="32"/>
        </w:rPr>
      </w:pPr>
    </w:p>
    <w:p>
      <w:pPr>
        <w:pStyle w:val="3"/>
        <w:keepNext w:val="0"/>
        <w:keepLines w:val="0"/>
        <w:pageBreakBefore w:val="0"/>
        <w:widowControl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color w:val="000000"/>
          <w:sz w:val="32"/>
          <w:szCs w:val="32"/>
        </w:rPr>
      </w:pPr>
    </w:p>
    <w:p>
      <w:pPr>
        <w:pStyle w:val="3"/>
        <w:keepNext w:val="0"/>
        <w:keepLines w:val="0"/>
        <w:pageBreakBefore w:val="0"/>
        <w:widowControl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color w:val="000000"/>
          <w:sz w:val="32"/>
          <w:szCs w:val="32"/>
        </w:rPr>
      </w:pPr>
    </w:p>
    <w:p>
      <w:pPr>
        <w:pStyle w:val="3"/>
        <w:keepNext w:val="0"/>
        <w:keepLines w:val="0"/>
        <w:pageBreakBefore w:val="0"/>
        <w:widowControl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color w:val="000000"/>
          <w:sz w:val="32"/>
          <w:szCs w:val="32"/>
        </w:rPr>
      </w:pPr>
    </w:p>
    <w:p>
      <w:pPr>
        <w:pStyle w:val="3"/>
        <w:keepNext w:val="0"/>
        <w:keepLines w:val="0"/>
        <w:pageBreakBefore w:val="0"/>
        <w:widowControl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color w:val="000000"/>
          <w:sz w:val="32"/>
          <w:szCs w:val="32"/>
        </w:rPr>
      </w:pPr>
    </w:p>
    <w:p>
      <w:pPr>
        <w:pStyle w:val="3"/>
        <w:keepNext w:val="0"/>
        <w:keepLines w:val="0"/>
        <w:pageBreakBefore w:val="0"/>
        <w:widowControl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color w:val="000000"/>
          <w:sz w:val="32"/>
          <w:szCs w:val="32"/>
        </w:rPr>
      </w:pPr>
    </w:p>
    <w:p>
      <w:pPr>
        <w:pStyle w:val="3"/>
        <w:keepNext w:val="0"/>
        <w:keepLines w:val="0"/>
        <w:pageBreakBefore w:val="0"/>
        <w:widowControl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color w:val="000000"/>
          <w:sz w:val="32"/>
          <w:szCs w:val="32"/>
        </w:rPr>
      </w:pPr>
    </w:p>
    <w:p>
      <w:pPr>
        <w:pStyle w:val="3"/>
        <w:keepNext w:val="0"/>
        <w:keepLines w:val="0"/>
        <w:pageBreakBefore w:val="0"/>
        <w:widowControl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color w:val="000000"/>
          <w:sz w:val="32"/>
          <w:szCs w:val="32"/>
        </w:rPr>
      </w:pPr>
    </w:p>
    <w:p>
      <w:pPr>
        <w:pStyle w:val="3"/>
        <w:keepNext w:val="0"/>
        <w:keepLines w:val="0"/>
        <w:pageBreakBefore w:val="0"/>
        <w:widowControl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color w:val="000000"/>
          <w:sz w:val="32"/>
          <w:szCs w:val="32"/>
        </w:rPr>
      </w:pPr>
      <w:bookmarkStart w:id="0" w:name="_GoBack"/>
      <w:bookmarkEnd w:id="0"/>
    </w:p>
    <w:p>
      <w:pPr>
        <w:pStyle w:val="3"/>
        <w:keepNext w:val="0"/>
        <w:keepLines w:val="0"/>
        <w:pageBreakBefore w:val="0"/>
        <w:widowControl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color w:val="000000"/>
          <w:sz w:val="32"/>
          <w:szCs w:val="32"/>
        </w:rPr>
      </w:pPr>
    </w:p>
    <w:p>
      <w:pPr>
        <w:pStyle w:val="15"/>
        <w:keepNext w:val="0"/>
        <w:keepLines w:val="0"/>
        <w:pageBreakBefore w:val="0"/>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20"/>
          <w:kern w:val="0"/>
          <w:sz w:val="32"/>
          <w:szCs w:val="32"/>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24130</wp:posOffset>
                </wp:positionH>
                <wp:positionV relativeFrom="paragraph">
                  <wp:posOffset>7620</wp:posOffset>
                </wp:positionV>
                <wp:extent cx="5637530" cy="635"/>
                <wp:effectExtent l="0" t="0" r="0" b="0"/>
                <wp:wrapNone/>
                <wp:docPr id="2" name="直线 2"/>
                <wp:cNvGraphicFramePr/>
                <a:graphic xmlns:a="http://schemas.openxmlformats.org/drawingml/2006/main">
                  <a:graphicData uri="http://schemas.microsoft.com/office/word/2010/wordprocessingShape">
                    <wps:wsp>
                      <wps:cNvCnPr/>
                      <wps:spPr>
                        <a:xfrm>
                          <a:off x="0" y="0"/>
                          <a:ext cx="5637530" cy="635"/>
                        </a:xfrm>
                        <a:prstGeom prst="line">
                          <a:avLst/>
                        </a:prstGeom>
                        <a:ln w="4445" cap="flat" cmpd="sng">
                          <a:solidFill>
                            <a:srgbClr val="000000">
                              <a:alpha val="100000"/>
                            </a:srgbClr>
                          </a:solidFill>
                          <a:prstDash val="solid"/>
                          <a:headEnd type="none" w="med" len="med"/>
                          <a:tailEnd type="none" w="med" len="med"/>
                        </a:ln>
                      </wps:spPr>
                      <wps:bodyPr upright="0"/>
                    </wps:wsp>
                  </a:graphicData>
                </a:graphic>
              </wp:anchor>
            </w:drawing>
          </mc:Choice>
          <mc:Fallback>
            <w:pict>
              <v:line id="直线 2" o:spid="_x0000_s1026" o:spt="20" style="position:absolute;left:0pt;margin-left:1.9pt;margin-top:0.6pt;height:0.05pt;width:443.9pt;z-index:251660288;mso-width-relative:page;mso-height-relative:page;" filled="f" stroked="t" coordsize="21600,21600" o:gfxdata="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7fC67UAAAABQEAAA8AAAAAAAAAAQAgAAAAIgAAAGRycy9kb3ducmV2LnhtbFBLAQIUABQA&#10;AAAIAIdO4kAdP4oG9AEAAP8DAAAOAAAAAAAAAAEAIAAAACMBAABkcnMvZTJvRG9jLnhtbFBLBQYA&#10;AAAABgAGAFkBAACJBQAAAAA=&#10;">
                <v:fill on="f" focussize="0,0"/>
                <v:stroke weight="0.35pt" color="#000000" joinstyle="round"/>
                <v:imagedata o:title=""/>
                <o:lock v:ext="edit" aspectratio="f"/>
              </v:line>
            </w:pict>
          </mc:Fallback>
        </mc:AlternateContent>
      </w:r>
      <w:r>
        <w:rPr>
          <w:rFonts w:hint="eastAsia" w:ascii="仿宋_GB2312" w:hAnsi="仿宋_GB2312" w:eastAsia="仿宋_GB2312" w:cs="仿宋_GB2312"/>
          <w:spacing w:val="-20"/>
          <w:kern w:val="0"/>
          <w:sz w:val="32"/>
          <w:szCs w:val="32"/>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403860</wp:posOffset>
                </wp:positionV>
                <wp:extent cx="5637530" cy="635"/>
                <wp:effectExtent l="0" t="0" r="0" b="0"/>
                <wp:wrapNone/>
                <wp:docPr id="1" name="直线 3"/>
                <wp:cNvGraphicFramePr/>
                <a:graphic xmlns:a="http://schemas.openxmlformats.org/drawingml/2006/main">
                  <a:graphicData uri="http://schemas.microsoft.com/office/word/2010/wordprocessingShape">
                    <wps:wsp>
                      <wps:cNvCnPr/>
                      <wps:spPr>
                        <a:xfrm>
                          <a:off x="0" y="0"/>
                          <a:ext cx="5637530" cy="635"/>
                        </a:xfrm>
                        <a:prstGeom prst="line">
                          <a:avLst/>
                        </a:prstGeom>
                        <a:ln w="4445" cap="flat" cmpd="sng">
                          <a:solidFill>
                            <a:srgbClr val="000000">
                              <a:alpha val="100000"/>
                            </a:srgbClr>
                          </a:solidFill>
                          <a:prstDash val="solid"/>
                          <a:headEnd type="none" w="med" len="med"/>
                          <a:tailEnd type="none" w="med" len="med"/>
                        </a:ln>
                      </wps:spPr>
                      <wps:bodyPr upright="0"/>
                    </wps:wsp>
                  </a:graphicData>
                </a:graphic>
              </wp:anchor>
            </w:drawing>
          </mc:Choice>
          <mc:Fallback>
            <w:pict>
              <v:line id="直线 3" o:spid="_x0000_s1026" o:spt="20" style="position:absolute;left:0pt;margin-left:2.25pt;margin-top:31.8pt;height:0.05pt;width:443.9pt;z-index:251659264;mso-width-relative:page;mso-height-relative:page;" filled="f" stroked="t" coordsize="21600,21600" o:gfxdata="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jPiOs1wAAAAcBAAAPAAAAAAAAAAEAIAAAACIAAABkcnMvZG93bnJldi54bWxQSwEC&#10;FAAUAAAACACHTuJAEKGycfUBAAD/AwAADgAAAAAAAAABACAAAAAmAQAAZHJzL2Uyb0RvYy54bWxQ&#10;SwUGAAAAAAYABgBZAQAAjQUAAAAA&#10;">
                <v:fill on="f" focussize="0,0"/>
                <v:stroke weight="0.35pt" color="#000000" joinstyle="round"/>
                <v:imagedata o:title=""/>
                <o:lock v:ext="edit" aspectratio="f"/>
              </v:line>
            </w:pict>
          </mc:Fallback>
        </mc:AlternateContent>
      </w:r>
      <w:r>
        <w:rPr>
          <w:rFonts w:hint="eastAsia" w:ascii="仿宋_GB2312" w:hAnsi="仿宋_GB2312" w:eastAsia="仿宋_GB2312" w:cs="仿宋_GB2312"/>
          <w:spacing w:val="-20"/>
          <w:sz w:val="32"/>
          <w:szCs w:val="32"/>
        </w:rPr>
        <w:t>鄂尔多斯市东胜区罕台镇党政综合办公室</w:t>
      </w:r>
      <w:r>
        <w:rPr>
          <w:rFonts w:hint="eastAsia" w:ascii="仿宋_GB2312" w:hAnsi="仿宋_GB2312" w:eastAsia="仿宋_GB2312" w:cs="仿宋_GB2312"/>
          <w:sz w:val="32"/>
          <w:szCs w:val="32"/>
        </w:rPr>
        <w:t xml:space="preserve">    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16日</w:t>
      </w:r>
    </w:p>
    <w:sectPr>
      <w:headerReference r:id="rId3" w:type="default"/>
      <w:footerReference r:id="rId4"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宋体" w:hAnsi="宋体"/>
        <w:sz w:val="28"/>
        <w:szCs w:val="28"/>
      </w:rPr>
    </w:pPr>
    <w:r>
      <w:rPr>
        <w:rFonts w:ascii="Calibri" w:hAnsi="Calibri" w:eastAsia="宋体" w:cs="黑体"/>
        <w:kern w:val="2"/>
        <w:sz w:val="2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3"/>
                            <w:jc w:val="cente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t>- 1 -</w:t>
                          </w:r>
                          <w:r>
                            <w:rPr>
                              <w:rFonts w:ascii="宋体" w:hAnsi="宋体"/>
                              <w:sz w:val="28"/>
                              <w:szCs w:val="28"/>
                            </w:rP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J4NN6zEAQAAjwMAAA4AAAAAAAAAAQAgAAAAHwEAAGRycy9lMm9Eb2MueG1s&#10;UEsFBgAAAAAGAAYAWQEAAFUFAAAAAA==&#10;">
              <v:fill on="f" focussize="0,0"/>
              <v:stroke on="f"/>
              <v:imagedata o:title=""/>
              <o:lock v:ext="edit" aspectratio="f"/>
              <v:textbox inset="0mm,0mm,0mm,0mm" style="mso-fit-shape-to-text:t;">
                <w:txbxContent>
                  <w:p>
                    <w:pPr>
                      <w:pStyle w:val="3"/>
                      <w:jc w:val="cente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t>- 1 -</w:t>
                    </w:r>
                    <w:r>
                      <w:rPr>
                        <w:rFonts w:ascii="宋体" w:hAnsi="宋体"/>
                        <w:sz w:val="28"/>
                        <w:szCs w:val="28"/>
                      </w:rPr>
                      <w:fldChar w:fldCharType="end"/>
                    </w:r>
                  </w:p>
                </w:txbxContent>
              </v:textbox>
            </v:rect>
          </w:pict>
        </mc:Fallback>
      </mc:AlternateConten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lODBiMzE0MDhmMzY0YTZjZThhNzNiYjdjMWZiMWEifQ=="/>
  </w:docVars>
  <w:rsids>
    <w:rsidRoot w:val="00000000"/>
    <w:rsid w:val="05591174"/>
    <w:rsid w:val="067E3047"/>
    <w:rsid w:val="07883F15"/>
    <w:rsid w:val="0BB901B3"/>
    <w:rsid w:val="0C4274CE"/>
    <w:rsid w:val="0DEE058C"/>
    <w:rsid w:val="0DF34686"/>
    <w:rsid w:val="0FEE0157"/>
    <w:rsid w:val="11E50432"/>
    <w:rsid w:val="16263EFB"/>
    <w:rsid w:val="16456CAB"/>
    <w:rsid w:val="17DC327B"/>
    <w:rsid w:val="1C07077C"/>
    <w:rsid w:val="1E4417C2"/>
    <w:rsid w:val="229A7B59"/>
    <w:rsid w:val="28EE67D0"/>
    <w:rsid w:val="2D113514"/>
    <w:rsid w:val="2EA24134"/>
    <w:rsid w:val="30A911E7"/>
    <w:rsid w:val="33DF57E6"/>
    <w:rsid w:val="34462995"/>
    <w:rsid w:val="348528D7"/>
    <w:rsid w:val="382D2FAE"/>
    <w:rsid w:val="3BCF3172"/>
    <w:rsid w:val="3C9900E8"/>
    <w:rsid w:val="3E720F9E"/>
    <w:rsid w:val="45966D8F"/>
    <w:rsid w:val="47F57074"/>
    <w:rsid w:val="4C9A72A6"/>
    <w:rsid w:val="4E6D2238"/>
    <w:rsid w:val="4FEB1754"/>
    <w:rsid w:val="50153174"/>
    <w:rsid w:val="530B681E"/>
    <w:rsid w:val="53146414"/>
    <w:rsid w:val="544E4CF4"/>
    <w:rsid w:val="56E66B4D"/>
    <w:rsid w:val="576948CC"/>
    <w:rsid w:val="58006893"/>
    <w:rsid w:val="58DD7F63"/>
    <w:rsid w:val="5A0233B6"/>
    <w:rsid w:val="5FDB09F9"/>
    <w:rsid w:val="5FEE11CB"/>
    <w:rsid w:val="60D3721E"/>
    <w:rsid w:val="62C8547A"/>
    <w:rsid w:val="635228F6"/>
    <w:rsid w:val="63BE7902"/>
    <w:rsid w:val="66A02C7C"/>
    <w:rsid w:val="68A60C62"/>
    <w:rsid w:val="6A435A10"/>
    <w:rsid w:val="6A8131A2"/>
    <w:rsid w:val="6E566ED8"/>
    <w:rsid w:val="70231A6C"/>
    <w:rsid w:val="71F82510"/>
    <w:rsid w:val="73BD5AAB"/>
    <w:rsid w:val="75380C87"/>
    <w:rsid w:val="76555B91"/>
    <w:rsid w:val="7A4117DB"/>
    <w:rsid w:val="7D342DD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rPr>
      <w:rFonts w:ascii="Calibri" w:hAnsi="Calibri" w:cs="黑体"/>
    </w:rPr>
  </w:style>
  <w:style w:type="paragraph" w:styleId="3">
    <w:name w:val="footer"/>
    <w:basedOn w:val="1"/>
    <w:qFormat/>
    <w:uiPriority w:val="0"/>
    <w:pPr>
      <w:tabs>
        <w:tab w:val="center" w:pos="4153"/>
        <w:tab w:val="right" w:pos="8306"/>
      </w:tabs>
      <w:snapToGrid w:val="0"/>
      <w:jc w:val="left"/>
    </w:pPr>
    <w:rPr>
      <w:sz w:val="18"/>
      <w:szCs w:val="18"/>
    </w:rPr>
  </w:style>
  <w:style w:type="paragraph" w:styleId="5">
    <w:name w:val="Normal Indent"/>
    <w:basedOn w:val="1"/>
    <w:qFormat/>
    <w:uiPriority w:val="0"/>
    <w:pPr>
      <w:ind w:firstLine="420"/>
    </w:pPr>
  </w:style>
  <w:style w:type="paragraph" w:styleId="6">
    <w:name w:val="Balloon Text"/>
    <w:basedOn w:val="1"/>
    <w:link w:val="19"/>
    <w:qFormat/>
    <w:uiPriority w:val="0"/>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rPr>
  </w:style>
  <w:style w:type="paragraph" w:styleId="9">
    <w:name w:val="Normal (Web)"/>
    <w:basedOn w:val="1"/>
    <w:qFormat/>
    <w:uiPriority w:val="0"/>
    <w:pPr>
      <w:spacing w:beforeAutospacing="1" w:afterAutospacing="1"/>
      <w:jc w:val="left"/>
    </w:pPr>
    <w:rPr>
      <w:rFonts w:cs="Times New Roman"/>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Hyperlink"/>
    <w:basedOn w:val="12"/>
    <w:qFormat/>
    <w:uiPriority w:val="0"/>
    <w:rPr>
      <w:color w:val="0000FF"/>
      <w:u w:val="single"/>
    </w:rPr>
  </w:style>
  <w:style w:type="paragraph" w:customStyle="1" w:styleId="15">
    <w:name w:val="p0"/>
    <w:basedOn w:val="1"/>
    <w:qFormat/>
    <w:uiPriority w:val="0"/>
    <w:pPr>
      <w:widowControl/>
      <w:snapToGrid w:val="0"/>
      <w:spacing w:after="200"/>
      <w:jc w:val="left"/>
    </w:pPr>
    <w:rPr>
      <w:rFonts w:ascii="Tahoma" w:hAnsi="Tahoma" w:cs="Tahoma"/>
      <w:kern w:val="0"/>
      <w:sz w:val="22"/>
      <w:szCs w:val="22"/>
    </w:rPr>
  </w:style>
  <w:style w:type="paragraph" w:customStyle="1" w:styleId="16">
    <w:name w:val="列出段落1"/>
    <w:basedOn w:val="1"/>
    <w:qFormat/>
    <w:uiPriority w:val="34"/>
    <w:pPr>
      <w:ind w:firstLine="420" w:firstLineChars="200"/>
    </w:pPr>
    <w:rPr>
      <w:rFonts w:ascii="Calibri" w:hAnsi="Calibri" w:eastAsia="宋体" w:cs="黑体"/>
    </w:rPr>
  </w:style>
  <w:style w:type="paragraph" w:customStyle="1" w:styleId="17">
    <w:name w:val="List Paragraph"/>
    <w:basedOn w:val="1"/>
    <w:unhideWhenUsed/>
    <w:qFormat/>
    <w:uiPriority w:val="99"/>
    <w:pPr>
      <w:ind w:firstLine="420" w:firstLineChars="200"/>
    </w:pPr>
  </w:style>
  <w:style w:type="paragraph" w:customStyle="1" w:styleId="18">
    <w:name w:val="BodyText"/>
    <w:basedOn w:val="1"/>
    <w:qFormat/>
    <w:uiPriority w:val="0"/>
    <w:pPr>
      <w:spacing w:after="120"/>
    </w:pPr>
  </w:style>
  <w:style w:type="character" w:customStyle="1" w:styleId="19">
    <w:name w:val="批注框文本 Char Char"/>
    <w:basedOn w:val="12"/>
    <w:link w:val="6"/>
    <w:qFormat/>
    <w:uiPriority w:val="0"/>
    <w:rPr>
      <w:kern w:val="2"/>
      <w:sz w:val="18"/>
      <w:szCs w:val="18"/>
    </w:rPr>
  </w:style>
  <w:style w:type="character" w:customStyle="1" w:styleId="20">
    <w:name w:val="NormalCharacter"/>
    <w:semiHidden/>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1761</Words>
  <Characters>1776</Characters>
  <Lines>2</Lines>
  <Paragraphs>1</Paragraphs>
  <TotalTime>9</TotalTime>
  <ScaleCrop>false</ScaleCrop>
  <LinksUpToDate>false</LinksUpToDate>
  <CharactersWithSpaces>1830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hantai</cp:lastModifiedBy>
  <cp:lastPrinted>2023-03-07T01:36:00Z</cp:lastPrinted>
  <dcterms:modified xsi:type="dcterms:W3CDTF">2023-03-21T03:01:53Z</dcterms:modified>
  <dc:title>_x0001_</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F41A06DF11C04980BDFFA31A54D3879E</vt:lpwstr>
  </property>
  <property fmtid="{D5CDD505-2E9C-101B-9397-08002B2CF9AE}" pid="4" name="commondata">
    <vt:lpwstr>eyJoZGlkIjoiMjc0ZmE0ZTNmMzg5NDZhMjFlZTJjNTJiYjQ4MmRhYTEifQ==</vt:lpwstr>
  </property>
</Properties>
</file>