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0" w:firstLineChars="1000"/>
        <w:jc w:val="left"/>
        <w:textAlignment w:val="auto"/>
        <w:rPr>
          <w:rFonts w:hint="default" w:ascii="仿宋_GB2312" w:hAnsi="微软雅黑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东纺办字〔20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〕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 xml:space="preserve">号                    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鄂尔多斯市东胜区纺织街道办事处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2024年法治政府工作计划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党群服务中心、</w:t>
      </w:r>
      <w:r>
        <w:rPr>
          <w:rFonts w:hint="eastAsia" w:ascii="仿宋_GB2312" w:eastAsia="仿宋_GB2312"/>
          <w:sz w:val="32"/>
          <w:szCs w:val="32"/>
        </w:rPr>
        <w:t>各社区、所、办</w:t>
      </w:r>
      <w:r>
        <w:rPr>
          <w:rFonts w:hint="eastAsia" w:ascii="仿宋_GB2312" w:eastAsia="仿宋_GB2312"/>
          <w:sz w:val="32"/>
          <w:szCs w:val="32"/>
          <w:lang w:eastAsia="zh-CN"/>
        </w:rPr>
        <w:t>、站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为全面贯彻党的二十大精神，深入学习贯彻习近平法治思想，聚焦以</w:t>
      </w:r>
      <w:r>
        <w:rPr>
          <w:rFonts w:hint="eastAsia" w:ascii="仿宋_GB2312" w:eastAsia="仿宋_GB2312"/>
          <w:sz w:val="32"/>
          <w:szCs w:val="32"/>
          <w:lang w:eastAsia="zh-CN"/>
        </w:rPr>
        <w:t>铸</w:t>
      </w:r>
      <w:r>
        <w:rPr>
          <w:rFonts w:hint="eastAsia" w:ascii="仿宋_GB2312" w:eastAsia="仿宋_GB2312"/>
          <w:sz w:val="32"/>
          <w:szCs w:val="32"/>
        </w:rPr>
        <w:t>牢中华民族共同体意识为主线，深入推进依法行政，全面建设法治政府，为以“三个四”工作任务为抓手办好“两件大事”提供有力法治保障，进一步压实责任，细化措施，确保2024年法治政府建设各项工作任务措施落地见效，根据</w:t>
      </w:r>
      <w:r>
        <w:rPr>
          <w:rFonts w:hint="eastAsia" w:ascii="仿宋_GB2312" w:eastAsia="仿宋_GB2312"/>
          <w:sz w:val="32"/>
          <w:szCs w:val="32"/>
          <w:lang w:eastAsia="zh-CN"/>
        </w:rPr>
        <w:t>自治区、市</w:t>
      </w:r>
      <w:r>
        <w:rPr>
          <w:rFonts w:hint="eastAsia" w:ascii="仿宋_GB2312" w:eastAsia="仿宋_GB2312"/>
          <w:sz w:val="32"/>
          <w:szCs w:val="32"/>
        </w:rPr>
        <w:t>政府关于法治政府建设工作相关方案、计划及鄂尔多斯市东胜区《2024年法治政府建设工作计划》，结合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街道工作实际，制定本计划。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一、稳步推进政府机构改革和职能配置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（一）推进</w:t>
      </w:r>
      <w:r>
        <w:rPr>
          <w:rFonts w:hint="eastAsia" w:ascii="楷体_GB2312" w:eastAsia="楷体_GB2312"/>
          <w:sz w:val="32"/>
          <w:szCs w:val="32"/>
          <w:lang w:eastAsia="zh-CN"/>
        </w:rPr>
        <w:t>科室</w:t>
      </w:r>
      <w:r>
        <w:rPr>
          <w:rFonts w:hint="eastAsia" w:ascii="楷体_GB2312" w:eastAsia="楷体_GB2312"/>
          <w:sz w:val="32"/>
          <w:szCs w:val="32"/>
        </w:rPr>
        <w:t>职能优化。</w:t>
      </w:r>
      <w:r>
        <w:rPr>
          <w:rFonts w:hint="eastAsia" w:ascii="仿宋_GB2312" w:eastAsia="仿宋_GB2312"/>
          <w:sz w:val="32"/>
          <w:szCs w:val="32"/>
        </w:rPr>
        <w:t>贯彻全区机构改革实施意见部署，推进机构、职能、权限、程序、责任法定化，落实内设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职能设置整合归并，使合并后的综合性</w:t>
      </w:r>
      <w:r>
        <w:rPr>
          <w:rFonts w:hint="eastAsia" w:ascii="仿宋_GB2312" w:eastAsia="仿宋_GB2312"/>
          <w:sz w:val="32"/>
          <w:szCs w:val="32"/>
          <w:lang w:eastAsia="zh-CN"/>
        </w:rPr>
        <w:t>科室</w:t>
      </w:r>
      <w:r>
        <w:rPr>
          <w:rFonts w:hint="eastAsia" w:ascii="仿宋_GB2312" w:eastAsia="仿宋_GB2312"/>
          <w:sz w:val="32"/>
          <w:szCs w:val="32"/>
        </w:rPr>
        <w:t>职能配置更加突出民生，在服务保障群众需求上有更大作为，促进提升行政效率和公信力。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（二）持续提升政务服务水平</w:t>
      </w:r>
      <w:r>
        <w:rPr>
          <w:rFonts w:hint="eastAsia" w:ascii="仿宋_GB2312" w:eastAsia="仿宋_GB2312"/>
          <w:sz w:val="32"/>
          <w:szCs w:val="32"/>
        </w:rPr>
        <w:t>。严格执行行政审批告知承诺制。加强信用监管，推行包容审慎监管。全面推进“一网通办”“一网通管”，持续提升行政审批效率。大力推行“一件事一次办”，完善集约高效的线下服务体系，对每个“一件事”进行标准化梳理，统一工作标准，优化服务流程，为群众提供一站式、集成化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（三）扎实推进诚信建设工程。</w:t>
      </w:r>
      <w:r>
        <w:rPr>
          <w:rFonts w:hint="eastAsia" w:ascii="仿宋_GB2312" w:eastAsia="仿宋_GB2312"/>
          <w:sz w:val="32"/>
          <w:szCs w:val="32"/>
        </w:rPr>
        <w:t>认真落实自治区、鄂尔多斯市政府关于诚信建设工程实施方案及东胜区人民政府《东胜区诚信建设工程实施方案》要求和政务诚信、商务诚信、社会诚信、司法公信建设的各项措施，落实守信激励、失信惩戒，开展诚信建设宣传活动，引导辖区居民守信践诺，推进诚信建设工程取得实效，切实树立暖城讲诚信、守信用的良好形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（四）不断优化法治化营商环境。</w:t>
      </w:r>
      <w:r>
        <w:rPr>
          <w:rFonts w:hint="eastAsia" w:ascii="仿宋_GB2312" w:eastAsia="仿宋_GB2312"/>
          <w:sz w:val="32"/>
          <w:szCs w:val="32"/>
        </w:rPr>
        <w:t>贯彻落实《优化营商环境条例》，大力开展“送法进企业”活动，帮助辖区企业经营者利用法律维护合法权益，助力企业健康发展。积极做好“12345”平台企业反映问题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承办、转办等工作，有效化解涉企矛盾纠纷。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二、健全完善行政决策制度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（五）强化依法决策意识。</w:t>
      </w:r>
      <w:r>
        <w:rPr>
          <w:rFonts w:hint="eastAsia" w:ascii="仿宋_GB2312" w:eastAsia="仿宋_GB2312"/>
          <w:sz w:val="32"/>
          <w:szCs w:val="32"/>
        </w:rPr>
        <w:t>遵守决策制度，依法决策。认真落实《内蒙古自治区重大行政决策目录管理办法》，严格按照法定权限和法定程序做出决策，确保决策内容、程序符合法律法规规定。严把合法性审查关，落实党政机关公职律师、法律顾问制度，加强队伍建设，提升履职能力，推动</w:t>
      </w:r>
      <w:r>
        <w:rPr>
          <w:rFonts w:hint="eastAsia" w:ascii="仿宋_GB2312" w:eastAsia="仿宋_GB2312"/>
          <w:sz w:val="32"/>
          <w:szCs w:val="32"/>
          <w:lang w:eastAsia="zh-CN"/>
        </w:rPr>
        <w:t>法律顾问</w:t>
      </w:r>
      <w:r>
        <w:rPr>
          <w:rFonts w:hint="eastAsia" w:ascii="仿宋_GB2312" w:eastAsia="仿宋_GB2312"/>
          <w:sz w:val="32"/>
          <w:szCs w:val="32"/>
        </w:rPr>
        <w:t>作用发挥。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</w:rPr>
        <w:t>（六）严格落实重大行政决策程序。</w:t>
      </w:r>
      <w:r>
        <w:rPr>
          <w:rFonts w:hint="eastAsia" w:ascii="仿宋_GB2312" w:eastAsia="仿宋_GB2312"/>
          <w:sz w:val="32"/>
          <w:szCs w:val="32"/>
        </w:rPr>
        <w:t>严格落实《重大行政决策程序暂行条例》和《内蒙古自治区重大行政决策程序规定》，切实增强公众参与实效，充分发挥风险评估功能，确保重大决策严格履行合法性审查和集体讨论决定程序</w:t>
      </w:r>
      <w:r>
        <w:rPr>
          <w:rFonts w:hint="eastAsia" w:ascii="仿宋_GB2312" w:eastAsia="仿宋_GB2312"/>
          <w:sz w:val="32"/>
          <w:szCs w:val="32"/>
          <w:lang w:eastAsia="zh-CN"/>
        </w:rPr>
        <w:t>，落实</w:t>
      </w:r>
      <w:r>
        <w:rPr>
          <w:rFonts w:hint="eastAsia" w:ascii="仿宋_GB2312" w:eastAsia="仿宋_GB2312"/>
          <w:sz w:val="32"/>
          <w:szCs w:val="32"/>
        </w:rPr>
        <w:t>目录公开，接受社会监督。</w:t>
      </w:r>
      <w:r>
        <w:rPr>
          <w:rFonts w:hint="eastAsia" w:ascii="仿宋_GB2312" w:eastAsia="仿宋_GB2312"/>
          <w:sz w:val="32"/>
          <w:szCs w:val="32"/>
          <w:lang w:eastAsia="zh-CN"/>
        </w:rPr>
        <w:t>规范决策过程记录和材料归档。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（七）加强行政决策执行和评估。</w:t>
      </w:r>
      <w:r>
        <w:rPr>
          <w:rFonts w:hint="eastAsia" w:ascii="仿宋_GB2312" w:eastAsia="仿宋_GB2312"/>
          <w:sz w:val="32"/>
          <w:szCs w:val="32"/>
        </w:rPr>
        <w:t>重大行政决策终身负责，行政决策接受监督，重大行政决策作出后应通过法治政府建设职能化一体平台按时报备。落实决策后评估制度，将评估结果作为调整重大行政决策的重要依据。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三、健全行政执法工作措施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（八）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健全与行政执法部门工作联动机制。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落实行政执法事项清理工作，按要求报送受委托实施的执法事项。</w:t>
      </w:r>
      <w:r>
        <w:rPr>
          <w:rFonts w:hint="eastAsia" w:ascii="仿宋_GB2312" w:eastAsia="仿宋_GB2312"/>
          <w:sz w:val="32"/>
          <w:szCs w:val="32"/>
        </w:rPr>
        <w:t>围绕街道办事处的社区管理、城市建设管理、环境卫生管理、公共安全维护等社会治理职责，建立有效的街道与消防、应急等相关执法部门的行政执法衔接与联动工作机制，进一步强化工作指导、行政违法线索移送、联合执法、信息互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四、完善突发事件应对机制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（九）完善突发事件应对制度和依法处置能力。</w:t>
      </w:r>
      <w:r>
        <w:rPr>
          <w:rFonts w:hint="eastAsia" w:ascii="仿宋_GB2312" w:eastAsia="仿宋_GB2312"/>
          <w:sz w:val="32"/>
          <w:szCs w:val="32"/>
        </w:rPr>
        <w:t>加强突发事件监测预警、信息报告、应急响应、调查评估和协调应对。聚焦辖区风险排查，落实风险隐患排查机制，对</w:t>
      </w:r>
      <w:r>
        <w:rPr>
          <w:rFonts w:hint="eastAsia" w:ascii="仿宋_GB2312" w:eastAsia="仿宋_GB2312"/>
          <w:sz w:val="32"/>
          <w:szCs w:val="32"/>
          <w:lang w:eastAsia="zh-CN"/>
        </w:rPr>
        <w:t>辖</w:t>
      </w:r>
      <w:r>
        <w:rPr>
          <w:rFonts w:hint="eastAsia" w:ascii="仿宋_GB2312" w:eastAsia="仿宋_GB2312"/>
          <w:sz w:val="32"/>
          <w:szCs w:val="32"/>
        </w:rPr>
        <w:t>区内危房容易因极端天气引发危房坍塌危险</w:t>
      </w:r>
      <w:r>
        <w:rPr>
          <w:rFonts w:hint="eastAsia" w:ascii="仿宋_GB2312" w:eastAsia="仿宋_GB2312"/>
          <w:sz w:val="32"/>
          <w:szCs w:val="32"/>
          <w:lang w:eastAsia="zh-CN"/>
        </w:rPr>
        <w:t>及易发生溺水等危险区域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进行登记，并</w:t>
      </w:r>
      <w:r>
        <w:rPr>
          <w:rFonts w:hint="eastAsia" w:ascii="仿宋_GB2312" w:eastAsia="仿宋_GB2312"/>
          <w:sz w:val="32"/>
          <w:szCs w:val="32"/>
        </w:rPr>
        <w:t>定期检查、监控。规范应急处置收集、使用个人信息，注重保障不同人群特别是老年人应急权益。定期开展培训、应急演练。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（十）规范基层组织和社会力量参与突发事件应对。</w:t>
      </w:r>
      <w:r>
        <w:rPr>
          <w:rFonts w:hint="eastAsia" w:ascii="仿宋_GB2312" w:eastAsia="仿宋_GB2312"/>
          <w:sz w:val="32"/>
          <w:szCs w:val="32"/>
        </w:rPr>
        <w:t>加强应急普法</w:t>
      </w:r>
      <w:r>
        <w:rPr>
          <w:rFonts w:hint="eastAsia" w:ascii="仿宋_GB2312" w:eastAsia="仿宋_GB2312"/>
          <w:sz w:val="32"/>
          <w:szCs w:val="32"/>
          <w:lang w:eastAsia="zh-CN"/>
        </w:rPr>
        <w:t>宣传</w:t>
      </w:r>
      <w:r>
        <w:rPr>
          <w:rFonts w:hint="eastAsia" w:ascii="仿宋_GB2312" w:eastAsia="仿宋_GB2312"/>
          <w:sz w:val="32"/>
          <w:szCs w:val="32"/>
        </w:rPr>
        <w:t>，定期在</w:t>
      </w:r>
      <w:r>
        <w:rPr>
          <w:rFonts w:hint="eastAsia" w:ascii="仿宋_GB2312" w:eastAsia="仿宋_GB2312"/>
          <w:sz w:val="32"/>
          <w:szCs w:val="32"/>
          <w:lang w:eastAsia="zh-CN"/>
        </w:rPr>
        <w:t>辖区</w:t>
      </w:r>
      <w:r>
        <w:rPr>
          <w:rFonts w:hint="eastAsia" w:ascii="仿宋_GB2312" w:eastAsia="仿宋_GB2312"/>
          <w:sz w:val="32"/>
          <w:szCs w:val="32"/>
        </w:rPr>
        <w:t>学</w:t>
      </w:r>
      <w:r>
        <w:rPr>
          <w:rFonts w:hint="eastAsia" w:ascii="仿宋_GB2312" w:eastAsia="仿宋_GB2312"/>
          <w:sz w:val="32"/>
          <w:szCs w:val="32"/>
          <w:lang w:eastAsia="zh-CN"/>
        </w:rPr>
        <w:t>校</w:t>
      </w:r>
      <w:r>
        <w:rPr>
          <w:rFonts w:hint="eastAsia" w:ascii="仿宋_GB2312" w:eastAsia="仿宋_GB2312"/>
          <w:sz w:val="32"/>
          <w:szCs w:val="32"/>
        </w:rPr>
        <w:t>、机关、单位等场所开展</w:t>
      </w:r>
      <w:r>
        <w:rPr>
          <w:rFonts w:hint="eastAsia" w:ascii="仿宋_GB2312" w:eastAsia="仿宋_GB2312"/>
          <w:sz w:val="32"/>
          <w:szCs w:val="32"/>
          <w:lang w:eastAsia="zh-CN"/>
        </w:rPr>
        <w:t>应急</w:t>
      </w:r>
      <w:r>
        <w:rPr>
          <w:rFonts w:hint="eastAsia" w:ascii="仿宋_GB2312" w:eastAsia="仿宋_GB2312"/>
          <w:sz w:val="32"/>
          <w:szCs w:val="32"/>
        </w:rPr>
        <w:t>演练，增强公众防范意识。完善街道、社区应急处置组织体系，</w:t>
      </w:r>
      <w:r>
        <w:rPr>
          <w:rFonts w:hint="eastAsia" w:ascii="仿宋_GB2312" w:eastAsia="仿宋_GB2312"/>
          <w:sz w:val="32"/>
          <w:szCs w:val="32"/>
          <w:lang w:eastAsia="zh-CN"/>
        </w:rPr>
        <w:t>健全组织管理、风险评估、隐患治理、应急设施建设和应急物资保障制度，</w:t>
      </w:r>
      <w:r>
        <w:rPr>
          <w:rFonts w:hint="eastAsia" w:ascii="仿宋_GB2312" w:eastAsia="仿宋_GB2312"/>
          <w:sz w:val="32"/>
          <w:szCs w:val="32"/>
        </w:rPr>
        <w:t>强化公众自防自治、群防群治、自救互救能力。维护社会组织、社会工作者、志愿者等参与突发事件应对的法律地位及权利，</w:t>
      </w:r>
      <w:r>
        <w:rPr>
          <w:rFonts w:hint="eastAsia" w:ascii="仿宋_GB2312" w:eastAsia="仿宋_GB2312"/>
          <w:sz w:val="32"/>
          <w:szCs w:val="32"/>
          <w:lang w:eastAsia="zh-CN"/>
        </w:rPr>
        <w:t>对志愿者等社会应急力量备案登记，</w:t>
      </w:r>
      <w:r>
        <w:rPr>
          <w:rFonts w:hint="eastAsia" w:ascii="仿宋_GB2312" w:eastAsia="仿宋_GB2312"/>
          <w:sz w:val="32"/>
          <w:szCs w:val="32"/>
        </w:rPr>
        <w:t>完善激励保障措施</w:t>
      </w:r>
      <w:r>
        <w:rPr>
          <w:rFonts w:hint="eastAsia" w:ascii="仿宋_GB2312" w:eastAsia="仿宋_GB2312"/>
          <w:sz w:val="32"/>
          <w:szCs w:val="32"/>
          <w:lang w:eastAsia="zh-CN"/>
        </w:rPr>
        <w:t>，健全社会应急力量调用补偿、保险保障等方面的制度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五、推进社会矛盾纠纷行政预防调处化解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（十一）规范行政应诉工作。</w:t>
      </w:r>
      <w:r>
        <w:rPr>
          <w:rFonts w:hint="eastAsia" w:ascii="仿宋_GB2312" w:eastAsia="仿宋_GB2312"/>
          <w:sz w:val="32"/>
          <w:szCs w:val="32"/>
        </w:rPr>
        <w:t>全面贯彻实施行政复议法，加强对新修订的《行政复议法》《内蒙古自治区实施&lt;中华人民共和国行政复议法&gt;办法》的学习贯彻。支持检察院开展行政公益诉讼工作，认真做好司法建议、</w:t>
      </w:r>
      <w:r>
        <w:rPr>
          <w:rFonts w:hint="eastAsia" w:ascii="仿宋_GB2312" w:eastAsia="仿宋_GB2312"/>
          <w:sz w:val="32"/>
          <w:szCs w:val="32"/>
          <w:lang w:eastAsia="zh-CN"/>
        </w:rPr>
        <w:t>检察</w:t>
      </w:r>
      <w:r>
        <w:rPr>
          <w:rFonts w:hint="eastAsia" w:ascii="仿宋_GB2312" w:eastAsia="仿宋_GB2312"/>
          <w:sz w:val="32"/>
          <w:szCs w:val="32"/>
        </w:rPr>
        <w:t>建议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落实和反馈，提升办复率。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（十二）推进矛盾纠纷预防化解。</w:t>
      </w:r>
      <w:r>
        <w:rPr>
          <w:rFonts w:hint="eastAsia" w:ascii="仿宋_GB2312" w:eastAsia="仿宋_GB2312"/>
          <w:sz w:val="32"/>
          <w:szCs w:val="32"/>
        </w:rPr>
        <w:t>全面贯彻落实《内蒙古自治区矛盾纠纷多元化解条例》，深入推行信访代办制，引导群众通过正当渠道依法有序信访。深入开展矛盾纠纷大走访、大排查、大调处专项活动，推动矛盾纠纷</w:t>
      </w:r>
      <w:r>
        <w:rPr>
          <w:rFonts w:hint="eastAsia" w:ascii="仿宋_GB2312" w:eastAsia="仿宋_GB2312"/>
          <w:sz w:val="32"/>
          <w:szCs w:val="32"/>
          <w:lang w:eastAsia="zh-CN"/>
        </w:rPr>
        <w:t>源头</w:t>
      </w:r>
      <w:r>
        <w:rPr>
          <w:rFonts w:hint="eastAsia" w:ascii="仿宋_GB2312" w:eastAsia="仿宋_GB2312"/>
          <w:sz w:val="32"/>
          <w:szCs w:val="32"/>
        </w:rPr>
        <w:t>预防、排查预警和调处化解，从源头上防范化解矛盾风险。强化派出所、司法所、法庭等“四所一庭”的协调配合，推进行政调解与人民调解、司法调解有效衔接。</w:t>
      </w:r>
      <w:r>
        <w:rPr>
          <w:rFonts w:hint="eastAsia" w:ascii="仿宋_GB2312" w:eastAsia="仿宋_GB2312"/>
          <w:sz w:val="32"/>
          <w:szCs w:val="32"/>
          <w:lang w:eastAsia="zh-CN"/>
        </w:rPr>
        <w:t>推进社会矛盾纠纷多元化解机制，充分运用化解矛盾纠纷即知即调、分流分调、联管联调“三分吸附法”工作法，确保矛盾纠纷吸附、化解在当地，维护社会稳定。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（十三）加强公共法律服务。</w:t>
      </w:r>
      <w:r>
        <w:rPr>
          <w:rFonts w:hint="eastAsia" w:ascii="仿宋_GB2312" w:eastAsia="仿宋_GB2312"/>
          <w:sz w:val="32"/>
          <w:szCs w:val="32"/>
        </w:rPr>
        <w:t>依托司法所，积极拓展公益法律服务领域，做好为外来务工人员、残疾人、老年人、妇女、未成年人等重点人群提供法律咨询和法律帮助工作。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六、加强行政权力制约和监督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（十四）接受各类监督。</w:t>
      </w:r>
      <w:r>
        <w:rPr>
          <w:rFonts w:hint="eastAsia" w:ascii="仿宋_GB2312" w:eastAsia="仿宋_GB2312"/>
          <w:sz w:val="32"/>
          <w:szCs w:val="32"/>
        </w:rPr>
        <w:t>认真接受以党内监督为主，人大监督、民主监督以及行政、司法、群众、信访、舆论监督等各类监督，结合12345政务热线，积极受理处理投诉举报。全面主动落实政务公开，坚持以公开为常态、不公开为例外，大力推进决策、执行、管理、服务和</w:t>
      </w:r>
      <w:r>
        <w:rPr>
          <w:rFonts w:hint="eastAsia" w:ascii="仿宋_GB2312" w:eastAsia="仿宋_GB2312"/>
          <w:sz w:val="32"/>
          <w:szCs w:val="32"/>
          <w:lang w:eastAsia="zh-CN"/>
        </w:rPr>
        <w:t>结果</w:t>
      </w:r>
      <w:r>
        <w:rPr>
          <w:rFonts w:hint="eastAsia" w:ascii="仿宋_GB2312" w:eastAsia="仿宋_GB2312"/>
          <w:sz w:val="32"/>
          <w:szCs w:val="32"/>
        </w:rPr>
        <w:t>公开，做到法定主动公开内容公开到位。加强政务公开制度化、标准化、信息化，提高政务公开质量和水平。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七、强化法治政府建设科技保障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（十五）</w:t>
      </w:r>
      <w:r>
        <w:rPr>
          <w:rFonts w:hint="eastAsia" w:ascii="楷体_GB2312" w:eastAsia="楷体_GB2312"/>
          <w:sz w:val="32"/>
          <w:szCs w:val="32"/>
          <w:lang w:eastAsia="zh-CN"/>
        </w:rPr>
        <w:t>扩大信息化平台应用范围。</w:t>
      </w:r>
      <w:r>
        <w:rPr>
          <w:rFonts w:hint="eastAsia" w:ascii="仿宋_GB2312" w:eastAsia="仿宋_GB2312"/>
          <w:sz w:val="32"/>
          <w:szCs w:val="32"/>
        </w:rPr>
        <w:t>落实东胜区网上政务服务体系覆盖街道、社区，巩固已上线的新生儿出生、扶残助困线上办理改革成果，依托蒙速办APP、政务服务平台，扩大线上办理事项范围，提升服务质效。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八、加强党的领导和推进机制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（十六）加强党对法治政府建设工作的领导。</w:t>
      </w:r>
      <w:r>
        <w:rPr>
          <w:rFonts w:hint="eastAsia" w:ascii="仿宋_GB2312" w:eastAsia="仿宋_GB2312"/>
          <w:sz w:val="32"/>
          <w:szCs w:val="32"/>
        </w:rPr>
        <w:t>深入学习贯彻习近平法治思想，积极谋划落实好法治政府建设各项任务，主动汇报法治政府工作。党工委书记履行法治建设第一责任人职责、年度述法等工作。按时向</w:t>
      </w:r>
      <w:r>
        <w:rPr>
          <w:rFonts w:hint="eastAsia" w:ascii="仿宋_GB2312" w:eastAsia="仿宋_GB2312"/>
          <w:sz w:val="32"/>
          <w:szCs w:val="32"/>
          <w:lang w:eastAsia="zh-CN"/>
        </w:rPr>
        <w:t>社</w:t>
      </w:r>
      <w:r>
        <w:rPr>
          <w:rFonts w:hint="eastAsia" w:ascii="仿宋_GB2312" w:eastAsia="仿宋_GB2312"/>
          <w:sz w:val="32"/>
          <w:szCs w:val="32"/>
        </w:rPr>
        <w:t>会公开法治政府建设年度报告，做好全国法治政府建设示范市的各项工作。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（十七）全面加强依法行政能力建设。</w:t>
      </w:r>
      <w:r>
        <w:rPr>
          <w:rFonts w:hint="eastAsia" w:ascii="仿宋_GB2312" w:eastAsia="仿宋_GB2312"/>
          <w:sz w:val="32"/>
          <w:szCs w:val="32"/>
        </w:rPr>
        <w:t>深化学习习近平法治思想学习培训，坚持</w:t>
      </w:r>
      <w:r>
        <w:rPr>
          <w:rFonts w:hint="eastAsia" w:ascii="仿宋_GB2312" w:eastAsia="仿宋_GB2312"/>
          <w:sz w:val="32"/>
          <w:szCs w:val="32"/>
          <w:lang w:eastAsia="zh-CN"/>
        </w:rPr>
        <w:t>把</w:t>
      </w:r>
      <w:r>
        <w:rPr>
          <w:rFonts w:hint="eastAsia" w:ascii="仿宋_GB2312" w:eastAsia="仿宋_GB2312"/>
          <w:sz w:val="32"/>
          <w:szCs w:val="32"/>
        </w:rPr>
        <w:t>习近平法治思想作为领导干部培训的重要内容。按照党员干部应知应会党内法规和法律法规清单，开展年度学法活动。开展工作人员初任、任职法治教育培训，组织科级干部参加区政府组织的学习贯彻</w:t>
      </w:r>
      <w:r>
        <w:rPr>
          <w:rFonts w:hint="eastAsia" w:ascii="仿宋_GB2312" w:eastAsia="仿宋_GB2312"/>
          <w:sz w:val="32"/>
          <w:szCs w:val="32"/>
          <w:lang w:eastAsia="zh-CN"/>
        </w:rPr>
        <w:t>习近平新时代中国特色社会主义思想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暨全区科级领导法治素养</w:t>
      </w:r>
      <w:r>
        <w:rPr>
          <w:rFonts w:hint="eastAsia" w:ascii="仿宋_GB2312" w:eastAsia="仿宋_GB2312"/>
          <w:sz w:val="32"/>
          <w:szCs w:val="32"/>
          <w:lang w:eastAsia="zh-CN"/>
        </w:rPr>
        <w:t>提升</w:t>
      </w:r>
      <w:r>
        <w:rPr>
          <w:rFonts w:hint="eastAsia" w:ascii="仿宋_GB2312" w:eastAsia="仿宋_GB2312"/>
          <w:sz w:val="32"/>
          <w:szCs w:val="32"/>
        </w:rPr>
        <w:t>培训班、全区提升行政执法治理三年行动集中培训月培训。采取“走出去学”与“请进来讲”的方式，开展法治讲座、法治培训，不断提升领导干部依法行政能力。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（十八）加强法治宣传。</w:t>
      </w:r>
      <w:r>
        <w:rPr>
          <w:rFonts w:hint="eastAsia" w:ascii="仿宋_GB2312" w:eastAsia="仿宋_GB2312"/>
          <w:sz w:val="32"/>
          <w:szCs w:val="32"/>
        </w:rPr>
        <w:t>落实谁执法谁普法责任制，深入开展法治宣传。充分发挥新媒体优势，创新普法</w:t>
      </w:r>
      <w:r>
        <w:rPr>
          <w:rFonts w:hint="eastAsia" w:ascii="仿宋_GB2312" w:eastAsia="仿宋_GB2312"/>
          <w:sz w:val="32"/>
          <w:szCs w:val="32"/>
          <w:lang w:eastAsia="zh-CN"/>
        </w:rPr>
        <w:t>形式</w:t>
      </w:r>
      <w:r>
        <w:rPr>
          <w:rFonts w:hint="eastAsia" w:ascii="仿宋_GB2312" w:eastAsia="仿宋_GB2312"/>
          <w:sz w:val="32"/>
          <w:szCs w:val="32"/>
        </w:rPr>
        <w:t>，加强青少年法治教育。加强民法典、行政复议法等法律法规的普法宣传，注重总结提炼和宣传法治政府建设工作中的经验做法和模范典型，营造全社会关心、支持和参与法治政府建设的良好氛围。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160" w:firstLineChars="13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鄂尔多斯市东胜区纺织街道办事处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 xml:space="preserve">日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Calibri" w:hAnsi="Calibri" w:eastAsia="黑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379730</wp:posOffset>
                </wp:positionV>
                <wp:extent cx="5786120" cy="63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1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.55pt;margin-top:29.9pt;height:0.05pt;width:455.6pt;z-index:251660288;mso-width-relative:page;mso-height-relative:page;" filled="f" stroked="t" coordsize="21600,21600" o:gfxdata="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aCC6dUAAAAIAQAADwAAAAAAAAABACAAAAAiAAAAZHJzL2Rvd25yZXYu&#10;eG1sUEsBAhQAFAAAAAgAh07iQBaKT1H+AQAA7g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libri" w:hAnsi="Calibri" w:eastAsia="黑体" w:cs="黑体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35560</wp:posOffset>
                </wp:positionV>
                <wp:extent cx="5786120" cy="6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612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95pt;margin-top:2.8pt;height:0.05pt;width:455.6pt;z-index:251661312;mso-width-relative:page;mso-height-relative:page;" filled="f" stroked="t" coordsize="21600,21600" o:gfxdata="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aJMOzVAAAABgEAAA8AAAAAAAAAAQAgAAAAIgAAAGRycy9kb3ducmV2&#10;LnhtbFBLAQIUABQAAAAIAIdO4kDBlGBo/wEAAO4DAAAOAAAAAAAAAAEAIAAAACQ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0"/>
        </w:rPr>
        <w:t>鄂尔多斯市东胜区纺织街道</w:t>
      </w:r>
      <w:r>
        <w:rPr>
          <w:rFonts w:hint="eastAsia" w:ascii="仿宋" w:hAnsi="仿宋" w:eastAsia="仿宋"/>
          <w:sz w:val="30"/>
          <w:lang w:val="en-US" w:eastAsia="zh-CN"/>
        </w:rPr>
        <w:t xml:space="preserve">办事处       </w:t>
      </w:r>
      <w:r>
        <w:rPr>
          <w:rFonts w:hint="eastAsia" w:ascii="仿宋" w:hAnsi="仿宋" w:eastAsia="仿宋"/>
          <w:sz w:val="30"/>
        </w:rPr>
        <w:t xml:space="preserve"> 202</w:t>
      </w:r>
      <w:r>
        <w:rPr>
          <w:rFonts w:hint="eastAsia" w:ascii="仿宋" w:hAnsi="仿宋" w:eastAsia="仿宋"/>
          <w:sz w:val="30"/>
          <w:lang w:val="en-US" w:eastAsia="zh-CN"/>
        </w:rPr>
        <w:t>4</w:t>
      </w:r>
      <w:r>
        <w:rPr>
          <w:rFonts w:hint="eastAsia" w:ascii="仿宋" w:hAnsi="仿宋" w:eastAsia="仿宋"/>
          <w:sz w:val="30"/>
        </w:rPr>
        <w:t>年</w:t>
      </w:r>
      <w:r>
        <w:rPr>
          <w:rFonts w:hint="eastAsia" w:ascii="仿宋" w:hAnsi="仿宋" w:eastAsia="仿宋"/>
          <w:sz w:val="30"/>
          <w:lang w:val="en-US" w:eastAsia="zh-CN"/>
        </w:rPr>
        <w:t>8</w:t>
      </w:r>
      <w:r>
        <w:rPr>
          <w:rFonts w:hint="eastAsia"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  <w:lang w:val="en-US" w:eastAsia="zh-CN"/>
        </w:rPr>
        <w:t>28</w:t>
      </w:r>
      <w:r>
        <w:rPr>
          <w:rFonts w:hint="eastAsia" w:ascii="仿宋" w:hAnsi="仿宋" w:eastAsia="仿宋"/>
          <w:sz w:val="30"/>
        </w:rPr>
        <w:t>日印发</w:t>
      </w:r>
    </w:p>
    <w:sectPr>
      <w:footerReference r:id="rId3" w:type="default"/>
      <w:pgMar w:top="2098" w:right="1474" w:bottom="1984" w:left="1587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ZmEyNWEzYzBlMTVhOGFjM2E0OWJhYjZkYzJjOWYifQ=="/>
  </w:docVars>
  <w:rsids>
    <w:rsidRoot w:val="00000000"/>
    <w:rsid w:val="0CAD3C73"/>
    <w:rsid w:val="129B729C"/>
    <w:rsid w:val="16CB0956"/>
    <w:rsid w:val="174667A9"/>
    <w:rsid w:val="181D798F"/>
    <w:rsid w:val="1890795B"/>
    <w:rsid w:val="1D6E7E54"/>
    <w:rsid w:val="25A80683"/>
    <w:rsid w:val="2FBF531F"/>
    <w:rsid w:val="446F27DF"/>
    <w:rsid w:val="44F10855"/>
    <w:rsid w:val="46DB50C6"/>
    <w:rsid w:val="56B23F27"/>
    <w:rsid w:val="71874850"/>
    <w:rsid w:val="790E3126"/>
    <w:rsid w:val="7B282F94"/>
    <w:rsid w:val="7BAB593E"/>
    <w:rsid w:val="7CDB25A2"/>
    <w:rsid w:val="7F2D5F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adjustRightInd w:val="0"/>
      <w:snapToGrid w:val="0"/>
    </w:pPr>
    <w:rPr>
      <w:rFonts w:ascii="Tahoma" w:hAnsi="Tahoma" w:cs="Times New Roman"/>
      <w:sz w:val="22"/>
      <w:szCs w:val="2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2821</Words>
  <Characters>2843</Characters>
  <Lines>0</Lines>
  <Paragraphs>0</Paragraphs>
  <TotalTime>88</TotalTime>
  <ScaleCrop>false</ScaleCrop>
  <LinksUpToDate>false</LinksUpToDate>
  <CharactersWithSpaces>2869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2021-05-17T00:25:00Z</dcterms:created>
  <dc:creator>admin</dc:creator>
  <cp:lastModifiedBy>演示人</cp:lastModifiedBy>
  <cp:lastPrinted>2024-11-20T02:40:00Z</cp:lastPrinted>
  <dcterms:modified xsi:type="dcterms:W3CDTF">2024-12-10T07:36:43Z</dcterms:modified>
  <dc:title>民族街道办事处防汛应急预案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239AF905561F4A26AB0815516C22BD72_13</vt:lpwstr>
  </property>
</Properties>
</file>