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泊政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刘 海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鄂尔多斯市东胜区泊尔江海子镇人民政府关于印发《泊尔江海子镇国家通用语言文字建设工作实施方案》的通知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各村民委员会、镇直各部门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现将《泊尔江海子镇国家通用语言文字建设工作实施方案》印发给你们，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请结合实际认真贯彻落实。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鄂尔多斯市东胜区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泊尔江海子镇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 xml:space="preserve">人民政府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val="en-US" w:eastAsia="zh-CN"/>
        </w:rPr>
        <w:t xml:space="preserve">泊尔江海子镇国家通用语言文字建设工作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1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推广普及国家通用语言文字，是铸牢中华民族共同体意识的重要途径，是建设高质量教育体系的基础支撑，是实施乡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振兴战略的有力举措，对经济社会发展具有重要作用。为深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入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实施《国家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通用语言文字法》，进一步推动我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国家通用语言文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字工作持续、健康、稳步、高质量发展，为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我镇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设营造良好的语言文字环境，更好地服务于全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经济建设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根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据《内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蒙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古自治区实施〈中华人民共和国国家通用语言文字法〉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办法》文件精神，结合实际,特制定本实施方案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theme="minorBidi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snapToGrid/>
          <w:kern w:val="2"/>
          <w:sz w:val="32"/>
          <w:szCs w:val="32"/>
          <w:lang w:val="en-US" w:eastAsia="zh-CN" w:bidi="ar-SA"/>
        </w:rPr>
        <w:t>一、基本要求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1"/>
        <w:textAlignment w:val="baseline"/>
        <w:outlineLvl w:val="9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以习近平新时代中国特色社会主义思想为指导，全面贯彻落实党的二十大精神，以推广普及和规范使用国家通用语言文字为重点，全面加强语言文字法治建设，推进语言文字规范化、标准化和信息化建设，铸牢中华民族共同体意识，切实发挥语言文字在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实现巩固拓展脱贫攻坚成果同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乡村振兴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有效衔接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、服务全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经济社会高质量发展中的作用。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theme="minorBidi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snapToGrid/>
          <w:kern w:val="2"/>
          <w:sz w:val="32"/>
          <w:szCs w:val="32"/>
          <w:lang w:val="en-US" w:eastAsia="zh-CN" w:bidi="ar-SA"/>
        </w:rPr>
        <w:t>二、创建目标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1"/>
        <w:textAlignment w:val="baseline"/>
        <w:outlineLvl w:val="9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到2023年，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t>全镇各村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全面完成语言文字规范化达标建设，普通话普及程度显著提高，语言文字规范化、标准化、信息化建设水平进一步提升，中华优秀语言文化得到更好传承弘扬，与人民群众需求相适应的语言服务体系更加完善。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theme="minorBidi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snapToGrid/>
          <w:kern w:val="2"/>
          <w:sz w:val="32"/>
          <w:szCs w:val="32"/>
          <w:lang w:val="en-US" w:eastAsia="zh-CN" w:bidi="ar-SA"/>
        </w:rPr>
        <w:t>三、工作步骤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1"/>
        <w:textAlignment w:val="baseline"/>
        <w:outlineLvl w:val="9"/>
        <w:rPr>
          <w:rFonts w:hint="eastAsia" w:ascii="楷体_GB2312" w:hAnsi="楷体_GB2312" w:eastAsia="楷体_GB2312" w:cs="楷体_GB2312"/>
          <w:spacing w:val="13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3"/>
          <w:sz w:val="32"/>
          <w:szCs w:val="32"/>
        </w:rPr>
        <w:t>(一)宣传发动，工作部署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1"/>
        <w:textAlignment w:val="baseline"/>
        <w:outlineLvl w:val="9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镇单位要高度重视，将开展达标创建工作作为深入贯彻《内蒙古自治区实施〈中华人民共和国国家通用语言文字法〉办法》和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实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施乡村振兴战略的重要举措，作为加快经济社会和精神文明建设的重点工作，列入议事日程，做到思想认识到位、组织人员到位、计划落实到位，确保达标创建任务顺利完成。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1"/>
        <w:textAlignment w:val="baseline"/>
        <w:outlineLvl w:val="9"/>
        <w:rPr>
          <w:rFonts w:hint="eastAsia" w:ascii="楷体_GB2312" w:hAnsi="楷体_GB2312" w:eastAsia="楷体_GB2312" w:cs="楷体_GB2312"/>
          <w:spacing w:val="13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13"/>
          <w:sz w:val="32"/>
          <w:szCs w:val="32"/>
        </w:rPr>
        <w:t>(二)制定计划，有序推进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1"/>
        <w:textAlignment w:val="baseline"/>
        <w:outlineLvl w:val="9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镇要根据东胜区语委制定的《东胜区国家通用语言文字乡镇达标创建工作计划表》(附件1)《东胜区国家通用语言文字达标乡镇自评表》(附件2)和本单位实际，制定具体的实施计划，根据时间进度安排，有序推进创建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1"/>
        <w:textAlignment w:val="baseline"/>
        <w:outlineLvl w:val="9"/>
        <w:rPr>
          <w:rFonts w:hint="eastAsia" w:ascii="楷体_GB2312" w:hAnsi="楷体_GB2312" w:eastAsia="楷体_GB2312" w:cs="楷体_GB2312"/>
          <w:spacing w:val="13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13"/>
          <w:sz w:val="32"/>
          <w:szCs w:val="32"/>
        </w:rPr>
        <w:t>(三)聚焦重点、普及提高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1"/>
        <w:textAlignment w:val="baseline"/>
        <w:outlineLvl w:val="9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按照“聚焦重点、全面普及、巩固提高”的新时代推广普通话工作方针，聚焦农村青壮年劳动力这一重点人群，深入开展“普通话+职业技能”等“同语同心·乡村振兴”普通话应用能力提升专项培训活动，大力提升村青壮年劳动力普通话水平，扫除就业创业语言交流障碍。</w:t>
      </w:r>
    </w:p>
    <w:bookmarkEnd w:id="0"/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right="0" w:rightChars="0"/>
        <w:jc w:val="left"/>
        <w:outlineLvl w:val="9"/>
        <w:rPr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right="0" w:rightChars="0"/>
        <w:jc w:val="left"/>
        <w:outlineLvl w:val="9"/>
        <w:rPr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right="0" w:rightChars="0"/>
        <w:jc w:val="left"/>
        <w:outlineLvl w:val="9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  <w:rPr>
          <w:sz w:val="28"/>
          <w:szCs w:val="28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  <w:rPr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  <w:rPr>
          <w:sz w:val="28"/>
          <w:szCs w:val="28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  <w:rPr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  <w:rPr>
          <w:sz w:val="28"/>
          <w:szCs w:val="28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</w:pPr>
    </w:p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</w:pP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0pt;height:0pt;width:450pt;z-index:251659264;mso-width-relative:page;mso-height-relative:page;" filled="f" stroked="t" coordsize="21600,21600" o:gfxdata="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0iJHQ0gAAAAQBAAAPAAAAAAAA&#10;AAEAIAAAACIAAABkcnMvZG93bnJldi54bWxQSwECFAAUAAAACACHTuJAECsIyd8BAACkAwAADgAA&#10;AAAAAAABACAAAAAh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715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450pt;z-index:251660288;mso-width-relative:page;mso-height-relative:page;" filled="f" stroked="t" coordsize="21600,21600" o:gfxdata="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tW/htMAAAAGAQAADwAAAAAA&#10;AAABACAAAAAiAAAAZHJzL2Rvd25yZXYueG1sUEsBAhQAFAAAAAgAh07iQN+oExLfAQAApAMAAA4A&#10;AAAAAAAAAQAgAAAAI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中共鄂尔多斯市东胜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  <w:lang w:eastAsia="zh-CN"/>
        </w:rPr>
        <w:t>镇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泊尔江海子镇委员会党政综合办公室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  <w:lang w:val="en-US" w:eastAsia="zh-CN"/>
        </w:rPr>
        <w:t xml:space="preserve">     2023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+ZHPB5V-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_x0002_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3000509000000000000"/>
    <w:charset w:val="86"/>
    <w:family w:val="auto"/>
    <w:pitch w:val="default"/>
    <w:sig w:usb0="A00002BF" w:usb1="184F6CFA" w:usb2="00000012" w:usb3="00000000" w:csb0="00040000" w:csb1="00000000"/>
  </w:font>
  <w:font w:name="Bahnschrift Light Condensed">
    <w:altName w:val="Bahnschrift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Bahnschrift">
    <w:panose1 w:val="020B0502040204020203"/>
    <w:charset w:val="00"/>
    <w:family w:val="auto"/>
    <w:pitch w:val="default"/>
    <w:sig w:usb0="80000047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altName w:val="Sitka Text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mVjNzI0YTdmMDIzNjM5YzUxZTg5YzIwNjZlMTUifQ=="/>
  </w:docVars>
  <w:rsids>
    <w:rsidRoot w:val="00000000"/>
    <w:rsid w:val="038C76D9"/>
    <w:rsid w:val="05E7509A"/>
    <w:rsid w:val="08114AC9"/>
    <w:rsid w:val="0B3327CA"/>
    <w:rsid w:val="10E30B54"/>
    <w:rsid w:val="17C352C0"/>
    <w:rsid w:val="1B2D5C93"/>
    <w:rsid w:val="208426DE"/>
    <w:rsid w:val="214E5D63"/>
    <w:rsid w:val="28BE7B09"/>
    <w:rsid w:val="2BC80DD6"/>
    <w:rsid w:val="2E9022AC"/>
    <w:rsid w:val="323F6356"/>
    <w:rsid w:val="366A2FFA"/>
    <w:rsid w:val="40837C92"/>
    <w:rsid w:val="41434BF8"/>
    <w:rsid w:val="475705D7"/>
    <w:rsid w:val="47CD3FF1"/>
    <w:rsid w:val="4BFA40AB"/>
    <w:rsid w:val="4C481290"/>
    <w:rsid w:val="4DB514DB"/>
    <w:rsid w:val="557355CF"/>
    <w:rsid w:val="55B765C7"/>
    <w:rsid w:val="5763284A"/>
    <w:rsid w:val="5CBC5AAE"/>
    <w:rsid w:val="67A174DB"/>
    <w:rsid w:val="67B850C4"/>
    <w:rsid w:val="69D14A04"/>
    <w:rsid w:val="71066778"/>
    <w:rsid w:val="75D76D0B"/>
    <w:rsid w:val="76CF5F86"/>
    <w:rsid w:val="77DE6E0B"/>
    <w:rsid w:val="78250C0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hAnsi="楷体_GB2312" w:eastAsia="仿宋_GB2312"/>
      <w:color w:val="000000"/>
      <w:kern w:val="0"/>
      <w:sz w:val="32"/>
      <w:szCs w:val="2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443</Characters>
  <Lines>0</Lines>
  <Paragraphs>0</Paragraphs>
  <ScaleCrop>false</ScaleCrop>
  <LinksUpToDate>false</LinksUpToDate>
  <CharactersWithSpaces>666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2023-01-05T03:42:00Z</dcterms:created>
  <dc:creator>WYJ</dc:creator>
  <cp:lastModifiedBy>赵书凝</cp:lastModifiedBy>
  <cp:lastPrinted>2023-04-18T06:36:01Z</cp:lastPrinted>
  <dcterms:modified xsi:type="dcterms:W3CDTF">2023-04-18T06:41:21Z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ICV">
    <vt:lpwstr>CBF3A1AB802141FB8EFA0E5DE10D95BA</vt:lpwstr>
  </property>
</Properties>
</file>