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cs="Times New Roman"/>
          <w:szCs w:val="22"/>
        </w:rPr>
      </w:pPr>
    </w:p>
    <w:p>
      <w:pPr>
        <w:spacing w:line="600" w:lineRule="exact"/>
        <w:jc w:val="left"/>
        <w:rPr>
          <w:rFonts w:cs="Times New Roman"/>
          <w:szCs w:val="22"/>
        </w:rPr>
      </w:pPr>
    </w:p>
    <w:p>
      <w:pPr>
        <w:spacing w:line="600" w:lineRule="exact"/>
        <w:jc w:val="left"/>
        <w:rPr>
          <w:rFonts w:cs="Times New Roman"/>
          <w:szCs w:val="22"/>
        </w:rPr>
      </w:pPr>
    </w:p>
    <w:p>
      <w:pPr>
        <w:spacing w:line="600" w:lineRule="exact"/>
        <w:jc w:val="left"/>
        <w:rPr>
          <w:rFonts w:cs="Times New Roman"/>
          <w:szCs w:val="22"/>
        </w:rPr>
      </w:pPr>
    </w:p>
    <w:p>
      <w:pPr>
        <w:spacing w:line="560" w:lineRule="exact"/>
        <w:jc w:val="center"/>
        <w:rPr>
          <w:rFonts w:cs="Times New Roman"/>
          <w:szCs w:val="22"/>
        </w:rPr>
      </w:pPr>
    </w:p>
    <w:p>
      <w:pPr>
        <w:spacing w:line="560" w:lineRule="exact"/>
        <w:jc w:val="center"/>
        <w:rPr>
          <w:rFonts w:cs="Times New Roman"/>
          <w:szCs w:val="22"/>
        </w:rPr>
      </w:pPr>
    </w:p>
    <w:p>
      <w:pPr>
        <w:spacing w:line="560" w:lineRule="exact"/>
        <w:jc w:val="center"/>
        <w:rPr>
          <w:rFonts w:cs="Times New Roman"/>
          <w:szCs w:val="22"/>
        </w:rPr>
      </w:pPr>
      <w:r>
        <w:rPr>
          <w:rFonts w:hint="eastAsia" w:ascii="仿宋_GB2312" w:eastAsia="仿宋_GB2312" w:cs="Times New Roman"/>
          <w:sz w:val="32"/>
          <w:szCs w:val="22"/>
        </w:rPr>
        <w:t>东政办发〔</w:t>
      </w:r>
      <w:r>
        <w:rPr>
          <w:rFonts w:ascii="仿宋_GB2312" w:eastAsia="仿宋_GB2312" w:cs="Times New Roman"/>
          <w:sz w:val="32"/>
          <w:szCs w:val="22"/>
        </w:rPr>
        <w:t>20</w:t>
      </w:r>
      <w:r>
        <w:rPr>
          <w:rFonts w:hint="eastAsia" w:ascii="仿宋_GB2312" w:eastAsia="仿宋_GB2312" w:cs="Times New Roman"/>
          <w:sz w:val="32"/>
          <w:szCs w:val="22"/>
        </w:rPr>
        <w:t>23</w:t>
      </w:r>
      <w:r>
        <w:rPr>
          <w:rFonts w:ascii="仿宋_GB2312" w:eastAsia="仿宋_GB2312" w:cs="Times New Roman"/>
          <w:sz w:val="32"/>
          <w:szCs w:val="22"/>
        </w:rPr>
        <w:t>〕</w:t>
      </w:r>
      <w:r>
        <w:rPr>
          <w:rFonts w:hint="eastAsia" w:ascii="仿宋_GB2312" w:eastAsia="仿宋_GB2312" w:cs="Times New Roman"/>
          <w:sz w:val="32"/>
          <w:szCs w:val="22"/>
        </w:rPr>
        <w:t>9</w:t>
      </w:r>
      <w:r>
        <w:rPr>
          <w:rFonts w:hint="eastAsia" w:eastAsia="仿宋_GB2312" w:cs="Times New Roman"/>
          <w:sz w:val="32"/>
          <w:szCs w:val="22"/>
        </w:rPr>
        <w:t>号</w:t>
      </w:r>
    </w:p>
    <w:p>
      <w:pPr>
        <w:spacing w:line="460" w:lineRule="exact"/>
        <w:jc w:val="center"/>
        <w:rPr>
          <w:rFonts w:cs="Times New Roman"/>
          <w:szCs w:val="22"/>
        </w:rPr>
      </w:pPr>
      <w:r>
        <w:rPr>
          <w:rFonts w:cs="Times New Roman"/>
          <w:szCs w:val="22"/>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43180</wp:posOffset>
                </wp:positionV>
                <wp:extent cx="5760085" cy="0"/>
                <wp:effectExtent l="0" t="0" r="0" b="0"/>
                <wp:wrapNone/>
                <wp:docPr id="1" name="直线 4"/>
                <wp:cNvGraphicFramePr/>
                <a:graphic xmlns:a="http://schemas.openxmlformats.org/drawingml/2006/main">
                  <a:graphicData uri="http://schemas.microsoft.com/office/word/2010/wordprocessingShape">
                    <wps:wsp>
                      <wps:cNvSpPr/>
                      <wps:spPr>
                        <a:xfrm flipV="1">
                          <a:off x="0" y="0"/>
                          <a:ext cx="5760085" cy="0"/>
                        </a:xfrm>
                        <a:prstGeom prst="line">
                          <a:avLst/>
                        </a:prstGeom>
                        <a:ln w="27940"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flip:y;margin-left:-8.6pt;margin-top:3.4pt;height:0pt;width:453.55pt;z-index:251659264;mso-width-relative:page;mso-height-relative:page;" filled="f" stroked="t" coordsize="21600,21600" o:gfxdata="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tO3NTWAAAABwEAAA8AAAAAAAAAAQAgAAAAIgAAAGRycy9kb3ducmV2LnhtbFBLAQIUABQA&#10;AAAIAIdO4kB9inxF8gEAAOYDAAAOAAAAAAAAAAEAIAAAACUBAABkcnMvZTJvRG9jLnhtbFBLBQYA&#10;AAAABgAGAFkBAACJBQAAAAA=&#10;">
                <v:fill on="f" focussize="0,0"/>
                <v:stroke weight="2.2pt" color="#FF0000" joinstyle="round"/>
                <v:imagedata o:title=""/>
                <o:lock v:ext="edit" aspectratio="f"/>
              </v:line>
            </w:pict>
          </mc:Fallback>
        </mc:AlternateContent>
      </w:r>
    </w:p>
    <w:p>
      <w:pPr>
        <w:spacing w:line="460" w:lineRule="exact"/>
        <w:jc w:val="center"/>
        <w:rPr>
          <w:rFonts w:cs="Times New Roman"/>
          <w:szCs w:val="22"/>
        </w:rPr>
      </w:pPr>
    </w:p>
    <w:p>
      <w:pPr>
        <w:widowControl/>
        <w:spacing w:line="460" w:lineRule="exact"/>
        <w:jc w:val="center"/>
        <w:rPr>
          <w:rFonts w:ascii="方正小标宋_GBK" w:hAnsi="方正小标宋简体" w:eastAsia="方正小标宋_GBK" w:cs="方正小标宋简体"/>
          <w:color w:val="000000"/>
          <w:kern w:val="0"/>
          <w:sz w:val="44"/>
          <w:szCs w:val="44"/>
        </w:rPr>
      </w:pPr>
      <w:bookmarkStart w:id="2" w:name="_GoBack"/>
      <w:r>
        <w:rPr>
          <w:rFonts w:hint="eastAsia" w:ascii="方正小标宋_GBK" w:hAnsi="方正小标宋简体" w:eastAsia="方正小标宋_GBK" w:cs="方正小标宋简体"/>
          <w:color w:val="000000"/>
          <w:kern w:val="0"/>
          <w:sz w:val="44"/>
          <w:szCs w:val="44"/>
        </w:rPr>
        <w:t>鄂尔多斯市东胜区人民政府办公室关于印发</w:t>
      </w:r>
    </w:p>
    <w:p>
      <w:pPr>
        <w:widowControl/>
        <w:spacing w:line="460" w:lineRule="exact"/>
        <w:jc w:val="center"/>
        <w:rPr>
          <w:rFonts w:ascii="方正小标宋_GBK" w:hAnsi="方正小标宋简体" w:eastAsia="方正小标宋_GBK" w:cs="方正小标宋简体"/>
          <w:color w:val="000000"/>
          <w:kern w:val="0"/>
          <w:sz w:val="44"/>
          <w:szCs w:val="44"/>
        </w:rPr>
      </w:pPr>
      <w:r>
        <w:rPr>
          <w:rFonts w:hint="eastAsia" w:ascii="方正小标宋_GBK" w:hAnsi="方正小标宋简体" w:eastAsia="方正小标宋_GBK" w:cs="方正小标宋简体"/>
          <w:color w:val="000000"/>
          <w:kern w:val="0"/>
          <w:sz w:val="44"/>
          <w:szCs w:val="44"/>
        </w:rPr>
        <w:t>《东胜区“万步有约”健走激励大赛</w:t>
      </w:r>
    </w:p>
    <w:p>
      <w:pPr>
        <w:widowControl/>
        <w:spacing w:line="460" w:lineRule="exact"/>
        <w:jc w:val="center"/>
        <w:rPr>
          <w:rFonts w:ascii="方正小标宋_GBK" w:hAnsi="方正小标宋简体" w:eastAsia="方正小标宋_GBK" w:cs="方正小标宋简体"/>
          <w:color w:val="000000"/>
          <w:kern w:val="0"/>
          <w:sz w:val="44"/>
          <w:szCs w:val="44"/>
        </w:rPr>
      </w:pPr>
      <w:r>
        <w:rPr>
          <w:rFonts w:hint="eastAsia" w:ascii="方正小标宋_GBK" w:hAnsi="方正小标宋简体" w:eastAsia="方正小标宋_GBK" w:cs="方正小标宋简体"/>
          <w:color w:val="000000"/>
          <w:kern w:val="0"/>
          <w:sz w:val="44"/>
          <w:szCs w:val="44"/>
        </w:rPr>
        <w:t>活动方案》的通知</w:t>
      </w:r>
    </w:p>
    <w:bookmarkEnd w:id="2"/>
    <w:p>
      <w:pPr>
        <w:widowControl/>
        <w:spacing w:line="460" w:lineRule="exact"/>
        <w:jc w:val="left"/>
        <w:rPr>
          <w:rFonts w:ascii="方正小标宋_GBK" w:hAnsi="宋体" w:eastAsia="方正小标宋_GBK" w:cs="宋体"/>
          <w:b/>
          <w:bCs/>
          <w:color w:val="000000"/>
          <w:kern w:val="0"/>
          <w:sz w:val="48"/>
          <w:szCs w:val="48"/>
        </w:rPr>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各镇人民政府，各街道办事处，区直各有关部门，各垂直协管部门，各大企事业单位:</w:t>
      </w:r>
    </w:p>
    <w:p>
      <w:pPr>
        <w:widowControl/>
        <w:spacing w:line="460" w:lineRule="exact"/>
        <w:ind w:firstLine="64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现将《东胜区“万步有约”健走激励大赛活动方案》印发给你们，请结合工作实际，认真组织实施。</w:t>
      </w:r>
    </w:p>
    <w:p>
      <w:pPr>
        <w:widowControl/>
        <w:spacing w:line="460" w:lineRule="exact"/>
        <w:jc w:val="left"/>
        <w:rPr>
          <w:rFonts w:ascii="仿宋_GB2312" w:hAnsi="仿宋_GB2312" w:eastAsia="仿宋_GB2312" w:cs="仿宋_GB2312"/>
          <w:color w:val="000000"/>
          <w:kern w:val="0"/>
          <w:sz w:val="32"/>
          <w:szCs w:val="32"/>
        </w:rPr>
      </w:pPr>
    </w:p>
    <w:p>
      <w:pPr>
        <w:widowControl/>
        <w:spacing w:line="460" w:lineRule="exact"/>
        <w:jc w:val="left"/>
        <w:rPr>
          <w:rFonts w:ascii="仿宋_GB2312" w:hAnsi="仿宋_GB2312" w:eastAsia="仿宋_GB2312" w:cs="仿宋_GB2312"/>
          <w:color w:val="000000"/>
          <w:kern w:val="0"/>
          <w:sz w:val="32"/>
          <w:szCs w:val="32"/>
        </w:rPr>
      </w:pPr>
    </w:p>
    <w:p>
      <w:pPr>
        <w:widowControl/>
        <w:spacing w:line="4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鄂尔多斯市东胜区人民政府办公室</w:t>
      </w:r>
    </w:p>
    <w:p>
      <w:pPr>
        <w:widowControl/>
        <w:spacing w:line="460" w:lineRule="exact"/>
        <w:jc w:val="left"/>
        <w:rPr>
          <w:rFonts w:ascii="仿宋_GB2312" w:hAnsi="仿宋_GB2312" w:eastAsia="仿宋_GB2312" w:cs="仿宋_GB2312"/>
          <w:color w:val="000000"/>
          <w:kern w:val="0"/>
          <w:sz w:val="32"/>
          <w:szCs w:val="32"/>
        </w:rPr>
        <w:sectPr>
          <w:footerReference r:id="rId3" w:type="default"/>
          <w:type w:val="continuous"/>
          <w:pgSz w:w="11906" w:h="16838"/>
          <w:pgMar w:top="4082" w:right="1474" w:bottom="1985" w:left="1588" w:header="851" w:footer="1191" w:gutter="0"/>
          <w:pgNumType w:fmt="numberInDash"/>
          <w:cols w:space="720" w:num="1"/>
          <w:docGrid w:type="lines" w:linePitch="312" w:charSpace="0"/>
        </w:sectPr>
      </w:pPr>
      <w:r>
        <w:rPr>
          <w:rFonts w:hint="eastAsia" w:ascii="仿宋_GB2312" w:hAnsi="仿宋_GB2312" w:eastAsia="仿宋_GB2312" w:cs="仿宋_GB2312"/>
          <w:color w:val="000000"/>
          <w:kern w:val="0"/>
          <w:sz w:val="32"/>
          <w:szCs w:val="32"/>
        </w:rPr>
        <w:t xml:space="preserve">                                2023年4月19日 </w:t>
      </w:r>
    </w:p>
    <w:p>
      <w:pPr>
        <w:widowControl/>
        <w:spacing w:line="600" w:lineRule="exact"/>
        <w:jc w:val="center"/>
        <w:rPr>
          <w:rFonts w:ascii="方正小标宋_GBK" w:hAnsi="方正小标宋简体" w:eastAsia="方正小标宋_GBK" w:cs="方正小标宋简体"/>
          <w:color w:val="000000"/>
          <w:kern w:val="0"/>
          <w:sz w:val="44"/>
          <w:szCs w:val="44"/>
        </w:rPr>
      </w:pPr>
      <w:r>
        <w:rPr>
          <w:rFonts w:hint="eastAsia" w:ascii="方正小标宋_GBK" w:hAnsi="方正小标宋简体" w:eastAsia="方正小标宋_GBK" w:cs="方正小标宋简体"/>
          <w:color w:val="000000"/>
          <w:kern w:val="0"/>
          <w:sz w:val="44"/>
          <w:szCs w:val="44"/>
        </w:rPr>
        <w:t>东胜区“万步有约”健走激励大赛活动方案</w:t>
      </w:r>
    </w:p>
    <w:p>
      <w:pPr>
        <w:widowControl/>
        <w:spacing w:line="600" w:lineRule="exact"/>
        <w:jc w:val="left"/>
        <w:rPr>
          <w:rFonts w:ascii="仿宋" w:hAnsi="仿宋" w:eastAsia="仿宋" w:cs="仿宋"/>
          <w:color w:val="000000"/>
          <w:kern w:val="0"/>
          <w:sz w:val="44"/>
          <w:szCs w:val="44"/>
        </w:rPr>
      </w:pP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为贯彻落实《“健康中国2030”规划纲要》与《“十四五”国民健康规划》精神，推动东胜区开展全民健康生活方式行动与创建国家级慢性病示范区建设，根据《中国疾控中心慢病中心关于举办第八届“万步有约”健走激励大赛的通知》（中疾控慢便函〔2023〕47号）《关于开展第八届“万步有约”健走激励大赛的通知》（内综疾字〔2023〕147号）要求，结合东胜区实际，制定本活动方案。</w:t>
      </w:r>
      <w:bookmarkStart w:id="0" w:name="_Toc474930877"/>
      <w:bookmarkEnd w:id="0"/>
      <w:bookmarkStart w:id="1" w:name="_Toc128754594"/>
      <w:bookmarkEnd w:id="1"/>
    </w:p>
    <w:p>
      <w:pPr>
        <w:widowControl/>
        <w:spacing w:line="600" w:lineRule="exact"/>
        <w:ind w:firstLine="640" w:firstLineChars="200"/>
        <w:rPr>
          <w:rFonts w:ascii="黑体" w:hAnsi="黑体" w:eastAsia="黑体" w:cs="仿宋_GB2312"/>
          <w:color w:val="000000"/>
          <w:kern w:val="0"/>
          <w:sz w:val="32"/>
          <w:szCs w:val="32"/>
        </w:rPr>
      </w:pPr>
      <w:r>
        <w:rPr>
          <w:rFonts w:ascii="黑体" w:hAnsi="黑体" w:eastAsia="黑体"/>
          <w:bCs/>
          <w:color w:val="000000"/>
          <w:sz w:val="32"/>
          <w:szCs w:val="32"/>
        </w:rPr>
        <w:t>一、</w:t>
      </w:r>
      <w:r>
        <w:rPr>
          <w:rFonts w:hint="eastAsia" w:ascii="黑体" w:hAnsi="黑体" w:eastAsia="黑体"/>
          <w:bCs/>
          <w:color w:val="000000"/>
          <w:sz w:val="32"/>
          <w:szCs w:val="32"/>
        </w:rPr>
        <w:t>活动</w:t>
      </w:r>
      <w:r>
        <w:rPr>
          <w:rFonts w:ascii="黑体" w:hAnsi="黑体" w:eastAsia="黑体"/>
          <w:bCs/>
          <w:color w:val="000000"/>
          <w:sz w:val="32"/>
          <w:szCs w:val="32"/>
        </w:rPr>
        <w:t>背景</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自2016年起，在国家卫生健康委的指导下，中国疾控中心慢病中心在全国范围内连续组织七届“万步有约”健走激励大赛（以下简称“大赛”），累计覆盖全国1400个县区200万人，营造了全民健走、全民健康的氛围。大赛与“互联网+”紧密结合，依托“团队”监督激励作用，帮助参赛人员养成日行万步的健康生活习惯，达到预防慢性病、促进健康的目的，受到干部群众的普遍欢迎。</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2023年，中国疾控中心慢病中心将继续举办全国第八届 “万步有约”健走激励大赛。东胜区为巩固自治区慢性病综合防控示范区创建成果，按照相关要求，将在全区各部门、各单位中广泛开展“万步有约”健走激励大赛。通过带头示范，引导全民养成健康文明的生活方式，降低全人群高血压、糖尿病等慢性病发病率，加快推进国家级慢性病综合防控示范区建设工作，进一步推动“健康东胜”建设。</w:t>
      </w:r>
    </w:p>
    <w:p>
      <w:pPr>
        <w:widowControl/>
        <w:spacing w:line="60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二、活动时间和进度安排</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1.报名：截</w:t>
      </w:r>
      <w:r>
        <w:rPr>
          <w:rFonts w:hint="eastAsia" w:ascii="仿宋_GB2312" w:hAnsi="仿宋_GB2312" w:eastAsia="仿宋_GB2312" w:cs="仿宋_GB2312"/>
          <w:color w:val="000000"/>
          <w:kern w:val="0"/>
          <w:sz w:val="32"/>
          <w:szCs w:val="32"/>
          <w:lang w:val="en-US" w:eastAsia="zh-CN"/>
        </w:rPr>
        <w:t>至</w:t>
      </w:r>
      <w:r>
        <w:rPr>
          <w:rFonts w:hint="eastAsia" w:ascii="仿宋_GB2312" w:hAnsi="仿宋_GB2312" w:eastAsia="仿宋_GB2312" w:cs="仿宋_GB2312"/>
          <w:color w:val="000000"/>
          <w:kern w:val="0"/>
          <w:sz w:val="32"/>
          <w:szCs w:val="32"/>
        </w:rPr>
        <w:t>2023年4月21日</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2.活动启动和参赛培训：2023年4月</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3.精英赛热身赛：2023年4月11日-4月30日</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4.精英赛正式赛：2023年5月11日-8月18日</w:t>
      </w:r>
    </w:p>
    <w:p>
      <w:pPr>
        <w:widowControl/>
        <w:spacing w:line="60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5.总结表彰：2023年9月-10月</w:t>
      </w:r>
    </w:p>
    <w:p>
      <w:pPr>
        <w:widowControl/>
        <w:spacing w:line="60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三、参赛对象</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东胜区各部门、各单位积极组队参赛，每个单位可组若干团队，每队10-20人，不足10人的单位可与其他单位组队参赛，参赛总人数不低于300人。慢性病综合防控示范区建设成员单位必须组队参赛，东胜区慢性病综合防控示范区建设成员单位“万步有约”健走激励大赛任务表见附件1。</w:t>
      </w:r>
    </w:p>
    <w:p>
      <w:pPr>
        <w:widowControl/>
        <w:spacing w:line="600" w:lineRule="exact"/>
        <w:ind w:firstLine="640" w:firstLineChars="200"/>
        <w:rPr>
          <w:rFonts w:ascii="黑体" w:hAnsi="黑体" w:eastAsia="黑体"/>
          <w:bCs/>
          <w:color w:val="000000"/>
          <w:sz w:val="32"/>
          <w:szCs w:val="32"/>
        </w:rPr>
      </w:pPr>
      <w:r>
        <w:rPr>
          <w:rFonts w:hint="eastAsia" w:ascii="黑体" w:hAnsi="黑体" w:eastAsia="黑体"/>
          <w:bCs/>
          <w:color w:val="000000"/>
          <w:sz w:val="32"/>
          <w:szCs w:val="32"/>
        </w:rPr>
        <w:t>四、组织机构</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此次大赛主办单位为东胜区人民政府，承办单位为东胜区卫生健康委员会、东胜区疾病预防控制中心和东胜区体育事业发展中心，为确保本次活动顺利开展并取得实效，成立东胜区“万步有约”健走竞赛管理委员会，组成人员如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  任：杨  云  区人民政府副区长</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副主任：刘  存  区人民政府办公室主任</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任桂娥  区卫生健康委员会主任</w:t>
      </w:r>
    </w:p>
    <w:p>
      <w:pPr>
        <w:widowControl/>
        <w:spacing w:line="60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成  员：袁  博  区委宣传部副部长</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屈光荣  区教育体育局局长</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高云胜  区财政局局长</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吕  娜  区文化和旅游局局长</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张  玺  区公安分局副局长   </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撖飞鹏  区总工会常务副主席</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韩  军  区园林绿化事业发展中心主任</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赵  群  区疾病预防控制中心主任</w:t>
      </w:r>
    </w:p>
    <w:p>
      <w:pPr>
        <w:widowControl/>
        <w:spacing w:line="600" w:lineRule="exact"/>
        <w:ind w:firstLine="1920" w:firstLineChars="6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温  瑞  区体育事业发展中心主任</w:t>
      </w:r>
    </w:p>
    <w:p>
      <w:pPr>
        <w:widowControl/>
        <w:spacing w:line="60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各参赛单位分管领导</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竞赛管理委员会下设办公室，办公室设在东胜区疾病预防控制中心。办公室具体负责东胜区参赛人员的报名、信息收集和设备申领发放；与上级竞赛管理委员会的联络工作；上传下达比赛相关通知、政策、赛况等信息。负责东胜区参赛队员的技术指导、培训、督促管理等工作；对东胜区团队赛中出现的问题和争议进行</w:t>
      </w:r>
      <w:r>
        <w:rPr>
          <w:rFonts w:hint="eastAsia" w:ascii="仿宋_GB2312" w:hAnsi="仿宋_GB2312" w:eastAsia="仿宋_GB2312" w:cs="仿宋_GB2312"/>
          <w:color w:val="000000"/>
          <w:spacing w:val="-6"/>
          <w:kern w:val="0"/>
          <w:sz w:val="32"/>
          <w:szCs w:val="32"/>
        </w:rPr>
        <w:t>仲裁，对团队赛的开展、奖惩机制等环节的公平、公正进行监督。</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五、大赛内容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精英赛:参照全国大赛规则，选择开展为期100天的团队健走竞赛，活动时间为5月11日到8月18日。参赛队员统一服装佩戴专用计步器，通过计步器记录每天的健走数据，将数据上传至活动网络主页，通过累计积分，在区内各团队之间、队员之间进行评比。</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健康指标收集:根据大赛方案，需要在赛前、赛后对参赛人员各进行一次健康指标收集。赛前时间：2023年4月10日-5月30日（赛前体测要求5月30日前完成），赛后时间：2023年8月10日-9月10日（赛后体测要求9月10日前完成）。根据大赛规则每位参赛队员都需完成健康指标收集，具体收集方法及体测设备将另行通知。</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收集内容如下：</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健康问卷和身高、腰围和臀围：通过万步APP填写；</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体重/体脂：通过大赛指定专用体脂秤BW326或身体成分分析仪CW618测量后，上传至万步APP；</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血压：通过大赛指定血压计PW311测量后上传至万步APP。</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（三）参与式活动:在健走竞赛的同时，统一开展线上/线下活动。具体包括：启动和表彰仪式、“一日赛”健走活动、优秀队长培养、征文、万步有约传播、设置激励机制等。</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健康体重大赛:本次活动所有参赛队员均可自愿报名参加。根据赛前体测结果，建议24≤BMI≤30,或男性腰围≥85cm/女性腰围≥80cm的队员积极参加。对于BMI＞30的队员，建议在专家的指导下参加。参与健康体重大赛的人员需每周用大赛专用体脂秤进行一次体脂测量及上传，同时进行一次饮食记录。且健康体重处方采用“3+1”处方模式，前3个处方为万步有约运动处方，第4个为健康体重处方，默认采用步速为100-150步/分钟、持续时间为15分钟的运动处方。</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健康讲座:大赛组委会将组织线上健康讲座，全体参赛人员观看学习后，通过万步有约APP进行在线答题。大赛期间将开展2次在线答题。以答题正确率作为考核标准。任意一次合格将授予“健康知识学习之星”，奖励一枚满分卡，可将精英赛期间任意一天的健走成绩补为满分。</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六、奖励机制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（一）本级奖励</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1.团队奖。根据线上比赛积分结合团体加分项目，对全区参赛团队进行综合排名。团体奖1个，奖励现金500元。</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2.“万步先锋”个人奖。全国健走活动结束后，结合线上积分，对全区参赛排名前30名的人员进行奖励。</w:t>
      </w:r>
    </w:p>
    <w:p>
      <w:pPr>
        <w:widowControl/>
        <w:spacing w:line="56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3.特色文化活动奖。征集大赛过程中的摄影、征文、短视频优秀作品，文化活动奖3名。</w:t>
      </w:r>
    </w:p>
    <w:p>
      <w:pPr>
        <w:widowControl/>
        <w:spacing w:line="64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（二）各参赛团体和个人在全国、全自治区竞赛中取得有关名次的，所获奖项均给予团队或个人。</w:t>
      </w:r>
    </w:p>
    <w:p>
      <w:pPr>
        <w:spacing w:line="640" w:lineRule="exact"/>
        <w:ind w:firstLine="640" w:firstLineChars="200"/>
        <w:rPr>
          <w:rFonts w:ascii="黑体" w:hAnsi="黑体" w:eastAsia="黑体"/>
          <w:bCs/>
          <w:sz w:val="32"/>
          <w:szCs w:val="32"/>
        </w:rPr>
      </w:pPr>
      <w:r>
        <w:rPr>
          <w:rFonts w:hint="eastAsia" w:ascii="黑体" w:hAnsi="黑体" w:eastAsia="黑体"/>
          <w:bCs/>
          <w:sz w:val="32"/>
          <w:szCs w:val="32"/>
        </w:rPr>
        <w:t>七、报名时间、方式</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东胜区各部门、各单位积极组队参赛，慢性病综合防控示范区建设各成员单位必须组队参赛，每队10-20人，以团队形式报名参加，要有团队名称，每个团队确定1名核心人物作为领队。参赛队员要有持续参与健走的意愿和恒心，要有较强的团队意识。不接受个人报名（个人可以与联系密切的人员组成团队，通过团队进行报名），鼓励全民参与。请相关单位于4月21日前将《“万步有约”健走激励大赛报名表》（附件2）报送至东胜区“万步有约”健走竞赛管理委员会办公室，联系人：樊兴卓，电话：0477-2217803，18604770949。邮箱：fyz2217855@163.com，地址：东胜区疾病预防控制中心五楼地慢病防制室。</w:t>
      </w:r>
    </w:p>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八、参赛说明</w:t>
      </w:r>
    </w:p>
    <w:p>
      <w:pPr>
        <w:spacing w:line="600" w:lineRule="exact"/>
        <w:ind w:firstLine="640" w:firstLineChars="200"/>
        <w:rPr>
          <w:rFonts w:ascii="楷体_GB2312" w:hAnsi="楷体" w:eastAsia="楷体_GB2312" w:cs="楷体"/>
          <w:color w:val="000000"/>
          <w:sz w:val="32"/>
          <w:szCs w:val="32"/>
        </w:rPr>
      </w:pPr>
      <w:r>
        <w:rPr>
          <w:rFonts w:hint="eastAsia" w:ascii="楷体_GB2312" w:hAnsi="楷体" w:eastAsia="楷体_GB2312" w:cs="楷体"/>
          <w:color w:val="000000"/>
          <w:sz w:val="32"/>
          <w:szCs w:val="32"/>
        </w:rPr>
        <w:t>（一）计步器的借用</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全区统一通过免费借用方式获得大赛专用运动处方计步器。参赛人员与所在单位，所在单位与区竞赛管理委员会办公室层层签订《计步器借用承诺书》。大赛活动正式结束后，若计步器无明显损坏且可正常使用，借用期满后30日内收回；若计步器丢失或损坏，须参赛队员自行赔偿。</w:t>
      </w:r>
    </w:p>
    <w:p>
      <w:pPr>
        <w:spacing w:line="600" w:lineRule="exact"/>
        <w:ind w:firstLine="640" w:firstLineChars="200"/>
        <w:rPr>
          <w:rFonts w:ascii="楷体" w:hAnsi="楷体" w:eastAsia="楷体" w:cs="楷体"/>
          <w:color w:val="000000"/>
          <w:sz w:val="32"/>
          <w:szCs w:val="32"/>
        </w:rPr>
      </w:pPr>
      <w:r>
        <w:rPr>
          <w:rFonts w:hint="eastAsia" w:ascii="楷体_GB2312" w:hAnsi="楷体" w:eastAsia="楷体_GB2312" w:cs="楷体"/>
          <w:color w:val="000000"/>
          <w:sz w:val="32"/>
          <w:szCs w:val="32"/>
        </w:rPr>
        <w:t>（二）签署《知情同意书》</w:t>
      </w:r>
    </w:p>
    <w:p>
      <w:pPr>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大赛正式开始前参赛人员本人签署《知情同意书》，自行对可能在比赛过程中遭遇的意外情况负责。对于患严重心脏病、脑血管疾病、高血压、糖尿病、精神疾病、躯体障碍等不适合运动的疾病患者，以及孕产期妇女，建议不参加本活动。各参赛单位在大赛正式比赛前负责将《知情同意书》原件交回东胜区竞赛管理委员会办公室。</w:t>
      </w:r>
    </w:p>
    <w:p>
      <w:pPr>
        <w:widowControl/>
        <w:spacing w:line="600" w:lineRule="exact"/>
        <w:ind w:firstLine="640" w:firstLineChars="200"/>
        <w:rPr>
          <w:rFonts w:ascii="楷体" w:hAnsi="楷体" w:eastAsia="楷体" w:cs="楷体"/>
          <w:color w:val="000000"/>
          <w:sz w:val="32"/>
          <w:szCs w:val="32"/>
        </w:rPr>
      </w:pPr>
      <w:r>
        <w:rPr>
          <w:rFonts w:hint="eastAsia" w:ascii="楷体_GB2312" w:hAnsi="楷体" w:eastAsia="楷体_GB2312" w:cs="楷体"/>
          <w:color w:val="000000"/>
          <w:sz w:val="32"/>
          <w:szCs w:val="32"/>
        </w:rPr>
        <w:t>（三）其他事项</w:t>
      </w:r>
    </w:p>
    <w:p>
      <w:pPr>
        <w:widowControl/>
        <w:spacing w:line="6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次活动已纳入慢性病综合防控示范区建设年度考核目标，各单位要认真组织实施，督促参赛人员尽快熟悉活动规则；每个团队至少提交1篇健走中的所见所闻、健走收获等文章；组织开展实地健走、健康讲座等活动；每天上传一次健走数据。正式比赛后，任何团队不得退出，原则上不支持个人退出（个人确因特殊情况退出，会影响团队成绩），不管任何原因，数据未上传到比赛平台即视为无效数据。</w:t>
      </w:r>
    </w:p>
    <w:p>
      <w:pPr>
        <w:widowControl/>
        <w:spacing w:line="600" w:lineRule="exact"/>
        <w:ind w:firstLine="640" w:firstLineChars="200"/>
        <w:rPr>
          <w:rFonts w:ascii="仿宋_GB2312" w:hAnsi="仿宋_GB2312" w:eastAsia="仿宋_GB2312" w:cs="仿宋_GB2312"/>
          <w:color w:val="000000"/>
          <w:kern w:val="0"/>
          <w:sz w:val="32"/>
          <w:szCs w:val="32"/>
        </w:rPr>
      </w:pPr>
    </w:p>
    <w:p>
      <w:pPr>
        <w:widowControl/>
        <w:spacing w:line="600" w:lineRule="exact"/>
        <w:ind w:left="1918" w:leftChars="304" w:hanging="1280" w:hangingChars="4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附件：1.东胜区慢性病综合防控示范区建设成员单位“万步有约”健走激励大赛参赛任务表</w:t>
      </w:r>
    </w:p>
    <w:p>
      <w:pPr>
        <w:widowControl/>
        <w:spacing w:line="600" w:lineRule="exact"/>
        <w:ind w:left="1916" w:leftChars="760" w:hanging="320" w:hangingChars="1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2.东胜区2023年第八届“万步有约”健走激励大赛报名表</w:t>
      </w:r>
    </w:p>
    <w:p>
      <w:pPr>
        <w:widowControl/>
        <w:spacing w:line="600" w:lineRule="exact"/>
        <w:ind w:left="1916" w:leftChars="760" w:hanging="320" w:hangingChars="100"/>
        <w:rPr>
          <w:rFonts w:ascii="仿宋_GB2312" w:hAnsi="仿宋_GB2312" w:eastAsia="仿宋_GB2312" w:cs="仿宋_GB2312"/>
          <w:color w:val="000000"/>
          <w:kern w:val="0"/>
          <w:sz w:val="32"/>
          <w:szCs w:val="32"/>
        </w:rPr>
      </w:pPr>
    </w:p>
    <w:p>
      <w:pPr>
        <w:spacing w:line="600" w:lineRule="exact"/>
        <w:ind w:firstLine="640" w:firstLineChars="200"/>
        <w:rPr>
          <w:rFonts w:ascii="仿宋" w:hAnsi="仿宋" w:eastAsia="仿宋" w:cs="Times New Roman"/>
          <w:color w:val="000000"/>
          <w:sz w:val="32"/>
          <w:szCs w:val="32"/>
        </w:rPr>
      </w:pPr>
    </w:p>
    <w:p>
      <w:pPr>
        <w:spacing w:line="600" w:lineRule="exact"/>
        <w:ind w:firstLine="640" w:firstLineChars="200"/>
        <w:rPr>
          <w:rFonts w:ascii="仿宋" w:hAnsi="仿宋" w:eastAsia="仿宋" w:cs="Times New Roman"/>
          <w:color w:val="000000"/>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p>
    <w:p>
      <w:pPr>
        <w:spacing w:line="600" w:lineRule="exact"/>
        <w:ind w:firstLine="275" w:firstLineChars="98"/>
        <w:rPr>
          <w:rFonts w:ascii="仿宋_GB2312" w:eastAsia="仿宋_GB2312"/>
          <w:sz w:val="28"/>
        </w:rPr>
      </w:pPr>
      <w:r>
        <w:rPr>
          <w:rFonts w:ascii="仿宋_GB2312" w:eastAsia="仿宋_GB2312"/>
          <w:b/>
          <w:bCs/>
          <w:sz w:val="28"/>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5615940" cy="0"/>
                <wp:effectExtent l="0" t="0" r="0" b="0"/>
                <wp:wrapNone/>
                <wp:docPr id="2" name="直线 10"/>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3pt;height:0pt;width:442.2pt;z-index:251659264;mso-width-relative:page;mso-height-relative:page;" filled="f" stroked="t" coordsize="21600,21600" o:gfxdata="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6FW7TAAAABAEA&#10;AA8AAAAAAAAAAQAgAAAAIgAAAGRycy9kb3ducmV2LnhtbFBLAQIUABQAAAAIAIdO4kD3f1xs5gEA&#10;ANwDAAAOAAAAAAAAAAEAIAAAACIBAABkcnMvZTJvRG9jLnhtbFBLBQYAAAAABgAGAFkBAAB6BQAA&#10;AAA=&#10;">
                <v:fill on="f" focussize="0,0"/>
                <v:stroke color="#000000" joinstyle="round"/>
                <v:imagedata o:title=""/>
                <o:lock v:ext="edit" aspectratio="f"/>
              </v:line>
            </w:pict>
          </mc:Fallback>
        </mc:AlternateContent>
      </w:r>
      <w:r>
        <w:rPr>
          <w:rFonts w:ascii="仿宋_GB2312" w:eastAsia="仿宋_GB2312"/>
          <w:b/>
          <w:bCs/>
          <w:sz w:val="28"/>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418465</wp:posOffset>
                </wp:positionV>
                <wp:extent cx="5615940" cy="0"/>
                <wp:effectExtent l="0" t="0" r="0" b="0"/>
                <wp:wrapNone/>
                <wp:docPr id="3" name="直线 9"/>
                <wp:cNvGraphicFramePr/>
                <a:graphic xmlns:a="http://schemas.openxmlformats.org/drawingml/2006/main">
                  <a:graphicData uri="http://schemas.microsoft.com/office/word/2010/wordprocessingShape">
                    <wps:wsp>
                      <wps:cNvSp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32.95pt;height:0pt;width:442.2pt;z-index:251659264;mso-width-relative:page;mso-height-relative:page;" filled="f" stroked="t" coordsize="21600,21600" o:gfxdata="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IOSEzUAAAA&#10;BgEAAA8AAAAAAAAAAQAgAAAAIgAAAGRycy9kb3ducmV2LnhtbFBLAQIUABQAAAAIAIdO4kBmOMJC&#10;6AEAANs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eastAsia="仿宋_GB2312"/>
          <w:sz w:val="28"/>
          <w:szCs w:val="32"/>
        </w:rPr>
        <w:t>鄂尔多斯市东胜区人民政府办公室</w:t>
      </w:r>
      <w:r>
        <w:rPr>
          <w:rFonts w:hint="eastAsia" w:ascii="仿宋_GB2312"/>
          <w:sz w:val="28"/>
        </w:rPr>
        <w:t xml:space="preserve"> </w:t>
      </w:r>
      <w:r>
        <w:rPr>
          <w:rFonts w:ascii="仿宋_GB2312"/>
          <w:sz w:val="28"/>
        </w:rPr>
        <w:t xml:space="preserve">  </w:t>
      </w:r>
      <w:r>
        <w:rPr>
          <w:rFonts w:hint="eastAsia" w:ascii="仿宋_GB2312"/>
          <w:sz w:val="28"/>
        </w:rPr>
        <w:t xml:space="preserve">       </w:t>
      </w:r>
      <w:r>
        <w:rPr>
          <w:rFonts w:ascii="仿宋_GB2312" w:hAnsi="宋体" w:eastAsia="仿宋_GB2312"/>
          <w:sz w:val="28"/>
          <w:szCs w:val="32"/>
        </w:rPr>
        <w:t>20</w:t>
      </w:r>
      <w:r>
        <w:rPr>
          <w:rFonts w:hint="eastAsia" w:ascii="仿宋_GB2312" w:hAnsi="宋体" w:eastAsia="仿宋_GB2312"/>
          <w:sz w:val="28"/>
          <w:szCs w:val="32"/>
        </w:rPr>
        <w:t>23年4月19日</w:t>
      </w:r>
      <w:r>
        <w:rPr>
          <w:rFonts w:hint="eastAsia" w:ascii="仿宋_GB2312" w:eastAsia="仿宋_GB2312"/>
          <w:sz w:val="28"/>
          <w:szCs w:val="32"/>
        </w:rPr>
        <w:t>印发</w:t>
      </w:r>
    </w:p>
    <w:p>
      <w:pPr>
        <w:widowControl/>
        <w:spacing w:line="60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附件1</w:t>
      </w:r>
    </w:p>
    <w:p>
      <w:pPr>
        <w:widowControl/>
        <w:spacing w:line="600" w:lineRule="exact"/>
        <w:jc w:val="left"/>
        <w:rPr>
          <w:rFonts w:ascii="黑体" w:hAnsi="黑体" w:eastAsia="黑体"/>
          <w:color w:val="000000"/>
          <w:kern w:val="0"/>
          <w:sz w:val="32"/>
          <w:szCs w:val="32"/>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东胜区慢性病综合防控示范区建设成员单位“万步有约”健走激励大赛参赛任务表</w:t>
      </w:r>
    </w:p>
    <w:tbl>
      <w:tblPr>
        <w:tblStyle w:val="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4707"/>
        <w:gridCol w:w="147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序号</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单位</w:t>
            </w:r>
          </w:p>
        </w:tc>
        <w:tc>
          <w:tcPr>
            <w:tcW w:w="1477" w:type="dxa"/>
          </w:tcPr>
          <w:p>
            <w:pPr>
              <w:spacing w:line="600" w:lineRule="exact"/>
              <w:rPr>
                <w:rFonts w:ascii="仿宋" w:hAnsi="仿宋" w:eastAsia="仿宋" w:cs="仿宋"/>
                <w:color w:val="000000"/>
                <w:sz w:val="32"/>
                <w:szCs w:val="32"/>
              </w:rPr>
            </w:pPr>
            <w:r>
              <w:rPr>
                <w:rFonts w:hint="eastAsia" w:ascii="仿宋" w:hAnsi="仿宋" w:eastAsia="仿宋" w:cs="仿宋"/>
                <w:color w:val="000000"/>
                <w:sz w:val="32"/>
                <w:szCs w:val="32"/>
              </w:rPr>
              <w:t>参赛队伍（个）</w:t>
            </w:r>
          </w:p>
        </w:tc>
        <w:tc>
          <w:tcPr>
            <w:tcW w:w="1610"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参赛人数（人）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东胜区总工会</w:t>
            </w:r>
          </w:p>
        </w:tc>
        <w:tc>
          <w:tcPr>
            <w:tcW w:w="1477" w:type="dxa"/>
          </w:tcPr>
          <w:p>
            <w:pPr>
              <w:spacing w:line="600" w:lineRule="exact"/>
              <w:jc w:val="center"/>
              <w:rPr>
                <w:rFonts w:ascii="仿宋" w:hAnsi="仿宋" w:eastAsia="仿宋" w:cs="Times New Roman"/>
                <w:color w:val="000000"/>
                <w:sz w:val="32"/>
              </w:rPr>
            </w:pPr>
            <w:r>
              <w:rPr>
                <w:rFonts w:hint="eastAsia" w:ascii="仿宋" w:hAnsi="仿宋" w:eastAsia="仿宋" w:cs="Times New Roman"/>
                <w:color w:val="000000"/>
                <w:sz w:val="32"/>
              </w:rPr>
              <w:t>1</w:t>
            </w:r>
          </w:p>
        </w:tc>
        <w:tc>
          <w:tcPr>
            <w:tcW w:w="1610" w:type="dxa"/>
            <w:vMerge w:val="restart"/>
            <w:vAlign w:val="center"/>
          </w:tcPr>
          <w:p>
            <w:pPr>
              <w:spacing w:line="600" w:lineRule="exact"/>
              <w:jc w:val="center"/>
              <w:rPr>
                <w:rFonts w:ascii="仿宋" w:hAnsi="仿宋" w:eastAsia="仿宋" w:cs="仿宋"/>
                <w:color w:val="000000"/>
                <w:sz w:val="32"/>
                <w:szCs w:val="32"/>
              </w:rPr>
            </w:pPr>
            <w:r>
              <w:rPr>
                <w:rFonts w:hint="eastAsia" w:ascii="仿宋" w:hAnsi="仿宋" w:eastAsia="仿宋" w:cs="仿宋"/>
                <w:bCs/>
                <w:color w:val="000000"/>
                <w:sz w:val="32"/>
                <w:szCs w:val="32"/>
              </w:rPr>
              <w:t>每队10-20人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东胜区发改委</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东胜区教体局</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4</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东胜区民政局</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5</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东胜区卫健委</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6</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东胜区市场监督管理局</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7</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东胜区医保局</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8</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东胜区园林绿化发展中心</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9</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东胜区城市管理综合行政执法局</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10</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东胜区公安分局</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3</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11</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东胜区交通街道办事处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12</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东胜区天骄街道办事处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13</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东胜区幸福街道办事处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14</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东胜区纺织街道办事处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15</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东胜区林荫街道办事处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16</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东胜区民族街道办事处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17</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东胜区兴胜街道办事处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18</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东胜区巴音门克街道办事处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19</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东胜区诃额伦街道办事处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20</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东胜区富兴街道办事处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21</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东胜区公园街道办事处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22</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东胜区建设街道办事处</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23</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东胜区泊江海镇</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24</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东胜区罕台镇</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5"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25</w:t>
            </w:r>
          </w:p>
        </w:tc>
        <w:tc>
          <w:tcPr>
            <w:tcW w:w="4707" w:type="dxa"/>
          </w:tcPr>
          <w:p>
            <w:pPr>
              <w:spacing w:line="600" w:lineRule="exact"/>
              <w:jc w:val="center"/>
              <w:rPr>
                <w:rFonts w:ascii="仿宋" w:hAnsi="仿宋" w:eastAsia="仿宋" w:cs="仿宋"/>
                <w:color w:val="000000"/>
                <w:sz w:val="32"/>
                <w:szCs w:val="32"/>
              </w:rPr>
            </w:pPr>
            <w:r>
              <w:rPr>
                <w:rFonts w:hint="eastAsia" w:ascii="仿宋" w:hAnsi="仿宋" w:eastAsia="仿宋" w:cs="仿宋"/>
                <w:color w:val="000000"/>
                <w:sz w:val="32"/>
                <w:szCs w:val="32"/>
              </w:rPr>
              <w:t>东胜区铜川镇</w:t>
            </w:r>
          </w:p>
        </w:tc>
        <w:tc>
          <w:tcPr>
            <w:tcW w:w="1477" w:type="dxa"/>
          </w:tcPr>
          <w:p>
            <w:pPr>
              <w:spacing w:line="600" w:lineRule="exact"/>
              <w:jc w:val="center"/>
              <w:rPr>
                <w:rFonts w:ascii="仿宋" w:hAnsi="仿宋" w:eastAsia="仿宋" w:cs="仿宋"/>
                <w:color w:val="000000"/>
                <w:sz w:val="32"/>
                <w:szCs w:val="32"/>
              </w:rPr>
            </w:pPr>
            <w:r>
              <w:rPr>
                <w:rFonts w:hint="eastAsia" w:ascii="仿宋" w:hAnsi="仿宋" w:eastAsia="仿宋" w:cs="Times New Roman"/>
                <w:color w:val="000000"/>
                <w:sz w:val="32"/>
              </w:rPr>
              <w:t>1</w:t>
            </w:r>
          </w:p>
        </w:tc>
        <w:tc>
          <w:tcPr>
            <w:tcW w:w="1610" w:type="dxa"/>
            <w:vMerge w:val="continue"/>
          </w:tcPr>
          <w:p>
            <w:pPr>
              <w:spacing w:line="600" w:lineRule="exact"/>
              <w:jc w:val="center"/>
              <w:rPr>
                <w:rFonts w:ascii="仿宋" w:hAnsi="仿宋" w:eastAsia="仿宋" w:cs="仿宋"/>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519" w:type="dxa"/>
            <w:gridSpan w:val="4"/>
          </w:tcPr>
          <w:p>
            <w:pPr>
              <w:spacing w:line="600" w:lineRule="exact"/>
              <w:jc w:val="center"/>
              <w:rPr>
                <w:rFonts w:ascii="仿宋" w:hAnsi="仿宋" w:eastAsia="仿宋" w:cs="仿宋"/>
                <w:color w:val="000000"/>
                <w:sz w:val="32"/>
                <w:szCs w:val="32"/>
              </w:rPr>
            </w:pPr>
            <w:r>
              <w:rPr>
                <w:rFonts w:hint="eastAsia" w:ascii="仿宋" w:hAnsi="仿宋" w:eastAsia="仿宋" w:cs="仿宋"/>
                <w:bCs/>
                <w:color w:val="000000"/>
                <w:sz w:val="32"/>
                <w:szCs w:val="32"/>
              </w:rPr>
              <w:t>东胜区其他</w:t>
            </w:r>
            <w:r>
              <w:rPr>
                <w:rFonts w:hint="eastAsia" w:ascii="仿宋" w:hAnsi="仿宋" w:eastAsia="仿宋" w:cs="Times New Roman"/>
                <w:color w:val="000000"/>
                <w:sz w:val="32"/>
              </w:rPr>
              <w:t>部门、单位</w:t>
            </w:r>
            <w:r>
              <w:rPr>
                <w:rFonts w:hint="eastAsia" w:ascii="仿宋" w:hAnsi="仿宋" w:eastAsia="仿宋" w:cs="仿宋"/>
                <w:bCs/>
                <w:color w:val="000000"/>
                <w:sz w:val="32"/>
                <w:szCs w:val="32"/>
              </w:rPr>
              <w:t>积极组队参赛。</w:t>
            </w:r>
          </w:p>
        </w:tc>
      </w:tr>
    </w:tbl>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pPr>
    </w:p>
    <w:p>
      <w:pPr>
        <w:spacing w:line="600" w:lineRule="exact"/>
        <w:rPr>
          <w:rFonts w:ascii="仿宋" w:hAnsi="仿宋" w:eastAsia="仿宋" w:cs="Times New Roman"/>
          <w:color w:val="000000"/>
          <w:sz w:val="32"/>
          <w:szCs w:val="32"/>
        </w:rPr>
        <w:sectPr>
          <w:type w:val="continuous"/>
          <w:pgSz w:w="11906" w:h="16838"/>
          <w:pgMar w:top="2098" w:right="1474" w:bottom="1985" w:left="1588" w:header="851" w:footer="1191" w:gutter="0"/>
          <w:pgNumType w:fmt="numberInDash"/>
          <w:cols w:space="720" w:num="1"/>
          <w:docGrid w:type="lines" w:linePitch="312" w:charSpace="0"/>
        </w:sectPr>
      </w:pPr>
    </w:p>
    <w:p>
      <w:pPr>
        <w:widowControl/>
        <w:spacing w:line="600" w:lineRule="exact"/>
        <w:jc w:val="left"/>
        <w:rPr>
          <w:rFonts w:ascii="黑体" w:hAnsi="黑体" w:eastAsia="黑体"/>
          <w:color w:val="000000"/>
          <w:kern w:val="0"/>
          <w:sz w:val="32"/>
          <w:szCs w:val="32"/>
        </w:rPr>
      </w:pPr>
      <w:r>
        <w:rPr>
          <w:rFonts w:hint="eastAsia" w:ascii="黑体" w:hAnsi="黑体" w:eastAsia="黑体"/>
          <w:color w:val="000000"/>
          <w:kern w:val="0"/>
          <w:sz w:val="32"/>
          <w:szCs w:val="32"/>
        </w:rPr>
        <w:t>附件2</w:t>
      </w:r>
    </w:p>
    <w:p>
      <w:pPr>
        <w:widowControl/>
        <w:spacing w:line="300" w:lineRule="exact"/>
        <w:jc w:val="left"/>
        <w:rPr>
          <w:rFonts w:ascii="黑体" w:hAnsi="黑体" w:eastAsia="黑体"/>
          <w:color w:val="000000"/>
          <w:kern w:val="0"/>
          <w:sz w:val="30"/>
          <w:szCs w:val="30"/>
        </w:rPr>
      </w:pPr>
    </w:p>
    <w:p>
      <w:pPr>
        <w:widowControl/>
        <w:spacing w:line="600" w:lineRule="exact"/>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东胜区2023年第八届“万步有约”健走激励大赛报名表</w:t>
      </w:r>
    </w:p>
    <w:tbl>
      <w:tblPr>
        <w:tblStyle w:val="9"/>
        <w:tblpPr w:leftFromText="180" w:rightFromText="180" w:vertAnchor="text" w:horzAnchor="page" w:tblpX="1387" w:tblpY="240"/>
        <w:tblOverlap w:val="never"/>
        <w:tblW w:w="15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288"/>
        <w:gridCol w:w="1412"/>
        <w:gridCol w:w="1412"/>
        <w:gridCol w:w="976"/>
        <w:gridCol w:w="1216"/>
        <w:gridCol w:w="636"/>
        <w:gridCol w:w="1061"/>
        <w:gridCol w:w="1061"/>
        <w:gridCol w:w="1061"/>
        <w:gridCol w:w="1061"/>
        <w:gridCol w:w="1064"/>
        <w:gridCol w:w="1064"/>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7"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序号</w:t>
            </w:r>
          </w:p>
        </w:tc>
        <w:tc>
          <w:tcPr>
            <w:tcW w:w="1288"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姓名</w:t>
            </w:r>
          </w:p>
        </w:tc>
        <w:tc>
          <w:tcPr>
            <w:tcW w:w="1412" w:type="dxa"/>
            <w:vAlign w:val="center"/>
          </w:tcPr>
          <w:p>
            <w:pPr>
              <w:spacing w:line="240" w:lineRule="exact"/>
              <w:jc w:val="center"/>
              <w:rPr>
                <w:rFonts w:hint="eastAsia" w:ascii="仿宋_GB2312" w:hAnsi="仿宋_GB2312" w:eastAsia="仿宋_GB2312" w:cs="仿宋_GB2312"/>
              </w:rPr>
            </w:pPr>
          </w:p>
        </w:tc>
        <w:tc>
          <w:tcPr>
            <w:tcW w:w="1412"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万步网用户名（已有计步器人员填写）</w:t>
            </w:r>
          </w:p>
        </w:tc>
        <w:tc>
          <w:tcPr>
            <w:tcW w:w="976"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团队</w:t>
            </w:r>
          </w:p>
          <w:p>
            <w:pPr>
              <w:spacing w:line="240" w:lineRule="exact"/>
              <w:jc w:val="center"/>
              <w:rPr>
                <w:rFonts w:ascii="仿宋_GB2312" w:hAnsi="仿宋_GB2312" w:eastAsia="仿宋_GB2312" w:cs="仿宋_GB2312"/>
              </w:rPr>
            </w:pPr>
            <w:r>
              <w:rPr>
                <w:rFonts w:hint="eastAsia" w:ascii="仿宋_GB2312" w:hAnsi="仿宋_GB2312" w:eastAsia="仿宋_GB2312" w:cs="仿宋_GB2312"/>
              </w:rPr>
              <w:t>名称</w:t>
            </w:r>
          </w:p>
        </w:tc>
        <w:tc>
          <w:tcPr>
            <w:tcW w:w="1216"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手机</w:t>
            </w:r>
          </w:p>
          <w:p>
            <w:pPr>
              <w:spacing w:line="240" w:lineRule="exact"/>
              <w:jc w:val="center"/>
              <w:rPr>
                <w:rFonts w:ascii="仿宋_GB2312" w:hAnsi="仿宋_GB2312" w:eastAsia="仿宋_GB2312" w:cs="仿宋_GB2312"/>
              </w:rPr>
            </w:pPr>
            <w:r>
              <w:rPr>
                <w:rFonts w:hint="eastAsia" w:ascii="仿宋_GB2312" w:hAnsi="仿宋_GB2312" w:eastAsia="仿宋_GB2312" w:cs="仿宋_GB2312"/>
              </w:rPr>
              <w:t>号码</w:t>
            </w:r>
          </w:p>
        </w:tc>
        <w:tc>
          <w:tcPr>
            <w:tcW w:w="636"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性别</w:t>
            </w:r>
          </w:p>
        </w:tc>
        <w:tc>
          <w:tcPr>
            <w:tcW w:w="1061"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出生</w:t>
            </w:r>
          </w:p>
          <w:p>
            <w:pPr>
              <w:spacing w:line="240" w:lineRule="exact"/>
              <w:jc w:val="center"/>
              <w:rPr>
                <w:rFonts w:ascii="仿宋_GB2312" w:hAnsi="仿宋_GB2312" w:eastAsia="仿宋_GB2312" w:cs="仿宋_GB2312"/>
              </w:rPr>
            </w:pPr>
            <w:r>
              <w:rPr>
                <w:rFonts w:hint="eastAsia" w:ascii="仿宋_GB2312" w:hAnsi="仿宋_GB2312" w:eastAsia="仿宋_GB2312" w:cs="仿宋_GB2312"/>
              </w:rPr>
              <w:t>年月</w:t>
            </w:r>
          </w:p>
        </w:tc>
        <w:tc>
          <w:tcPr>
            <w:tcW w:w="1061"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身高（cm）</w:t>
            </w:r>
          </w:p>
        </w:tc>
        <w:tc>
          <w:tcPr>
            <w:tcW w:w="1061"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体重（kg）</w:t>
            </w:r>
          </w:p>
        </w:tc>
        <w:tc>
          <w:tcPr>
            <w:tcW w:w="1061"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所属</w:t>
            </w:r>
          </w:p>
          <w:p>
            <w:pPr>
              <w:spacing w:line="240" w:lineRule="exact"/>
              <w:jc w:val="center"/>
              <w:rPr>
                <w:rFonts w:ascii="仿宋_GB2312" w:hAnsi="仿宋_GB2312" w:eastAsia="仿宋_GB2312" w:cs="仿宋_GB2312"/>
              </w:rPr>
            </w:pPr>
            <w:r>
              <w:rPr>
                <w:rFonts w:hint="eastAsia" w:ascii="仿宋_GB2312" w:hAnsi="仿宋_GB2312" w:eastAsia="仿宋_GB2312" w:cs="仿宋_GB2312"/>
              </w:rPr>
              <w:t>单位</w:t>
            </w:r>
          </w:p>
        </w:tc>
        <w:tc>
          <w:tcPr>
            <w:tcW w:w="1064"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职务</w:t>
            </w:r>
          </w:p>
        </w:tc>
        <w:tc>
          <w:tcPr>
            <w:tcW w:w="1064"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单位</w:t>
            </w:r>
          </w:p>
          <w:p>
            <w:pPr>
              <w:spacing w:line="240" w:lineRule="exact"/>
              <w:jc w:val="center"/>
              <w:rPr>
                <w:rFonts w:ascii="仿宋_GB2312" w:hAnsi="仿宋_GB2312" w:eastAsia="仿宋_GB2312" w:cs="仿宋_GB2312"/>
              </w:rPr>
            </w:pPr>
            <w:r>
              <w:rPr>
                <w:rFonts w:hint="eastAsia" w:ascii="仿宋_GB2312" w:hAnsi="仿宋_GB2312" w:eastAsia="仿宋_GB2312" w:cs="仿宋_GB2312"/>
              </w:rPr>
              <w:t>地址</w:t>
            </w:r>
          </w:p>
        </w:tc>
        <w:tc>
          <w:tcPr>
            <w:tcW w:w="1064" w:type="dxa"/>
            <w:vAlign w:val="center"/>
          </w:tcPr>
          <w:p>
            <w:pPr>
              <w:spacing w:line="240" w:lineRule="exact"/>
              <w:jc w:val="center"/>
              <w:rPr>
                <w:rFonts w:ascii="仿宋_GB2312" w:hAnsi="仿宋_GB2312" w:eastAsia="仿宋_GB2312" w:cs="仿宋_GB2312"/>
              </w:rPr>
            </w:pPr>
            <w:r>
              <w:rPr>
                <w:rFonts w:hint="eastAsia" w:ascii="仿宋_GB2312" w:hAnsi="仿宋_GB2312" w:eastAsia="仿宋_GB2312" w:cs="仿宋_GB2312"/>
              </w:rPr>
              <w:t>是否为队长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1</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2</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3</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4</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5</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6</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7</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8</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9</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37" w:type="dxa"/>
          </w:tcPr>
          <w:p>
            <w:pPr>
              <w:spacing w:line="500" w:lineRule="exact"/>
              <w:jc w:val="center"/>
              <w:rPr>
                <w:rFonts w:ascii="仿宋_GB2312" w:hAnsi="仿宋_GB2312" w:eastAsia="仿宋_GB2312" w:cs="仿宋_GB2312"/>
              </w:rPr>
            </w:pPr>
            <w:r>
              <w:rPr>
                <w:rFonts w:hint="eastAsia" w:ascii="仿宋_GB2312" w:hAnsi="仿宋_GB2312" w:eastAsia="仿宋_GB2312" w:cs="仿宋_GB2312"/>
              </w:rPr>
              <w:t>10</w:t>
            </w:r>
          </w:p>
        </w:tc>
        <w:tc>
          <w:tcPr>
            <w:tcW w:w="1288"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1412" w:type="dxa"/>
          </w:tcPr>
          <w:p>
            <w:pPr>
              <w:spacing w:line="500" w:lineRule="exact"/>
              <w:jc w:val="center"/>
              <w:rPr>
                <w:rFonts w:ascii="仿宋_GB2312" w:hAnsi="仿宋_GB2312" w:eastAsia="仿宋_GB2312" w:cs="仿宋_GB2312"/>
              </w:rPr>
            </w:pPr>
          </w:p>
        </w:tc>
        <w:tc>
          <w:tcPr>
            <w:tcW w:w="976" w:type="dxa"/>
          </w:tcPr>
          <w:p>
            <w:pPr>
              <w:spacing w:line="500" w:lineRule="exact"/>
              <w:jc w:val="center"/>
              <w:rPr>
                <w:rFonts w:ascii="仿宋_GB2312" w:hAnsi="仿宋_GB2312" w:eastAsia="仿宋_GB2312" w:cs="仿宋_GB2312"/>
              </w:rPr>
            </w:pPr>
          </w:p>
        </w:tc>
        <w:tc>
          <w:tcPr>
            <w:tcW w:w="1216" w:type="dxa"/>
          </w:tcPr>
          <w:p>
            <w:pPr>
              <w:spacing w:line="500" w:lineRule="exact"/>
              <w:jc w:val="center"/>
              <w:rPr>
                <w:rFonts w:ascii="仿宋_GB2312" w:hAnsi="仿宋_GB2312" w:eastAsia="仿宋_GB2312" w:cs="仿宋_GB2312"/>
              </w:rPr>
            </w:pPr>
          </w:p>
        </w:tc>
        <w:tc>
          <w:tcPr>
            <w:tcW w:w="636"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1"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c>
          <w:tcPr>
            <w:tcW w:w="1064" w:type="dxa"/>
          </w:tcPr>
          <w:p>
            <w:pPr>
              <w:spacing w:line="500" w:lineRule="exact"/>
              <w:jc w:val="center"/>
              <w:rPr>
                <w:rFonts w:ascii="仿宋_GB2312" w:hAnsi="仿宋_GB2312" w:eastAsia="仿宋_GB2312" w:cs="仿宋_GB2312"/>
              </w:rPr>
            </w:pPr>
          </w:p>
        </w:tc>
      </w:tr>
    </w:tbl>
    <w:p>
      <w:pPr>
        <w:snapToGrid w:val="0"/>
        <w:spacing w:line="600" w:lineRule="exact"/>
        <w:rPr>
          <w:rFonts w:ascii="仿宋_GB2312" w:hAnsi="仿宋_GB2312" w:eastAsia="仿宋_GB2312" w:cs="仿宋_GB2312"/>
          <w:color w:val="000000"/>
          <w:sz w:val="32"/>
        </w:rPr>
      </w:pPr>
    </w:p>
    <w:sectPr>
      <w:pgSz w:w="16838" w:h="11906" w:orient="landscape"/>
      <w:pgMar w:top="2098" w:right="1474" w:bottom="1134" w:left="1588" w:header="851" w:footer="119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4 -</w:t>
    </w:r>
    <w:r>
      <w:rPr>
        <w:rFonts w:asciiTheme="majorEastAsia" w:hAnsiTheme="majorEastAsia" w:eastAsiaTheme="majorEastAsia"/>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C9600F"/>
    <w:multiLevelType w:val="multilevel"/>
    <w:tmpl w:val="76C9600F"/>
    <w:lvl w:ilvl="0" w:tentative="0">
      <w:start w:val="1"/>
      <w:numFmt w:val="chineseCountingThousand"/>
      <w:suff w:val="nothing"/>
      <w:lvlText w:val="%1、"/>
      <w:lvlJc w:val="left"/>
      <w:pPr>
        <w:ind w:left="0" w:firstLine="400"/>
      </w:pPr>
      <w:rPr>
        <w:rFonts w:hint="eastAsia"/>
      </w:rPr>
    </w:lvl>
    <w:lvl w:ilvl="1" w:tentative="0">
      <w:start w:val="1"/>
      <w:numFmt w:val="chineseCountingThousand"/>
      <w:pStyle w:val="3"/>
      <w:suff w:val="nothing"/>
      <w:lvlText w:val="（%2）"/>
      <w:lvlJc w:val="left"/>
      <w:pPr>
        <w:ind w:left="0" w:firstLine="403"/>
      </w:pPr>
      <w:rPr>
        <w:rFonts w:hint="eastAsia" w:ascii="楷体" w:hAnsi="楷体" w:eastAsia="楷体"/>
        <w:b w:val="0"/>
        <w:i w:val="0"/>
        <w:sz w:val="32"/>
      </w:rPr>
    </w:lvl>
    <w:lvl w:ilvl="2" w:tentative="0">
      <w:start w:val="1"/>
      <w:numFmt w:val="decimal"/>
      <w:suff w:val="nothing"/>
      <w:lvlText w:val="%3．"/>
      <w:lvlJc w:val="left"/>
      <w:pPr>
        <w:ind w:left="0" w:firstLine="403"/>
      </w:pPr>
      <w:rPr>
        <w:rFonts w:hint="eastAsia" w:ascii="仿宋" w:hAnsi="仿宋" w:eastAsia="仿宋"/>
        <w:b w:val="0"/>
        <w:i w:val="0"/>
        <w:sz w:val="32"/>
      </w:rPr>
    </w:lvl>
    <w:lvl w:ilvl="3" w:tentative="0">
      <w:start w:val="1"/>
      <w:numFmt w:val="decimal"/>
      <w:pStyle w:val="5"/>
      <w:suff w:val="nothing"/>
      <w:lvlText w:val="（%4）"/>
      <w:lvlJc w:val="left"/>
      <w:pPr>
        <w:ind w:left="69" w:firstLine="640"/>
      </w:pPr>
      <w:rPr>
        <w:rFonts w:hint="eastAsia" w:ascii="仿宋" w:hAnsi="仿宋" w:eastAsia="仿宋"/>
        <w:b w:val="0"/>
        <w:i w:val="0"/>
        <w:sz w:val="24"/>
        <w:szCs w:val="24"/>
      </w:rPr>
    </w:lvl>
    <w:lvl w:ilvl="4" w:tentative="0">
      <w:start w:val="1"/>
      <w:numFmt w:val="lowerLetter"/>
      <w:lvlText w:val="%5)"/>
      <w:lvlJc w:val="left"/>
      <w:pPr>
        <w:tabs>
          <w:tab w:val="left" w:pos="403"/>
        </w:tabs>
        <w:ind w:left="0" w:firstLine="403"/>
      </w:pPr>
      <w:rPr>
        <w:rFonts w:hint="eastAsia"/>
      </w:rPr>
    </w:lvl>
    <w:lvl w:ilvl="5" w:tentative="0">
      <w:start w:val="1"/>
      <w:numFmt w:val="decimal"/>
      <w:lvlText w:val="%6."/>
      <w:lvlJc w:val="left"/>
      <w:pPr>
        <w:tabs>
          <w:tab w:val="left" w:pos="403"/>
        </w:tabs>
        <w:ind w:left="640" w:firstLine="403"/>
      </w:pPr>
      <w:rPr>
        <w:rFonts w:hint="eastAsia"/>
      </w:rPr>
    </w:lvl>
    <w:lvl w:ilvl="6" w:tentative="0">
      <w:start w:val="1"/>
      <w:numFmt w:val="decimal"/>
      <w:lvlText w:val="%7."/>
      <w:lvlJc w:val="left"/>
      <w:pPr>
        <w:tabs>
          <w:tab w:val="left" w:pos="403"/>
        </w:tabs>
        <w:ind w:left="0" w:firstLine="403"/>
      </w:pPr>
      <w:rPr>
        <w:rFonts w:hint="eastAsia"/>
      </w:rPr>
    </w:lvl>
    <w:lvl w:ilvl="7" w:tentative="0">
      <w:start w:val="1"/>
      <w:numFmt w:val="lowerLetter"/>
      <w:lvlText w:val="%8)"/>
      <w:lvlJc w:val="left"/>
      <w:pPr>
        <w:tabs>
          <w:tab w:val="left" w:pos="403"/>
        </w:tabs>
        <w:ind w:left="0" w:firstLine="403"/>
      </w:pPr>
      <w:rPr>
        <w:rFonts w:hint="eastAsia"/>
      </w:rPr>
    </w:lvl>
    <w:lvl w:ilvl="8" w:tentative="0">
      <w:start w:val="1"/>
      <w:numFmt w:val="lowerRoman"/>
      <w:lvlText w:val="%9."/>
      <w:lvlJc w:val="right"/>
      <w:pPr>
        <w:tabs>
          <w:tab w:val="left" w:pos="403"/>
        </w:tabs>
        <w:ind w:left="0" w:firstLine="40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yMWUxYWY1MGJlYjJiN2NmYmRjMDBkZGU1NmMzM2IifQ=="/>
  </w:docVars>
  <w:rsids>
    <w:rsidRoot w:val="00996833"/>
    <w:rsid w:val="000620B8"/>
    <w:rsid w:val="00190BDD"/>
    <w:rsid w:val="00280063"/>
    <w:rsid w:val="00325ED6"/>
    <w:rsid w:val="00470809"/>
    <w:rsid w:val="005644DE"/>
    <w:rsid w:val="006948F3"/>
    <w:rsid w:val="007F59DC"/>
    <w:rsid w:val="0089739B"/>
    <w:rsid w:val="00996833"/>
    <w:rsid w:val="00CA35B5"/>
    <w:rsid w:val="00EE08FB"/>
    <w:rsid w:val="695E7C62"/>
    <w:rsid w:val="7FBFB38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2" w:semiHidden="0" w:name="heading 2"/>
    <w:lsdException w:qFormat="1" w:unhideWhenUsed="0" w:uiPriority="3" w:semiHidden="0" w:name="heading 3"/>
    <w:lsdException w:qFormat="1" w:unhideWhenUsed="0" w:uiPriority="4"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1"/>
    <w:pPr>
      <w:keepNext/>
      <w:keepLines/>
      <w:outlineLvl w:val="0"/>
    </w:pPr>
    <w:rPr>
      <w:rFonts w:ascii="Times New Roman" w:hAnsi="Times New Roman" w:eastAsia="黑体" w:cs="Times New Roman"/>
      <w:bCs/>
      <w:kern w:val="44"/>
      <w:sz w:val="32"/>
      <w:szCs w:val="44"/>
    </w:rPr>
  </w:style>
  <w:style w:type="paragraph" w:styleId="3">
    <w:name w:val="heading 2"/>
    <w:basedOn w:val="2"/>
    <w:next w:val="1"/>
    <w:qFormat/>
    <w:uiPriority w:val="2"/>
    <w:pPr>
      <w:numPr>
        <w:ilvl w:val="1"/>
        <w:numId w:val="1"/>
      </w:numPr>
      <w:outlineLvl w:val="1"/>
    </w:pPr>
    <w:rPr>
      <w:rFonts w:ascii="Calibri Light" w:hAnsi="Calibri Light" w:eastAsia="楷体"/>
      <w:bCs w:val="0"/>
      <w:szCs w:val="32"/>
    </w:rPr>
  </w:style>
  <w:style w:type="paragraph" w:styleId="4">
    <w:name w:val="heading 3"/>
    <w:basedOn w:val="1"/>
    <w:next w:val="1"/>
    <w:qFormat/>
    <w:uiPriority w:val="3"/>
    <w:pPr>
      <w:keepNext/>
      <w:keepLines/>
      <w:jc w:val="left"/>
      <w:outlineLvl w:val="2"/>
    </w:pPr>
    <w:rPr>
      <w:rFonts w:ascii="仿宋" w:hAnsi="仿宋" w:eastAsia="仿宋" w:cs="Times New Roman"/>
      <w:bCs/>
      <w:sz w:val="32"/>
      <w:szCs w:val="32"/>
    </w:rPr>
  </w:style>
  <w:style w:type="paragraph" w:styleId="5">
    <w:name w:val="heading 4"/>
    <w:basedOn w:val="1"/>
    <w:next w:val="1"/>
    <w:qFormat/>
    <w:uiPriority w:val="4"/>
    <w:pPr>
      <w:keepNext/>
      <w:keepLines/>
      <w:numPr>
        <w:ilvl w:val="3"/>
        <w:numId w:val="1"/>
      </w:numPr>
      <w:outlineLvl w:val="3"/>
    </w:pPr>
    <w:rPr>
      <w:rFonts w:ascii="仿宋" w:hAnsi="仿宋" w:eastAsia="仿宋" w:cs="Times New Roman"/>
      <w:bCs/>
      <w:sz w:val="32"/>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7"/>
    <w:unhideWhenUsed/>
    <w:qFormat/>
    <w:uiPriority w:val="99"/>
    <w:pPr>
      <w:tabs>
        <w:tab w:val="center" w:pos="4153"/>
        <w:tab w:val="right" w:pos="8306"/>
      </w:tabs>
      <w:snapToGrid w:val="0"/>
      <w:jc w:val="left"/>
    </w:pPr>
    <w:rPr>
      <w:rFonts w:ascii="仿宋" w:hAnsi="仿宋" w:eastAsia="仿宋" w:cs="Times New Roman"/>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rFonts w:ascii="仿宋" w:hAnsi="仿宋" w:eastAsia="仿宋" w:cs="Times New Roman"/>
      <w:sz w:val="18"/>
      <w:szCs w:val="18"/>
    </w:rPr>
  </w:style>
  <w:style w:type="paragraph" w:styleId="8">
    <w:name w:val="Body Text 2"/>
    <w:basedOn w:val="1"/>
    <w:qFormat/>
    <w:uiPriority w:val="0"/>
    <w:pPr>
      <w:spacing w:after="120" w:line="480" w:lineRule="auto"/>
    </w:pPr>
  </w:style>
  <w:style w:type="character" w:styleId="11">
    <w:name w:val="page number"/>
    <w:unhideWhenUsed/>
    <w:qFormat/>
    <w:uiPriority w:val="99"/>
  </w:style>
  <w:style w:type="character" w:styleId="12">
    <w:name w:val="Hyperlink"/>
    <w:unhideWhenUsed/>
    <w:qFormat/>
    <w:uiPriority w:val="99"/>
    <w:rPr>
      <w:color w:val="0563C1"/>
    </w:rPr>
  </w:style>
  <w:style w:type="paragraph" w:customStyle="1" w:styleId="13">
    <w:name w:val="策划案标题"/>
    <w:basedOn w:val="1"/>
    <w:unhideWhenUsed/>
    <w:qFormat/>
    <w:uiPriority w:val="0"/>
    <w:pPr>
      <w:jc w:val="center"/>
    </w:pPr>
    <w:rPr>
      <w:rFonts w:ascii="仿宋" w:hAnsi="仿宋" w:cs="Times New Roman"/>
      <w:b/>
      <w:sz w:val="44"/>
      <w:szCs w:val="21"/>
    </w:rPr>
  </w:style>
  <w:style w:type="character" w:customStyle="1" w:styleId="14">
    <w:name w:val="font21"/>
    <w:basedOn w:val="10"/>
    <w:qFormat/>
    <w:uiPriority w:val="0"/>
    <w:rPr>
      <w:rFonts w:hint="eastAsia" w:ascii="宋体" w:hAnsi="宋体" w:eastAsia="宋体" w:cs="宋体"/>
      <w:b/>
      <w:bCs/>
      <w:color w:val="000000"/>
      <w:sz w:val="24"/>
      <w:szCs w:val="24"/>
    </w:rPr>
  </w:style>
  <w:style w:type="character" w:customStyle="1" w:styleId="15">
    <w:name w:val="font01"/>
    <w:basedOn w:val="10"/>
    <w:qFormat/>
    <w:uiPriority w:val="0"/>
    <w:rPr>
      <w:rFonts w:hint="eastAsia" w:ascii="宋体" w:hAnsi="宋体" w:eastAsia="宋体" w:cs="宋体"/>
      <w:color w:val="000000"/>
      <w:sz w:val="24"/>
      <w:szCs w:val="24"/>
    </w:rPr>
  </w:style>
  <w:style w:type="character" w:customStyle="1" w:styleId="16">
    <w:name w:val="font11"/>
    <w:basedOn w:val="10"/>
    <w:qFormat/>
    <w:uiPriority w:val="0"/>
    <w:rPr>
      <w:rFonts w:hint="eastAsia" w:ascii="宋体" w:hAnsi="宋体" w:eastAsia="宋体" w:cs="宋体"/>
      <w:b/>
      <w:bCs/>
      <w:color w:val="000000"/>
      <w:sz w:val="22"/>
      <w:szCs w:val="22"/>
    </w:rPr>
  </w:style>
  <w:style w:type="character" w:customStyle="1" w:styleId="17">
    <w:name w:val="页脚 Char"/>
    <w:basedOn w:val="10"/>
    <w:link w:val="6"/>
    <w:qFormat/>
    <w:uiPriority w:val="99"/>
    <w:rPr>
      <w:rFonts w:ascii="仿宋" w:hAnsi="仿宋" w:eastAsia="仿宋"/>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3570</Words>
  <Characters>3783</Characters>
  <Lines>30</Lines>
  <Paragraphs>8</Paragraphs>
  <TotalTime>31</TotalTime>
  <ScaleCrop>false</ScaleCrop>
  <LinksUpToDate>false</LinksUpToDate>
  <CharactersWithSpaces>3903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2023-03-17T23:24:00Z</dcterms:created>
  <dc:creator>*星星*</dc:creator>
  <cp:lastModifiedBy>莎莎</cp:lastModifiedBy>
  <cp:lastPrinted>2023-04-19T17:12:00Z</cp:lastPrinted>
  <dcterms:modified xsi:type="dcterms:W3CDTF">2023-06-29T02:30:23Z</dcterms:modified>
  <dc:title>鄂尔多斯市东胜区人民政府办公室关于印发</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CB8692220AC04D9AB24C2D308CE5D3A3_13</vt:lpwstr>
  </property>
</Properties>
</file>